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2C7BB" w14:textId="5CA6A277" w:rsidR="00F8415B" w:rsidRPr="00EA0CBF" w:rsidRDefault="00F8415B" w:rsidP="0028359A">
      <w:pPr>
        <w:rPr>
          <w:rFonts w:ascii="Arial" w:hAnsi="Arial" w:cs="Arial"/>
          <w:b/>
          <w:bCs/>
          <w:color w:val="000000" w:themeColor="text1"/>
          <w:sz w:val="22"/>
          <w:szCs w:val="22"/>
          <w:lang w:val="en-US"/>
        </w:rPr>
      </w:pPr>
      <w:r w:rsidRPr="00EA0CBF">
        <w:rPr>
          <w:rFonts w:ascii="Arial" w:hAnsi="Arial" w:cs="Arial"/>
          <w:b/>
          <w:bCs/>
          <w:color w:val="000000" w:themeColor="text1"/>
          <w:sz w:val="22"/>
          <w:szCs w:val="22"/>
          <w:lang w:val="en-US"/>
        </w:rPr>
        <w:t>WU conference - VAT case law 2022</w:t>
      </w:r>
    </w:p>
    <w:p w14:paraId="2713F866" w14:textId="77777777" w:rsidR="00F8415B" w:rsidRPr="00EA0CBF" w:rsidRDefault="00F8415B" w:rsidP="0028359A">
      <w:pPr>
        <w:rPr>
          <w:rFonts w:ascii="Arial" w:hAnsi="Arial" w:cs="Arial"/>
          <w:b/>
          <w:bCs/>
          <w:color w:val="000000" w:themeColor="text1"/>
          <w:sz w:val="22"/>
          <w:szCs w:val="22"/>
          <w:lang w:val="en-US"/>
        </w:rPr>
      </w:pPr>
    </w:p>
    <w:p w14:paraId="6ED3C9D3" w14:textId="7FB392CE" w:rsidR="001B7C4D" w:rsidRPr="00EA0CBF" w:rsidRDefault="001B7C4D" w:rsidP="0028359A">
      <w:pPr>
        <w:rPr>
          <w:rFonts w:ascii="Arial" w:hAnsi="Arial" w:cs="Arial"/>
          <w:b/>
          <w:bCs/>
          <w:color w:val="000000" w:themeColor="text1"/>
          <w:sz w:val="22"/>
          <w:szCs w:val="22"/>
          <w:lang w:val="nl-NL"/>
        </w:rPr>
      </w:pPr>
      <w:r w:rsidRPr="00EA0CBF">
        <w:rPr>
          <w:rFonts w:ascii="Arial" w:hAnsi="Arial" w:cs="Arial"/>
          <w:b/>
          <w:bCs/>
          <w:color w:val="000000" w:themeColor="text1"/>
          <w:sz w:val="22"/>
          <w:szCs w:val="22"/>
          <w:lang w:val="nl-NL"/>
        </w:rPr>
        <w:t xml:space="preserve">Right </w:t>
      </w:r>
      <w:proofErr w:type="spellStart"/>
      <w:r w:rsidRPr="00EA0CBF">
        <w:rPr>
          <w:rFonts w:ascii="Arial" w:hAnsi="Arial" w:cs="Arial"/>
          <w:b/>
          <w:bCs/>
          <w:color w:val="000000" w:themeColor="text1"/>
          <w:sz w:val="22"/>
          <w:szCs w:val="22"/>
          <w:lang w:val="nl-NL"/>
        </w:rPr>
        <w:t>to</w:t>
      </w:r>
      <w:proofErr w:type="spellEnd"/>
      <w:r w:rsidRPr="00EA0CBF">
        <w:rPr>
          <w:rFonts w:ascii="Arial" w:hAnsi="Arial" w:cs="Arial"/>
          <w:b/>
          <w:bCs/>
          <w:color w:val="000000" w:themeColor="text1"/>
          <w:sz w:val="22"/>
          <w:szCs w:val="22"/>
          <w:lang w:val="nl-NL"/>
        </w:rPr>
        <w:t xml:space="preserve"> </w:t>
      </w:r>
      <w:proofErr w:type="spellStart"/>
      <w:r w:rsidRPr="00EA0CBF">
        <w:rPr>
          <w:rFonts w:ascii="Arial" w:hAnsi="Arial" w:cs="Arial"/>
          <w:b/>
          <w:bCs/>
          <w:color w:val="000000" w:themeColor="text1"/>
          <w:sz w:val="22"/>
          <w:szCs w:val="22"/>
          <w:lang w:val="nl-NL"/>
        </w:rPr>
        <w:t>deduct</w:t>
      </w:r>
      <w:proofErr w:type="spellEnd"/>
    </w:p>
    <w:p w14:paraId="030CEC1A" w14:textId="21CA4D6E" w:rsidR="001B7C4D" w:rsidRPr="00EA0CBF" w:rsidRDefault="001B7C4D" w:rsidP="006E45F3">
      <w:pPr>
        <w:jc w:val="both"/>
        <w:rPr>
          <w:rFonts w:ascii="Arial" w:hAnsi="Arial" w:cs="Arial"/>
          <w:color w:val="000000" w:themeColor="text1"/>
          <w:sz w:val="22"/>
          <w:szCs w:val="22"/>
          <w:lang w:val="nl-NL"/>
        </w:rPr>
      </w:pPr>
    </w:p>
    <w:p w14:paraId="2BE8EB39" w14:textId="32F38F17" w:rsidR="00473AE8" w:rsidRPr="00EA0CBF" w:rsidRDefault="00473AE8" w:rsidP="00B0664E">
      <w:pPr>
        <w:pStyle w:val="ListParagraph"/>
        <w:numPr>
          <w:ilvl w:val="0"/>
          <w:numId w:val="1"/>
        </w:numPr>
        <w:jc w:val="both"/>
        <w:rPr>
          <w:rFonts w:ascii="Arial" w:eastAsia="Times New Roman" w:hAnsi="Arial" w:cs="Arial"/>
          <w:b/>
          <w:bCs/>
          <w:color w:val="000000" w:themeColor="text1"/>
          <w:sz w:val="22"/>
          <w:szCs w:val="22"/>
          <w:lang w:val="en-US" w:eastAsia="en-GB"/>
        </w:rPr>
      </w:pPr>
      <w:proofErr w:type="spellStart"/>
      <w:r w:rsidRPr="00EA0CBF">
        <w:rPr>
          <w:rFonts w:ascii="Arial" w:eastAsia="Times New Roman" w:hAnsi="Arial" w:cs="Arial"/>
          <w:b/>
          <w:bCs/>
          <w:color w:val="000000" w:themeColor="text1"/>
          <w:sz w:val="22"/>
          <w:szCs w:val="22"/>
          <w:lang w:val="en-US" w:eastAsia="en-GB"/>
        </w:rPr>
        <w:t>Vittamed</w:t>
      </w:r>
      <w:proofErr w:type="spellEnd"/>
      <w:r w:rsidRPr="00EA0CBF">
        <w:rPr>
          <w:rFonts w:ascii="Arial" w:eastAsia="Times New Roman" w:hAnsi="Arial" w:cs="Arial"/>
          <w:b/>
          <w:bCs/>
          <w:color w:val="000000" w:themeColor="text1"/>
          <w:sz w:val="22"/>
          <w:szCs w:val="22"/>
          <w:lang w:val="en-US" w:eastAsia="en-GB"/>
        </w:rPr>
        <w:t xml:space="preserve"> </w:t>
      </w:r>
      <w:r w:rsidR="00E37ACC" w:rsidRPr="00EA0CBF">
        <w:rPr>
          <w:rFonts w:ascii="Arial" w:eastAsia="Times New Roman" w:hAnsi="Arial" w:cs="Arial"/>
          <w:b/>
          <w:bCs/>
          <w:color w:val="000000" w:themeColor="text1"/>
          <w:sz w:val="22"/>
          <w:szCs w:val="22"/>
          <w:lang w:val="en-US" w:eastAsia="en-GB"/>
        </w:rPr>
        <w:t>(C-293/21)</w:t>
      </w:r>
      <w:r w:rsidR="00E37ACC" w:rsidRPr="00EA0CBF">
        <w:rPr>
          <w:rStyle w:val="FootnoteReference"/>
          <w:rFonts w:ascii="Arial" w:eastAsia="Times New Roman" w:hAnsi="Arial" w:cs="Arial"/>
          <w:b/>
          <w:bCs/>
          <w:color w:val="000000" w:themeColor="text1"/>
          <w:sz w:val="22"/>
          <w:szCs w:val="22"/>
          <w:lang w:val="en-US" w:eastAsia="en-GB"/>
        </w:rPr>
        <w:footnoteReference w:id="1"/>
      </w:r>
    </w:p>
    <w:p w14:paraId="4356A5C9" w14:textId="77777777" w:rsidR="00B64732" w:rsidRPr="00EA0CBF" w:rsidRDefault="00B64732" w:rsidP="00B64732">
      <w:pPr>
        <w:pStyle w:val="ListParagraph"/>
        <w:ind w:left="360"/>
        <w:jc w:val="both"/>
        <w:rPr>
          <w:rFonts w:ascii="Arial" w:eastAsia="Times New Roman" w:hAnsi="Arial" w:cs="Arial"/>
          <w:b/>
          <w:bCs/>
          <w:color w:val="000000" w:themeColor="text1"/>
          <w:sz w:val="22"/>
          <w:szCs w:val="22"/>
          <w:lang w:val="en-US" w:eastAsia="en-GB"/>
        </w:rPr>
      </w:pPr>
    </w:p>
    <w:p w14:paraId="2194C5CC"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Facts and question raised</w:t>
      </w:r>
    </w:p>
    <w:p w14:paraId="0AB99E4D" w14:textId="4E454F4A" w:rsidR="00B54DD7"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eastAsia="en-GB"/>
        </w:rPr>
        <w:t xml:space="preserve">Vittamed </w:t>
      </w:r>
      <w:r w:rsidR="0063727A" w:rsidRPr="0063727A">
        <w:rPr>
          <w:rFonts w:ascii="Arial" w:eastAsia="Times New Roman" w:hAnsi="Arial" w:cs="Arial"/>
          <w:color w:val="000000" w:themeColor="text1"/>
          <w:sz w:val="22"/>
          <w:szCs w:val="22"/>
          <w:lang w:val="en-US" w:eastAsia="en-GB"/>
        </w:rPr>
        <w:t>was</w:t>
      </w:r>
      <w:r w:rsidRPr="00EA0CBF">
        <w:rPr>
          <w:rFonts w:ascii="Arial" w:eastAsia="Times New Roman" w:hAnsi="Arial" w:cs="Arial"/>
          <w:color w:val="000000" w:themeColor="text1"/>
          <w:sz w:val="22"/>
          <w:szCs w:val="22"/>
          <w:lang w:eastAsia="en-GB"/>
        </w:rPr>
        <w:t xml:space="preserve"> a company established in Lithuania that was engaged in scientific research</w:t>
      </w:r>
      <w:r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eastAsia="en-GB"/>
        </w:rPr>
        <w:t> In 2012 and 2013, Vittamed acquired</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 xml:space="preserve">goods and services in connection with the realisation of an international project funded by the European Union, the objective of which was to develop </w:t>
      </w:r>
      <w:r w:rsidR="00E37ACC" w:rsidRPr="00EA0CBF">
        <w:rPr>
          <w:rFonts w:ascii="Arial" w:eastAsia="Times New Roman" w:hAnsi="Arial" w:cs="Arial"/>
          <w:color w:val="000000" w:themeColor="text1"/>
          <w:sz w:val="22"/>
          <w:szCs w:val="22"/>
          <w:lang w:val="en-US" w:eastAsia="en-GB"/>
        </w:rPr>
        <w:t xml:space="preserve">and market </w:t>
      </w:r>
      <w:r w:rsidRPr="00EA0CBF">
        <w:rPr>
          <w:rFonts w:ascii="Arial" w:eastAsia="Times New Roman" w:hAnsi="Arial" w:cs="Arial"/>
          <w:color w:val="000000" w:themeColor="text1"/>
          <w:sz w:val="22"/>
          <w:szCs w:val="22"/>
          <w:lang w:eastAsia="en-GB"/>
        </w:rPr>
        <w:t>a prototype of a medical diagnostic and monitoring device. It deducted EUR 87 987 of input VAT paid in respect of the supply of those goods and services</w:t>
      </w:r>
      <w:r w:rsidRPr="00EA0CBF">
        <w:rPr>
          <w:rFonts w:ascii="Arial" w:eastAsia="Times New Roman" w:hAnsi="Arial" w:cs="Arial"/>
          <w:color w:val="000000" w:themeColor="text1"/>
          <w:sz w:val="22"/>
          <w:szCs w:val="22"/>
          <w:lang w:val="en-US" w:eastAsia="en-GB"/>
        </w:rPr>
        <w:t xml:space="preserve"> and </w:t>
      </w:r>
      <w:r w:rsidRPr="00EA0CBF">
        <w:rPr>
          <w:rFonts w:ascii="Arial" w:eastAsia="Times New Roman" w:hAnsi="Arial" w:cs="Arial"/>
          <w:color w:val="000000" w:themeColor="text1"/>
          <w:sz w:val="22"/>
          <w:szCs w:val="22"/>
          <w:lang w:eastAsia="en-GB"/>
        </w:rPr>
        <w:t xml:space="preserve">used those goods and services </w:t>
      </w:r>
      <w:r w:rsidR="00E37ACC" w:rsidRPr="00EA0CBF">
        <w:rPr>
          <w:rFonts w:ascii="Arial" w:eastAsia="Times New Roman" w:hAnsi="Arial" w:cs="Arial"/>
          <w:color w:val="000000" w:themeColor="text1"/>
          <w:sz w:val="22"/>
          <w:szCs w:val="22"/>
          <w:lang w:val="en-US" w:eastAsia="en-GB"/>
        </w:rPr>
        <w:t>to</w:t>
      </w:r>
      <w:r w:rsidRPr="00EA0CBF">
        <w:rPr>
          <w:rFonts w:ascii="Arial" w:eastAsia="Times New Roman" w:hAnsi="Arial" w:cs="Arial"/>
          <w:color w:val="000000" w:themeColor="text1"/>
          <w:sz w:val="22"/>
          <w:szCs w:val="22"/>
          <w:lang w:eastAsia="en-GB"/>
        </w:rPr>
        <w:t xml:space="preserve"> produc</w:t>
      </w:r>
      <w:r w:rsidR="00E37ACC" w:rsidRPr="00EA0CBF">
        <w:rPr>
          <w:rFonts w:ascii="Arial" w:eastAsia="Times New Roman" w:hAnsi="Arial" w:cs="Arial"/>
          <w:color w:val="000000" w:themeColor="text1"/>
          <w:sz w:val="22"/>
          <w:szCs w:val="22"/>
          <w:lang w:val="en-US" w:eastAsia="en-GB"/>
        </w:rPr>
        <w:t>e</w:t>
      </w:r>
      <w:r w:rsidRPr="00EA0CBF">
        <w:rPr>
          <w:rFonts w:ascii="Arial" w:eastAsia="Times New Roman" w:hAnsi="Arial" w:cs="Arial"/>
          <w:color w:val="000000" w:themeColor="text1"/>
          <w:sz w:val="22"/>
          <w:szCs w:val="22"/>
          <w:lang w:eastAsia="en-GB"/>
        </w:rPr>
        <w:t xml:space="preserve"> intangible capital goods (licences) and tangible capital goods (prototype devices). It sought to use those capital goods as part of its future taxable activity.</w:t>
      </w:r>
      <w:r w:rsidR="00E37ACC"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val="en-US" w:eastAsia="en-GB"/>
        </w:rPr>
        <w:t>However,</w:t>
      </w:r>
      <w:r w:rsidRPr="00EA0CBF">
        <w:rPr>
          <w:rFonts w:ascii="Arial" w:eastAsia="Times New Roman" w:hAnsi="Arial" w:cs="Arial"/>
          <w:color w:val="000000" w:themeColor="text1"/>
          <w:sz w:val="22"/>
          <w:szCs w:val="22"/>
          <w:lang w:eastAsia="en-GB"/>
        </w:rPr>
        <w:t xml:space="preserve"> Vittamed operated at a loss in 2014 and 2015, and the previous losses recorded by that company increased continually. In view of those loss-making years and the absence of orders and potential income, Vittamed’s sole shareholder decided to place the company in liquidation.</w:t>
      </w:r>
      <w:r w:rsidR="001A3D7E"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On 10 September 2015, Vittamed acquired the legal status of a ‘legal entity in liquidation’. </w:t>
      </w:r>
      <w:r w:rsidR="00B54DD7" w:rsidRPr="00EA0CBF">
        <w:rPr>
          <w:rFonts w:ascii="Arial" w:eastAsia="Times New Roman" w:hAnsi="Arial" w:cs="Arial"/>
          <w:color w:val="000000" w:themeColor="text1"/>
          <w:sz w:val="22"/>
          <w:szCs w:val="22"/>
          <w:lang w:val="en-US" w:eastAsia="en-GB"/>
        </w:rPr>
        <w:t>In October</w:t>
      </w:r>
      <w:r w:rsidRPr="00EA0CBF">
        <w:rPr>
          <w:rFonts w:ascii="Arial" w:eastAsia="Times New Roman" w:hAnsi="Arial" w:cs="Arial"/>
          <w:color w:val="000000" w:themeColor="text1"/>
          <w:sz w:val="22"/>
          <w:szCs w:val="22"/>
          <w:lang w:eastAsia="en-GB"/>
        </w:rPr>
        <w:t xml:space="preserve"> 2015, </w:t>
      </w:r>
      <w:r w:rsidR="00B54DD7" w:rsidRPr="00EA0CBF">
        <w:rPr>
          <w:rFonts w:ascii="Arial" w:eastAsia="Times New Roman" w:hAnsi="Arial" w:cs="Arial"/>
          <w:color w:val="000000" w:themeColor="text1"/>
          <w:sz w:val="22"/>
          <w:szCs w:val="22"/>
          <w:lang w:val="en-US" w:eastAsia="en-GB"/>
        </w:rPr>
        <w:t xml:space="preserve">upon its own request, </w:t>
      </w:r>
      <w:r w:rsidRPr="00EA0CBF">
        <w:rPr>
          <w:rFonts w:ascii="Arial" w:eastAsia="Times New Roman" w:hAnsi="Arial" w:cs="Arial"/>
          <w:color w:val="000000" w:themeColor="text1"/>
          <w:sz w:val="22"/>
          <w:szCs w:val="22"/>
          <w:lang w:eastAsia="en-GB"/>
        </w:rPr>
        <w:t xml:space="preserve">Vittamed </w:t>
      </w:r>
      <w:r w:rsidR="00B54DD7" w:rsidRPr="00EA0CBF">
        <w:rPr>
          <w:rFonts w:ascii="Arial" w:eastAsia="Times New Roman" w:hAnsi="Arial" w:cs="Arial"/>
          <w:color w:val="000000" w:themeColor="text1"/>
          <w:sz w:val="22"/>
          <w:szCs w:val="22"/>
          <w:lang w:val="en-US" w:eastAsia="en-GB"/>
        </w:rPr>
        <w:t>was</w:t>
      </w:r>
      <w:r w:rsidRPr="00EA0CBF">
        <w:rPr>
          <w:rFonts w:ascii="Arial" w:eastAsia="Times New Roman" w:hAnsi="Arial" w:cs="Arial"/>
          <w:color w:val="000000" w:themeColor="text1"/>
          <w:sz w:val="22"/>
          <w:szCs w:val="22"/>
          <w:lang w:eastAsia="en-GB"/>
        </w:rPr>
        <w:t xml:space="preserve"> removed from the register of VAT </w:t>
      </w:r>
      <w:r w:rsidR="009D4BFA" w:rsidRPr="00EA0CBF">
        <w:rPr>
          <w:rFonts w:ascii="Arial" w:eastAsia="Times New Roman" w:hAnsi="Arial" w:cs="Arial"/>
          <w:color w:val="000000" w:themeColor="text1"/>
          <w:sz w:val="22"/>
          <w:szCs w:val="22"/>
          <w:lang w:val="en-US" w:eastAsia="en-GB"/>
        </w:rPr>
        <w:t>taxable persons</w:t>
      </w:r>
      <w:r w:rsidR="00E37ACC" w:rsidRPr="00EA0CBF">
        <w:rPr>
          <w:rFonts w:ascii="Arial" w:eastAsia="Times New Roman" w:hAnsi="Arial" w:cs="Arial"/>
          <w:color w:val="000000" w:themeColor="text1"/>
          <w:sz w:val="22"/>
          <w:szCs w:val="22"/>
          <w:lang w:val="en-US" w:eastAsia="en-GB"/>
        </w:rPr>
        <w:t xml:space="preserve">. </w:t>
      </w:r>
    </w:p>
    <w:p w14:paraId="03CE8512" w14:textId="66684166" w:rsidR="00473AE8" w:rsidRPr="00EA0CBF" w:rsidRDefault="00E37ACC"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In its final </w:t>
      </w:r>
      <w:r w:rsidR="00473AE8" w:rsidRPr="00EA0CBF">
        <w:rPr>
          <w:rFonts w:ascii="Arial" w:eastAsia="Times New Roman" w:hAnsi="Arial" w:cs="Arial"/>
          <w:color w:val="000000" w:themeColor="text1"/>
          <w:sz w:val="22"/>
          <w:szCs w:val="22"/>
          <w:lang w:eastAsia="en-GB"/>
        </w:rPr>
        <w:t>VAT return, Vittamed did not adjust the VAT deduction</w:t>
      </w:r>
      <w:r w:rsidRPr="00EA0CBF">
        <w:rPr>
          <w:rFonts w:ascii="Arial" w:eastAsia="Times New Roman" w:hAnsi="Arial" w:cs="Arial"/>
          <w:color w:val="000000" w:themeColor="text1"/>
          <w:sz w:val="22"/>
          <w:szCs w:val="22"/>
          <w:lang w:val="en-US" w:eastAsia="en-GB"/>
        </w:rPr>
        <w:t>s</w:t>
      </w:r>
      <w:r w:rsidR="00473AE8" w:rsidRPr="00EA0CBF">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made in 2012 and 2013</w:t>
      </w:r>
      <w:r w:rsidR="00473AE8" w:rsidRPr="00EA0CBF">
        <w:rPr>
          <w:rFonts w:ascii="Arial" w:eastAsia="Times New Roman" w:hAnsi="Arial" w:cs="Arial"/>
          <w:color w:val="000000" w:themeColor="text1"/>
          <w:sz w:val="22"/>
          <w:szCs w:val="22"/>
          <w:lang w:eastAsia="en-GB"/>
        </w:rPr>
        <w:t>.</w:t>
      </w:r>
      <w:r w:rsidR="00B54DD7" w:rsidRPr="00EA0CBF">
        <w:rPr>
          <w:rFonts w:ascii="Arial" w:eastAsia="Times New Roman" w:hAnsi="Arial" w:cs="Arial"/>
          <w:color w:val="000000" w:themeColor="text1"/>
          <w:sz w:val="22"/>
          <w:szCs w:val="22"/>
          <w:lang w:val="en-US" w:eastAsia="en-GB"/>
        </w:rPr>
        <w:t xml:space="preserve"> </w:t>
      </w:r>
      <w:r w:rsidR="00473AE8" w:rsidRPr="00EA0CBF">
        <w:rPr>
          <w:rFonts w:ascii="Arial" w:eastAsia="Times New Roman" w:hAnsi="Arial" w:cs="Arial"/>
          <w:color w:val="000000" w:themeColor="text1"/>
          <w:sz w:val="22"/>
          <w:szCs w:val="22"/>
          <w:lang w:eastAsia="en-GB"/>
        </w:rPr>
        <w:t xml:space="preserve">By decision of 24 January 2019, the </w:t>
      </w:r>
      <w:r w:rsidR="00473AE8" w:rsidRPr="00EA0CBF">
        <w:rPr>
          <w:rFonts w:ascii="Arial" w:eastAsia="Times New Roman" w:hAnsi="Arial" w:cs="Arial"/>
          <w:color w:val="000000" w:themeColor="text1"/>
          <w:sz w:val="22"/>
          <w:szCs w:val="22"/>
          <w:lang w:val="en-US" w:eastAsia="en-GB"/>
        </w:rPr>
        <w:t>tax authorities</w:t>
      </w:r>
      <w:r w:rsidR="00473AE8" w:rsidRPr="00EA0CBF">
        <w:rPr>
          <w:rFonts w:ascii="Arial" w:eastAsia="Times New Roman" w:hAnsi="Arial" w:cs="Arial"/>
          <w:color w:val="000000" w:themeColor="text1"/>
          <w:sz w:val="22"/>
          <w:szCs w:val="22"/>
          <w:lang w:eastAsia="en-GB"/>
        </w:rPr>
        <w:t xml:space="preserve"> </w:t>
      </w:r>
      <w:r w:rsidR="00473AE8" w:rsidRPr="00EA0CBF">
        <w:rPr>
          <w:rFonts w:ascii="Arial" w:eastAsia="Times New Roman" w:hAnsi="Arial" w:cs="Arial"/>
          <w:color w:val="000000" w:themeColor="text1"/>
          <w:sz w:val="22"/>
          <w:szCs w:val="22"/>
          <w:lang w:val="en-US" w:eastAsia="en-GB"/>
        </w:rPr>
        <w:t xml:space="preserve">decided </w:t>
      </w:r>
      <w:r w:rsidR="00473AE8" w:rsidRPr="00EA0CBF">
        <w:rPr>
          <w:rFonts w:ascii="Arial" w:eastAsia="Times New Roman" w:hAnsi="Arial" w:cs="Arial"/>
          <w:color w:val="000000" w:themeColor="text1"/>
          <w:sz w:val="22"/>
          <w:szCs w:val="22"/>
          <w:lang w:eastAsia="en-GB"/>
        </w:rPr>
        <w:t xml:space="preserve">that when the decision to place Vittamed in liquidation was taken, </w:t>
      </w:r>
      <w:r w:rsidR="00473AE8" w:rsidRPr="00EA0CBF">
        <w:rPr>
          <w:rFonts w:ascii="Arial" w:eastAsia="Times New Roman" w:hAnsi="Arial" w:cs="Arial"/>
          <w:color w:val="000000" w:themeColor="text1"/>
          <w:sz w:val="22"/>
          <w:szCs w:val="22"/>
          <w:lang w:val="en-US" w:eastAsia="en-GB"/>
        </w:rPr>
        <w:t>the latter</w:t>
      </w:r>
      <w:r w:rsidR="00473AE8" w:rsidRPr="00EA0CBF">
        <w:rPr>
          <w:rFonts w:ascii="Arial" w:eastAsia="Times New Roman" w:hAnsi="Arial" w:cs="Arial"/>
          <w:color w:val="000000" w:themeColor="text1"/>
          <w:sz w:val="22"/>
          <w:szCs w:val="22"/>
          <w:lang w:eastAsia="en-GB"/>
        </w:rPr>
        <w:t xml:space="preserve"> was under an obligation to adjust the deduction of input VAT and to </w:t>
      </w:r>
      <w:r w:rsidR="00473AE8" w:rsidRPr="00EA0CBF">
        <w:rPr>
          <w:rFonts w:ascii="Arial" w:eastAsia="Times New Roman" w:hAnsi="Arial" w:cs="Arial"/>
          <w:color w:val="000000" w:themeColor="text1"/>
          <w:sz w:val="22"/>
          <w:szCs w:val="22"/>
          <w:lang w:val="en-US" w:eastAsia="en-GB"/>
        </w:rPr>
        <w:t xml:space="preserve">reimburse </w:t>
      </w:r>
      <w:r w:rsidR="00473AE8" w:rsidRPr="00EA0CBF">
        <w:rPr>
          <w:rFonts w:ascii="Arial" w:eastAsia="Times New Roman" w:hAnsi="Arial" w:cs="Arial"/>
          <w:color w:val="000000" w:themeColor="text1"/>
          <w:sz w:val="22"/>
          <w:szCs w:val="22"/>
          <w:lang w:eastAsia="en-GB"/>
        </w:rPr>
        <w:t xml:space="preserve">the VAT on </w:t>
      </w:r>
      <w:r w:rsidRPr="00EA0CBF">
        <w:rPr>
          <w:rFonts w:ascii="Arial" w:eastAsia="Times New Roman" w:hAnsi="Arial" w:cs="Arial"/>
          <w:color w:val="000000" w:themeColor="text1"/>
          <w:sz w:val="22"/>
          <w:szCs w:val="22"/>
          <w:lang w:val="en-US" w:eastAsia="en-GB"/>
        </w:rPr>
        <w:t xml:space="preserve">the </w:t>
      </w:r>
      <w:r w:rsidR="00473AE8" w:rsidRPr="00EA0CBF">
        <w:rPr>
          <w:rFonts w:ascii="Arial" w:eastAsia="Times New Roman" w:hAnsi="Arial" w:cs="Arial"/>
          <w:color w:val="000000" w:themeColor="text1"/>
          <w:sz w:val="22"/>
          <w:szCs w:val="22"/>
          <w:lang w:eastAsia="en-GB"/>
        </w:rPr>
        <w:t xml:space="preserve">acquired goods or services which would not be used for activities subject to VAT. </w:t>
      </w:r>
      <w:proofErr w:type="spellStart"/>
      <w:r w:rsidR="00473AE8" w:rsidRPr="00EA0CBF">
        <w:rPr>
          <w:rFonts w:ascii="Arial" w:eastAsia="Times New Roman" w:hAnsi="Arial" w:cs="Arial"/>
          <w:color w:val="000000" w:themeColor="text1"/>
          <w:sz w:val="22"/>
          <w:szCs w:val="22"/>
          <w:lang w:val="en-US" w:eastAsia="en-GB"/>
        </w:rPr>
        <w:t>Vittamed</w:t>
      </w:r>
      <w:proofErr w:type="spellEnd"/>
      <w:r w:rsidR="00473AE8" w:rsidRPr="00EA0CBF">
        <w:rPr>
          <w:rFonts w:ascii="Arial" w:eastAsia="Times New Roman" w:hAnsi="Arial" w:cs="Arial"/>
          <w:color w:val="000000" w:themeColor="text1"/>
          <w:sz w:val="22"/>
          <w:szCs w:val="22"/>
          <w:lang w:val="en-US" w:eastAsia="en-GB"/>
        </w:rPr>
        <w:t xml:space="preserve"> filed several complaints against that decision, arguing that</w:t>
      </w:r>
      <w:r w:rsidRPr="00EA0CBF">
        <w:rPr>
          <w:rFonts w:ascii="Arial" w:eastAsia="Times New Roman" w:hAnsi="Arial" w:cs="Arial"/>
          <w:color w:val="000000" w:themeColor="text1"/>
          <w:sz w:val="22"/>
          <w:szCs w:val="22"/>
          <w:lang w:val="en-US" w:eastAsia="en-GB"/>
        </w:rPr>
        <w:t>,</w:t>
      </w:r>
      <w:r w:rsidR="00473AE8" w:rsidRPr="00EA0CBF">
        <w:rPr>
          <w:rFonts w:ascii="Arial" w:eastAsia="Times New Roman" w:hAnsi="Arial" w:cs="Arial"/>
          <w:color w:val="000000" w:themeColor="text1"/>
          <w:sz w:val="22"/>
          <w:szCs w:val="22"/>
          <w:lang w:val="en-US" w:eastAsia="en-GB"/>
        </w:rPr>
        <w:t xml:space="preserve"> in accordance with established case law of the CJEU, </w:t>
      </w:r>
      <w:r w:rsidR="00473AE8" w:rsidRPr="00EA0CBF">
        <w:rPr>
          <w:rFonts w:ascii="Arial" w:eastAsia="Times New Roman" w:hAnsi="Arial" w:cs="Arial"/>
          <w:color w:val="000000" w:themeColor="text1"/>
          <w:sz w:val="22"/>
          <w:szCs w:val="22"/>
          <w:lang w:eastAsia="en-GB"/>
        </w:rPr>
        <w:t>where costs are incurred in preparation for an economic activity, deduction of input VAT may be claimed even where that economic activity is not taken up and the intended taxable transactions ultimately do not take place.</w:t>
      </w:r>
      <w:r w:rsidR="00473AE8" w:rsidRPr="00EA0CBF">
        <w:rPr>
          <w:rFonts w:ascii="Arial" w:eastAsia="Times New Roman" w:hAnsi="Arial" w:cs="Arial"/>
          <w:color w:val="000000" w:themeColor="text1"/>
          <w:sz w:val="22"/>
          <w:szCs w:val="22"/>
          <w:lang w:val="en-US" w:eastAsia="en-GB"/>
        </w:rPr>
        <w:t xml:space="preserve"> The matter was brought before the </w:t>
      </w:r>
      <w:r w:rsidR="00473AE8" w:rsidRPr="00EA0CBF">
        <w:rPr>
          <w:rFonts w:ascii="Arial" w:eastAsia="Times New Roman" w:hAnsi="Arial" w:cs="Arial"/>
          <w:color w:val="000000" w:themeColor="text1"/>
          <w:sz w:val="22"/>
          <w:szCs w:val="22"/>
          <w:lang w:eastAsia="en-GB"/>
        </w:rPr>
        <w:t xml:space="preserve">Supreme Administrative Court of Lithuania, which </w:t>
      </w:r>
      <w:r w:rsidR="00473AE8" w:rsidRPr="00EA0CBF">
        <w:rPr>
          <w:rFonts w:ascii="Arial" w:eastAsia="Times New Roman" w:hAnsi="Arial" w:cs="Arial"/>
          <w:color w:val="000000" w:themeColor="text1"/>
          <w:sz w:val="22"/>
          <w:szCs w:val="22"/>
          <w:lang w:val="en-US" w:eastAsia="en-GB"/>
        </w:rPr>
        <w:t>was unsure how to interpret the case law of the CJEU</w:t>
      </w:r>
      <w:r w:rsidR="00B07B20" w:rsidRPr="00EA0CBF">
        <w:rPr>
          <w:rFonts w:ascii="Arial" w:eastAsia="Times New Roman" w:hAnsi="Arial" w:cs="Arial"/>
          <w:color w:val="000000" w:themeColor="text1"/>
          <w:sz w:val="22"/>
          <w:szCs w:val="22"/>
          <w:lang w:val="en-US" w:eastAsia="en-GB"/>
        </w:rPr>
        <w:t xml:space="preserve"> on this issue.</w:t>
      </w:r>
      <w:r w:rsidR="00473AE8" w:rsidRPr="00EA0CBF">
        <w:rPr>
          <w:rFonts w:ascii="Arial" w:eastAsia="Times New Roman" w:hAnsi="Arial" w:cs="Arial"/>
          <w:color w:val="000000" w:themeColor="text1"/>
          <w:sz w:val="22"/>
          <w:szCs w:val="22"/>
          <w:lang w:val="en-US" w:eastAsia="en-GB"/>
        </w:rPr>
        <w:t xml:space="preserve"> It decided to </w:t>
      </w:r>
      <w:r w:rsidR="00473AE8" w:rsidRPr="00EA0CBF">
        <w:rPr>
          <w:rFonts w:ascii="Arial" w:eastAsia="Times New Roman" w:hAnsi="Arial" w:cs="Arial"/>
          <w:color w:val="000000" w:themeColor="text1"/>
          <w:sz w:val="22"/>
          <w:szCs w:val="22"/>
          <w:lang w:eastAsia="en-GB"/>
        </w:rPr>
        <w:t>stay the proceedings and to refer the following question to the Court of Justice for a preliminary ruling:</w:t>
      </w:r>
    </w:p>
    <w:p w14:paraId="24D3A4CF"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‘Are Articles 184 to 187 of [the VAT Directive] to be interpreted as meaning that a taxable person is (or is not) obliged to adjust deductions of [VAT] charged on the acquisition of goods and services for the purposes of producing capital goods in the case where those goods are no longer intended to be used in the course of taxable economic activities because the owner (shareholder) of the taxable person decides to place it in liquidation and that taxable person submits a request that it be removed from the register of VAT payers?</w:t>
      </w:r>
    </w:p>
    <w:p w14:paraId="6666658D"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Is the answer to that question affected by the reasons for deciding to liquidate the taxable person, namely the fact that the decision to place that person in liquidation was taken due to growing losses, the absence of orders and the shareholder’s doubts as to the profitability of the planned (intended) economic activity?’</w:t>
      </w:r>
    </w:p>
    <w:p w14:paraId="0152AF96" w14:textId="658C692E" w:rsidR="00473AE8" w:rsidRPr="00EA0CBF" w:rsidRDefault="00473AE8" w:rsidP="00B64732">
      <w:pPr>
        <w:pStyle w:val="ListParagraph"/>
        <w:numPr>
          <w:ilvl w:val="1"/>
          <w:numId w:val="1"/>
        </w:numPr>
        <w:jc w:val="both"/>
        <w:rPr>
          <w:rFonts w:ascii="Arial" w:eastAsia="Times New Roman" w:hAnsi="Arial" w:cs="Arial"/>
          <w:b/>
          <w:bCs/>
          <w:color w:val="000000" w:themeColor="text1"/>
          <w:sz w:val="22"/>
          <w:szCs w:val="22"/>
          <w:lang w:val="en-US" w:eastAsia="en-GB"/>
        </w:rPr>
      </w:pPr>
      <w:r w:rsidRPr="00EA0CBF">
        <w:rPr>
          <w:rFonts w:ascii="Arial" w:eastAsia="Times New Roman" w:hAnsi="Arial" w:cs="Arial"/>
          <w:b/>
          <w:bCs/>
          <w:color w:val="000000" w:themeColor="text1"/>
          <w:sz w:val="22"/>
          <w:szCs w:val="22"/>
          <w:lang w:val="en-US" w:eastAsia="en-GB"/>
        </w:rPr>
        <w:t>Court decision</w:t>
      </w:r>
      <w:r w:rsidR="00B64732" w:rsidRPr="00EA0CBF">
        <w:rPr>
          <w:rFonts w:ascii="Arial" w:eastAsia="Times New Roman" w:hAnsi="Arial" w:cs="Arial"/>
          <w:b/>
          <w:bCs/>
          <w:color w:val="000000" w:themeColor="text1"/>
          <w:sz w:val="22"/>
          <w:szCs w:val="22"/>
          <w:lang w:val="en-US" w:eastAsia="en-GB"/>
        </w:rPr>
        <w:t xml:space="preserve"> (No AG Opinion)</w:t>
      </w:r>
    </w:p>
    <w:p w14:paraId="5C26CD68" w14:textId="34C9272B"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eastAsia="en-GB"/>
        </w:rPr>
        <w:t>The CJEU first recall</w:t>
      </w:r>
      <w:r w:rsidRPr="00EA0CBF">
        <w:rPr>
          <w:rFonts w:ascii="Arial" w:eastAsia="Times New Roman" w:hAnsi="Arial" w:cs="Arial"/>
          <w:color w:val="000000" w:themeColor="text1"/>
          <w:sz w:val="22"/>
          <w:szCs w:val="22"/>
          <w:lang w:val="en-US" w:eastAsia="en-GB"/>
        </w:rPr>
        <w:t>s</w:t>
      </w:r>
      <w:r w:rsidR="00B54DD7"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that</w:t>
      </w:r>
      <w:r w:rsidR="00B54DD7" w:rsidRPr="00EA0CBF">
        <w:rPr>
          <w:rFonts w:ascii="Arial" w:eastAsia="Times New Roman" w:hAnsi="Arial" w:cs="Arial"/>
          <w:color w:val="000000" w:themeColor="text1"/>
          <w:sz w:val="22"/>
          <w:szCs w:val="22"/>
          <w:lang w:val="en-US" w:eastAsia="en-GB"/>
        </w:rPr>
        <w:t>, on the one hand,</w:t>
      </w:r>
      <w:r w:rsidRPr="00EA0CBF">
        <w:rPr>
          <w:rFonts w:ascii="Arial" w:eastAsia="Times New Roman" w:hAnsi="Arial" w:cs="Arial"/>
          <w:color w:val="000000" w:themeColor="text1"/>
          <w:sz w:val="22"/>
          <w:szCs w:val="22"/>
          <w:lang w:eastAsia="en-GB"/>
        </w:rPr>
        <w:t xml:space="preserve"> the right to deduct provided for in Article 167 </w:t>
      </w:r>
      <w:r w:rsidR="00B54DD7" w:rsidRPr="00EA0CBF">
        <w:rPr>
          <w:rFonts w:ascii="Arial" w:eastAsia="Times New Roman" w:hAnsi="Arial" w:cs="Arial"/>
          <w:color w:val="000000" w:themeColor="text1"/>
          <w:sz w:val="22"/>
          <w:szCs w:val="22"/>
          <w:lang w:val="en-US" w:eastAsia="en-GB"/>
        </w:rPr>
        <w:t>ff.</w:t>
      </w:r>
      <w:r w:rsidRPr="00EA0CBF">
        <w:rPr>
          <w:rFonts w:ascii="Arial" w:eastAsia="Times New Roman" w:hAnsi="Arial" w:cs="Arial"/>
          <w:color w:val="000000" w:themeColor="text1"/>
          <w:sz w:val="22"/>
          <w:szCs w:val="22"/>
          <w:lang w:eastAsia="en-GB"/>
        </w:rPr>
        <w:t xml:space="preserve"> of the VAT Directive is an integral part of the VAT </w:t>
      </w:r>
      <w:r w:rsidR="009D4BFA" w:rsidRPr="00EA0CBF">
        <w:rPr>
          <w:rFonts w:ascii="Arial" w:eastAsia="Times New Roman" w:hAnsi="Arial" w:cs="Arial"/>
          <w:color w:val="000000" w:themeColor="text1"/>
          <w:sz w:val="22"/>
          <w:szCs w:val="22"/>
          <w:lang w:val="en-US" w:eastAsia="en-GB"/>
        </w:rPr>
        <w:t>system</w:t>
      </w:r>
      <w:r w:rsidRPr="00EA0CBF">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 xml:space="preserve">and </w:t>
      </w:r>
      <w:r w:rsidR="0063727A">
        <w:rPr>
          <w:rFonts w:ascii="Arial" w:eastAsia="Times New Roman" w:hAnsi="Arial" w:cs="Arial"/>
          <w:color w:val="000000" w:themeColor="text1"/>
          <w:sz w:val="22"/>
          <w:szCs w:val="22"/>
          <w:lang w:val="en-US" w:eastAsia="en-GB"/>
        </w:rPr>
        <w:t xml:space="preserve">that </w:t>
      </w:r>
      <w:r w:rsidR="009D4BFA" w:rsidRPr="00EA0CBF">
        <w:rPr>
          <w:rFonts w:ascii="Arial" w:eastAsia="Times New Roman" w:hAnsi="Arial" w:cs="Arial"/>
          <w:color w:val="000000" w:themeColor="text1"/>
          <w:sz w:val="22"/>
          <w:szCs w:val="22"/>
          <w:lang w:val="en-US" w:eastAsia="en-GB"/>
        </w:rPr>
        <w:t xml:space="preserve">it </w:t>
      </w:r>
      <w:proofErr w:type="spellStart"/>
      <w:r w:rsidRPr="00EA0CBF">
        <w:rPr>
          <w:rFonts w:ascii="Arial" w:eastAsia="Times New Roman" w:hAnsi="Arial" w:cs="Arial"/>
          <w:color w:val="000000" w:themeColor="text1"/>
          <w:sz w:val="22"/>
          <w:szCs w:val="22"/>
          <w:lang w:val="en-US" w:eastAsia="en-GB"/>
        </w:rPr>
        <w:t>i</w:t>
      </w:r>
      <w:proofErr w:type="spellEnd"/>
      <w:r w:rsidRPr="00EA0CBF">
        <w:rPr>
          <w:rFonts w:ascii="Arial" w:eastAsia="Times New Roman" w:hAnsi="Arial" w:cs="Arial"/>
          <w:color w:val="000000" w:themeColor="text1"/>
          <w:sz w:val="22"/>
          <w:szCs w:val="22"/>
          <w:lang w:eastAsia="en-GB"/>
        </w:rPr>
        <w:t>s exercisable immediately in respect of all the taxes charged on input transactions.</w:t>
      </w:r>
      <w:r w:rsidRPr="00EA0CBF">
        <w:rPr>
          <w:rStyle w:val="FootnoteReference"/>
          <w:rFonts w:ascii="Arial" w:eastAsia="Times New Roman" w:hAnsi="Arial" w:cs="Arial"/>
          <w:color w:val="000000" w:themeColor="text1"/>
          <w:sz w:val="22"/>
          <w:szCs w:val="22"/>
          <w:lang w:eastAsia="en-GB"/>
        </w:rPr>
        <w:footnoteReference w:id="2"/>
      </w:r>
      <w:r w:rsidRPr="00EA0CBF">
        <w:rPr>
          <w:rFonts w:ascii="Arial" w:eastAsia="Times New Roman" w:hAnsi="Arial" w:cs="Arial"/>
          <w:color w:val="000000" w:themeColor="text1"/>
          <w:sz w:val="22"/>
          <w:szCs w:val="22"/>
          <w:lang w:val="en-US" w:eastAsia="en-GB"/>
        </w:rPr>
        <w:t xml:space="preserve"> </w:t>
      </w:r>
      <w:r w:rsidR="00B54DD7" w:rsidRPr="00EA0CBF">
        <w:rPr>
          <w:rFonts w:ascii="Arial" w:eastAsia="Times New Roman" w:hAnsi="Arial" w:cs="Arial"/>
          <w:color w:val="000000" w:themeColor="text1"/>
          <w:sz w:val="22"/>
          <w:szCs w:val="22"/>
          <w:lang w:val="en-US" w:eastAsia="en-GB"/>
        </w:rPr>
        <w:t>On the other hand,</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 xml:space="preserve">only the input </w:t>
      </w:r>
      <w:r w:rsidRPr="00EA0CBF">
        <w:rPr>
          <w:rFonts w:ascii="Arial" w:eastAsia="Times New Roman" w:hAnsi="Arial" w:cs="Arial"/>
          <w:color w:val="000000" w:themeColor="text1"/>
          <w:sz w:val="22"/>
          <w:szCs w:val="22"/>
          <w:lang w:eastAsia="en-GB"/>
        </w:rPr>
        <w:lastRenderedPageBreak/>
        <w:t xml:space="preserve">taxes on goods or services </w:t>
      </w:r>
      <w:r w:rsidR="009D4BFA" w:rsidRPr="00EA0CBF">
        <w:rPr>
          <w:rFonts w:ascii="Arial" w:eastAsia="Times New Roman" w:hAnsi="Arial" w:cs="Arial"/>
          <w:color w:val="000000" w:themeColor="text1"/>
          <w:sz w:val="22"/>
          <w:szCs w:val="22"/>
          <w:lang w:val="en-US" w:eastAsia="en-GB"/>
        </w:rPr>
        <w:t xml:space="preserve">that are meant </w:t>
      </w:r>
      <w:r w:rsidR="00E37ACC" w:rsidRPr="00EA0CBF">
        <w:rPr>
          <w:rFonts w:ascii="Arial" w:eastAsia="Times New Roman" w:hAnsi="Arial" w:cs="Arial"/>
          <w:color w:val="000000" w:themeColor="text1"/>
          <w:sz w:val="22"/>
          <w:szCs w:val="22"/>
          <w:lang w:val="en-US" w:eastAsia="en-GB"/>
        </w:rPr>
        <w:t>to</w:t>
      </w:r>
      <w:r w:rsidR="00B54DD7" w:rsidRPr="00EA0CBF">
        <w:rPr>
          <w:rFonts w:ascii="Arial" w:eastAsia="Times New Roman" w:hAnsi="Arial" w:cs="Arial"/>
          <w:color w:val="000000" w:themeColor="text1"/>
          <w:sz w:val="22"/>
          <w:szCs w:val="22"/>
          <w:lang w:val="en-US" w:eastAsia="en-GB"/>
        </w:rPr>
        <w:t xml:space="preserve"> </w:t>
      </w:r>
      <w:r w:rsidR="00E37ACC" w:rsidRPr="00EA0CBF">
        <w:rPr>
          <w:rFonts w:ascii="Arial" w:eastAsia="Times New Roman" w:hAnsi="Arial" w:cs="Arial"/>
          <w:color w:val="000000" w:themeColor="text1"/>
          <w:sz w:val="22"/>
          <w:szCs w:val="22"/>
          <w:lang w:val="en-US" w:eastAsia="en-GB"/>
        </w:rPr>
        <w:t xml:space="preserve">be </w:t>
      </w:r>
      <w:r w:rsidRPr="00EA0CBF">
        <w:rPr>
          <w:rFonts w:ascii="Arial" w:eastAsia="Times New Roman" w:hAnsi="Arial" w:cs="Arial"/>
          <w:color w:val="000000" w:themeColor="text1"/>
          <w:sz w:val="22"/>
          <w:szCs w:val="22"/>
          <w:lang w:eastAsia="en-GB"/>
        </w:rPr>
        <w:t>used by a taxable person for its taxed transactions may be deducted.</w:t>
      </w:r>
      <w:r w:rsidRPr="00EA0CBF">
        <w:rPr>
          <w:rStyle w:val="FootnoteReference"/>
          <w:rFonts w:ascii="Arial" w:eastAsia="Times New Roman" w:hAnsi="Arial" w:cs="Arial"/>
          <w:color w:val="000000" w:themeColor="text1"/>
          <w:sz w:val="22"/>
          <w:szCs w:val="22"/>
          <w:lang w:eastAsia="en-GB"/>
        </w:rPr>
        <w:footnoteReference w:id="3"/>
      </w:r>
    </w:p>
    <w:p w14:paraId="57A2E64C" w14:textId="41FB2F4E"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The CJEU then further recall</w:t>
      </w:r>
      <w:r w:rsidR="00B54DD7" w:rsidRPr="00EA0CBF">
        <w:rPr>
          <w:rFonts w:ascii="Arial" w:eastAsia="Times New Roman" w:hAnsi="Arial" w:cs="Arial"/>
          <w:color w:val="000000" w:themeColor="text1"/>
          <w:sz w:val="22"/>
          <w:szCs w:val="22"/>
          <w:lang w:val="en-US" w:eastAsia="en-GB"/>
        </w:rPr>
        <w:t>s</w:t>
      </w:r>
      <w:r w:rsidRPr="00EA0CBF">
        <w:rPr>
          <w:rFonts w:ascii="Arial" w:eastAsia="Times New Roman" w:hAnsi="Arial" w:cs="Arial"/>
          <w:color w:val="000000" w:themeColor="text1"/>
          <w:sz w:val="22"/>
          <w:szCs w:val="22"/>
          <w:lang w:val="en-US" w:eastAsia="en-GB"/>
        </w:rPr>
        <w:t xml:space="preserve"> that:</w:t>
      </w:r>
    </w:p>
    <w:p w14:paraId="1F69DCE9" w14:textId="59E3E7CC"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 </w:t>
      </w:r>
      <w:r w:rsidR="009D4BFA" w:rsidRPr="00EA0CBF">
        <w:rPr>
          <w:rFonts w:ascii="Arial" w:eastAsia="Times New Roman" w:hAnsi="Arial" w:cs="Arial"/>
          <w:color w:val="000000" w:themeColor="text1"/>
          <w:sz w:val="22"/>
          <w:szCs w:val="22"/>
          <w:lang w:val="en-US" w:eastAsia="en-GB"/>
        </w:rPr>
        <w:t xml:space="preserve">as for example decided </w:t>
      </w:r>
      <w:r w:rsidR="009D4BFA" w:rsidRPr="00EA0CBF">
        <w:rPr>
          <w:rFonts w:ascii="Arial" w:eastAsia="Times New Roman" w:hAnsi="Arial" w:cs="Arial"/>
          <w:color w:val="000000" w:themeColor="text1"/>
          <w:sz w:val="22"/>
          <w:szCs w:val="22"/>
          <w:lang w:eastAsia="en-GB"/>
        </w:rPr>
        <w:t xml:space="preserve">in </w:t>
      </w:r>
      <w:r w:rsidR="009D4BFA" w:rsidRPr="00EA0CBF">
        <w:rPr>
          <w:rFonts w:ascii="Arial" w:eastAsia="Times New Roman" w:hAnsi="Arial" w:cs="Arial"/>
          <w:color w:val="000000" w:themeColor="text1"/>
          <w:sz w:val="22"/>
          <w:szCs w:val="22"/>
          <w:lang w:val="en-US" w:eastAsia="en-GB"/>
        </w:rPr>
        <w:t xml:space="preserve">the case </w:t>
      </w:r>
      <w:r w:rsidR="009D4BFA" w:rsidRPr="00EA0CBF">
        <w:rPr>
          <w:rFonts w:ascii="Arial" w:eastAsia="Times New Roman" w:hAnsi="Arial" w:cs="Arial"/>
          <w:i/>
          <w:iCs/>
          <w:color w:val="000000" w:themeColor="text1"/>
          <w:sz w:val="22"/>
          <w:szCs w:val="22"/>
          <w:lang w:eastAsia="en-GB"/>
        </w:rPr>
        <w:t>ITH Comercial Timișoara</w:t>
      </w:r>
      <w:r w:rsidR="009D4BFA" w:rsidRPr="00EA0CBF">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eastAsia="en-GB"/>
        </w:rPr>
        <w:t>it is the acquisition of goods or services by a taxable person acting as such that gives rise to the application of the VAT system and therefore of the deduction mechanism. The use to which the goods or services are put, or intended to be put, merely determines the extent of the initial deduction to which the taxable person is entitled under Article 168 of the VAT Directive and the extent of any adjustments in the course of the following periods; it does not affect whether the right of deduction arises.</w:t>
      </w:r>
      <w:r w:rsidRPr="00EA0CBF">
        <w:rPr>
          <w:rStyle w:val="FootnoteReference"/>
          <w:rFonts w:ascii="Arial" w:eastAsia="Times New Roman" w:hAnsi="Arial" w:cs="Arial"/>
          <w:color w:val="000000" w:themeColor="text1"/>
          <w:sz w:val="22"/>
          <w:szCs w:val="22"/>
          <w:lang w:eastAsia="en-GB"/>
        </w:rPr>
        <w:footnoteReference w:id="4"/>
      </w:r>
    </w:p>
    <w:p w14:paraId="3B4C8E51" w14:textId="23F07184"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 </w:t>
      </w:r>
      <w:r w:rsidR="009D4BFA" w:rsidRPr="00EA0CBF">
        <w:rPr>
          <w:rFonts w:ascii="Arial" w:eastAsia="Times New Roman" w:hAnsi="Arial" w:cs="Arial"/>
          <w:color w:val="000000" w:themeColor="text1"/>
          <w:sz w:val="22"/>
          <w:szCs w:val="22"/>
          <w:lang w:val="en-US" w:eastAsia="en-GB"/>
        </w:rPr>
        <w:t xml:space="preserve">as for example decided </w:t>
      </w:r>
      <w:r w:rsidR="009D4BFA" w:rsidRPr="00EA0CBF">
        <w:rPr>
          <w:rFonts w:ascii="Arial" w:eastAsia="Times New Roman" w:hAnsi="Arial" w:cs="Arial"/>
          <w:color w:val="000000" w:themeColor="text1"/>
          <w:sz w:val="22"/>
          <w:szCs w:val="22"/>
          <w:lang w:eastAsia="en-GB"/>
        </w:rPr>
        <w:t xml:space="preserve">in </w:t>
      </w:r>
      <w:r w:rsidR="009D4BFA" w:rsidRPr="00EA0CBF">
        <w:rPr>
          <w:rFonts w:ascii="Arial" w:eastAsia="Times New Roman" w:hAnsi="Arial" w:cs="Arial"/>
          <w:color w:val="000000" w:themeColor="text1"/>
          <w:sz w:val="22"/>
          <w:szCs w:val="22"/>
          <w:lang w:val="en-US" w:eastAsia="en-GB"/>
        </w:rPr>
        <w:t xml:space="preserve">the </w:t>
      </w:r>
      <w:r w:rsidR="009D4BFA" w:rsidRPr="00EA0CBF">
        <w:rPr>
          <w:rFonts w:ascii="Arial" w:eastAsia="Times New Roman" w:hAnsi="Arial" w:cs="Arial"/>
          <w:i/>
          <w:iCs/>
          <w:color w:val="000000" w:themeColor="text1"/>
          <w:sz w:val="22"/>
          <w:szCs w:val="22"/>
          <w:lang w:eastAsia="en-GB"/>
        </w:rPr>
        <w:t>INZO</w:t>
      </w:r>
      <w:r w:rsidR="009D4BFA" w:rsidRPr="00EA0CBF">
        <w:rPr>
          <w:rFonts w:ascii="Arial" w:eastAsia="Times New Roman" w:hAnsi="Arial" w:cs="Arial"/>
          <w:color w:val="000000" w:themeColor="text1"/>
          <w:sz w:val="22"/>
          <w:szCs w:val="22"/>
          <w:lang w:eastAsia="en-GB"/>
        </w:rPr>
        <w:t xml:space="preserve"> and </w:t>
      </w:r>
      <w:r w:rsidR="009D4BFA" w:rsidRPr="00EA0CBF">
        <w:rPr>
          <w:rFonts w:ascii="Arial" w:eastAsia="Times New Roman" w:hAnsi="Arial" w:cs="Arial"/>
          <w:i/>
          <w:iCs/>
          <w:color w:val="000000" w:themeColor="text1"/>
          <w:sz w:val="22"/>
          <w:szCs w:val="22"/>
          <w:lang w:eastAsia="en-GB"/>
        </w:rPr>
        <w:t>Ryanair</w:t>
      </w:r>
      <w:r w:rsidR="009D4BFA" w:rsidRPr="00EA0CBF">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eastAsia="en-GB"/>
        </w:rPr>
        <w:t>the right of deduction, once it has arisen, is retained even if, subsequently, the intended economic activity was not carried out and, therefore, did not give rise to taxable transactions, or if, by reason of circumstances beyond its control, the taxable person was unable to use the goods or services which gave rise to the deduction in the context of taxable transactions.</w:t>
      </w:r>
      <w:r w:rsidRPr="00EA0CBF">
        <w:rPr>
          <w:rStyle w:val="FootnoteReference"/>
          <w:rFonts w:ascii="Arial" w:eastAsia="Times New Roman" w:hAnsi="Arial" w:cs="Arial"/>
          <w:color w:val="000000" w:themeColor="text1"/>
          <w:sz w:val="22"/>
          <w:szCs w:val="22"/>
          <w:lang w:eastAsia="en-GB"/>
        </w:rPr>
        <w:footnoteReference w:id="5"/>
      </w:r>
    </w:p>
    <w:p w14:paraId="02FC91B2" w14:textId="5A3FA713" w:rsidR="00473AE8" w:rsidRPr="00EA0CBF" w:rsidRDefault="009D4BFA"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However, t</w:t>
      </w:r>
      <w:r w:rsidR="00473AE8" w:rsidRPr="00EA0CBF">
        <w:rPr>
          <w:rFonts w:ascii="Arial" w:eastAsia="Times New Roman" w:hAnsi="Arial" w:cs="Arial"/>
          <w:color w:val="000000" w:themeColor="text1"/>
          <w:sz w:val="22"/>
          <w:szCs w:val="22"/>
          <w:lang w:val="en-US" w:eastAsia="en-GB"/>
        </w:rPr>
        <w:t xml:space="preserve">he CJEU then </w:t>
      </w:r>
      <w:r w:rsidR="00B07B20" w:rsidRPr="00EA0CBF">
        <w:rPr>
          <w:rFonts w:ascii="Arial" w:eastAsia="Times New Roman" w:hAnsi="Arial" w:cs="Arial"/>
          <w:color w:val="000000" w:themeColor="text1"/>
          <w:sz w:val="22"/>
          <w:szCs w:val="22"/>
          <w:lang w:val="en-US" w:eastAsia="en-GB"/>
        </w:rPr>
        <w:t xml:space="preserve">apparently </w:t>
      </w:r>
      <w:r w:rsidR="00473AE8" w:rsidRPr="00EA0CBF">
        <w:rPr>
          <w:rFonts w:ascii="Arial" w:eastAsia="Times New Roman" w:hAnsi="Arial" w:cs="Arial"/>
          <w:color w:val="000000" w:themeColor="text1"/>
          <w:sz w:val="22"/>
          <w:szCs w:val="22"/>
          <w:lang w:val="en-US" w:eastAsia="en-GB"/>
        </w:rPr>
        <w:t>seeks to clarify the outcome of the INZO case.</w:t>
      </w:r>
      <w:r w:rsidR="00473AE8" w:rsidRPr="00EA0CBF">
        <w:rPr>
          <w:rStyle w:val="FootnoteReference"/>
          <w:rFonts w:ascii="Arial" w:eastAsia="Times New Roman" w:hAnsi="Arial" w:cs="Arial"/>
          <w:color w:val="000000" w:themeColor="text1"/>
          <w:sz w:val="22"/>
          <w:szCs w:val="22"/>
          <w:lang w:val="en-US" w:eastAsia="en-GB"/>
        </w:rPr>
        <w:footnoteReference w:id="6"/>
      </w:r>
      <w:r w:rsidR="00473AE8" w:rsidRPr="00EA0CBF">
        <w:rPr>
          <w:rFonts w:ascii="Arial" w:eastAsia="Times New Roman" w:hAnsi="Arial" w:cs="Arial"/>
          <w:color w:val="000000" w:themeColor="text1"/>
          <w:sz w:val="22"/>
          <w:szCs w:val="22"/>
          <w:lang w:val="en-US" w:eastAsia="en-GB"/>
        </w:rPr>
        <w:t xml:space="preserve"> The Court indeed </w:t>
      </w:r>
      <w:r w:rsidR="00B07B20" w:rsidRPr="00EA0CBF">
        <w:rPr>
          <w:rFonts w:ascii="Arial" w:eastAsia="Times New Roman" w:hAnsi="Arial" w:cs="Arial"/>
          <w:color w:val="000000" w:themeColor="text1"/>
          <w:sz w:val="22"/>
          <w:szCs w:val="22"/>
          <w:lang w:val="en-US" w:eastAsia="en-GB"/>
        </w:rPr>
        <w:t>holds</w:t>
      </w:r>
      <w:r w:rsidR="00473AE8" w:rsidRPr="00EA0CBF">
        <w:rPr>
          <w:rFonts w:ascii="Arial" w:eastAsia="Times New Roman" w:hAnsi="Arial" w:cs="Arial"/>
          <w:color w:val="000000" w:themeColor="text1"/>
          <w:sz w:val="22"/>
          <w:szCs w:val="22"/>
          <w:lang w:val="en-US" w:eastAsia="en-GB"/>
        </w:rPr>
        <w:t xml:space="preserve"> that although</w:t>
      </w:r>
      <w:r w:rsidR="00D35187" w:rsidRPr="00EA0CBF">
        <w:rPr>
          <w:rFonts w:ascii="Arial" w:eastAsia="Times New Roman" w:hAnsi="Arial" w:cs="Arial"/>
          <w:color w:val="000000" w:themeColor="text1"/>
          <w:sz w:val="22"/>
          <w:szCs w:val="22"/>
          <w:lang w:val="en-US" w:eastAsia="en-GB"/>
        </w:rPr>
        <w:t>, as decided in this landmark case,</w:t>
      </w:r>
      <w:r w:rsidR="00473AE8" w:rsidRPr="00EA0CBF">
        <w:rPr>
          <w:rFonts w:ascii="Arial" w:eastAsia="Times New Roman" w:hAnsi="Arial" w:cs="Arial"/>
          <w:color w:val="000000" w:themeColor="text1"/>
          <w:sz w:val="22"/>
          <w:szCs w:val="22"/>
          <w:lang w:val="en-US" w:eastAsia="en-GB"/>
        </w:rPr>
        <w:t xml:space="preserve"> </w:t>
      </w:r>
      <w:r w:rsidR="00473AE8" w:rsidRPr="00EA0CBF">
        <w:rPr>
          <w:rFonts w:ascii="Arial" w:eastAsia="Times New Roman" w:hAnsi="Arial" w:cs="Arial"/>
          <w:color w:val="000000" w:themeColor="text1"/>
          <w:sz w:val="22"/>
          <w:szCs w:val="22"/>
          <w:lang w:eastAsia="en-GB"/>
        </w:rPr>
        <w:t xml:space="preserve">the right of deduction is retained even where an activity is brought to an end before it gives rise to any taxable transactions, </w:t>
      </w:r>
      <w:r w:rsidR="00473AE8" w:rsidRPr="00EA0CBF">
        <w:rPr>
          <w:rFonts w:ascii="Arial" w:eastAsia="Times New Roman" w:hAnsi="Arial" w:cs="Arial"/>
          <w:color w:val="000000" w:themeColor="text1"/>
          <w:sz w:val="22"/>
          <w:szCs w:val="22"/>
          <w:lang w:val="en-US" w:eastAsia="en-GB"/>
        </w:rPr>
        <w:t xml:space="preserve">this outcome </w:t>
      </w:r>
      <w:r w:rsidR="00473AE8" w:rsidRPr="00EA0CBF">
        <w:rPr>
          <w:rFonts w:ascii="Arial" w:eastAsia="Times New Roman" w:hAnsi="Arial" w:cs="Arial"/>
          <w:color w:val="000000" w:themeColor="text1"/>
          <w:sz w:val="22"/>
          <w:szCs w:val="22"/>
          <w:lang w:eastAsia="en-GB"/>
        </w:rPr>
        <w:t xml:space="preserve">must be combined with the rules of the VAT Directive regarding the </w:t>
      </w:r>
      <w:r w:rsidR="00473AE8" w:rsidRPr="00EA0CBF">
        <w:rPr>
          <w:rFonts w:ascii="Arial" w:eastAsia="Times New Roman" w:hAnsi="Arial" w:cs="Arial"/>
          <w:color w:val="000000" w:themeColor="text1"/>
          <w:sz w:val="22"/>
          <w:szCs w:val="22"/>
          <w:lang w:val="en-US" w:eastAsia="en-GB"/>
        </w:rPr>
        <w:t xml:space="preserve">mechanism of </w:t>
      </w:r>
      <w:r w:rsidR="00473AE8" w:rsidRPr="00EA0CBF">
        <w:rPr>
          <w:rFonts w:ascii="Arial" w:eastAsia="Times New Roman" w:hAnsi="Arial" w:cs="Arial"/>
          <w:color w:val="000000" w:themeColor="text1"/>
          <w:sz w:val="22"/>
          <w:szCs w:val="22"/>
          <w:lang w:eastAsia="en-GB"/>
        </w:rPr>
        <w:t>adjustment</w:t>
      </w:r>
      <w:r w:rsidR="00473AE8" w:rsidRPr="00EA0CBF">
        <w:rPr>
          <w:rFonts w:ascii="Arial" w:eastAsia="Times New Roman" w:hAnsi="Arial" w:cs="Arial"/>
          <w:color w:val="000000" w:themeColor="text1"/>
          <w:sz w:val="22"/>
          <w:szCs w:val="22"/>
          <w:lang w:val="en-US" w:eastAsia="en-GB"/>
        </w:rPr>
        <w:t>s</w:t>
      </w:r>
      <w:r w:rsidR="00473AE8" w:rsidRPr="00EA0CBF">
        <w:rPr>
          <w:rFonts w:ascii="Arial" w:eastAsia="Times New Roman" w:hAnsi="Arial" w:cs="Arial"/>
          <w:color w:val="000000" w:themeColor="text1"/>
          <w:sz w:val="22"/>
          <w:szCs w:val="22"/>
          <w:lang w:eastAsia="en-GB"/>
        </w:rPr>
        <w:t xml:space="preserve"> of deductions provided for in Articles 184 to 187 of the VAT Directive</w:t>
      </w:r>
      <w:r w:rsidR="00473AE8" w:rsidRPr="00EA0CBF">
        <w:rPr>
          <w:rFonts w:ascii="Arial" w:eastAsia="Times New Roman" w:hAnsi="Arial" w:cs="Arial"/>
          <w:color w:val="000000" w:themeColor="text1"/>
          <w:sz w:val="22"/>
          <w:szCs w:val="22"/>
          <w:lang w:val="en-US" w:eastAsia="en-GB"/>
        </w:rPr>
        <w:t xml:space="preserve">. </w:t>
      </w:r>
      <w:r w:rsidR="00B54DD7" w:rsidRPr="00EA0CBF">
        <w:rPr>
          <w:rFonts w:ascii="Arial" w:eastAsia="Times New Roman" w:hAnsi="Arial" w:cs="Arial"/>
          <w:color w:val="000000" w:themeColor="text1"/>
          <w:sz w:val="22"/>
          <w:szCs w:val="22"/>
          <w:lang w:val="en-US" w:eastAsia="en-GB"/>
        </w:rPr>
        <w:t>Referring</w:t>
      </w:r>
      <w:r w:rsidR="00473AE8" w:rsidRPr="00EA0CBF">
        <w:rPr>
          <w:rFonts w:ascii="Arial" w:eastAsia="Times New Roman" w:hAnsi="Arial" w:cs="Arial"/>
          <w:color w:val="000000" w:themeColor="text1"/>
          <w:sz w:val="22"/>
          <w:szCs w:val="22"/>
          <w:lang w:val="en-US" w:eastAsia="en-GB"/>
        </w:rPr>
        <w:t xml:space="preserve"> to its recent </w:t>
      </w:r>
      <w:r w:rsidR="00AB738A" w:rsidRPr="00EA0CBF">
        <w:rPr>
          <w:rFonts w:ascii="Arial" w:eastAsia="Times New Roman" w:hAnsi="Arial" w:cs="Arial"/>
          <w:color w:val="000000" w:themeColor="text1"/>
          <w:sz w:val="22"/>
          <w:szCs w:val="22"/>
          <w:lang w:val="en-US" w:eastAsia="en-GB"/>
        </w:rPr>
        <w:t>O</w:t>
      </w:r>
      <w:r w:rsidR="00473AE8" w:rsidRPr="00EA0CBF">
        <w:rPr>
          <w:rFonts w:ascii="Arial" w:eastAsia="Times New Roman" w:hAnsi="Arial" w:cs="Arial"/>
          <w:color w:val="000000" w:themeColor="text1"/>
          <w:sz w:val="22"/>
          <w:szCs w:val="22"/>
          <w:lang w:val="en-US" w:eastAsia="en-GB"/>
        </w:rPr>
        <w:t>rder in the</w:t>
      </w:r>
      <w:r w:rsidRPr="00EA0CBF">
        <w:rPr>
          <w:rFonts w:ascii="Arial" w:eastAsia="Times New Roman" w:hAnsi="Arial" w:cs="Arial"/>
          <w:color w:val="000000" w:themeColor="text1"/>
          <w:sz w:val="22"/>
          <w:szCs w:val="22"/>
          <w:lang w:val="en-US" w:eastAsia="en-GB"/>
        </w:rPr>
        <w:t xml:space="preserve"> case</w:t>
      </w:r>
      <w:r w:rsidR="00473AE8" w:rsidRPr="00EA0CBF">
        <w:rPr>
          <w:rFonts w:ascii="Arial" w:eastAsia="Times New Roman" w:hAnsi="Arial" w:cs="Arial"/>
          <w:color w:val="000000" w:themeColor="text1"/>
          <w:sz w:val="22"/>
          <w:szCs w:val="22"/>
          <w:lang w:val="en-US" w:eastAsia="en-GB"/>
        </w:rPr>
        <w:t xml:space="preserve"> </w:t>
      </w:r>
      <w:r w:rsidR="00473AE8" w:rsidRPr="00EA0CBF">
        <w:rPr>
          <w:rFonts w:ascii="Arial" w:eastAsia="Times New Roman" w:hAnsi="Arial" w:cs="Arial"/>
          <w:i/>
          <w:iCs/>
          <w:color w:val="000000" w:themeColor="text1"/>
          <w:sz w:val="22"/>
          <w:szCs w:val="22"/>
          <w:lang w:eastAsia="en-GB"/>
        </w:rPr>
        <w:t>Skellefteå Industrihus</w:t>
      </w:r>
      <w:r w:rsidR="00E37ACC" w:rsidRPr="00EA0CBF">
        <w:rPr>
          <w:rFonts w:ascii="Arial" w:eastAsia="Times New Roman" w:hAnsi="Arial" w:cs="Arial"/>
          <w:color w:val="000000" w:themeColor="text1"/>
          <w:sz w:val="22"/>
          <w:szCs w:val="22"/>
          <w:lang w:val="en-US" w:eastAsia="en-GB"/>
        </w:rPr>
        <w:t>,</w:t>
      </w:r>
      <w:r w:rsidR="00B54DD7" w:rsidRPr="00EA0CBF">
        <w:rPr>
          <w:rStyle w:val="FootnoteReference"/>
          <w:rFonts w:ascii="Arial" w:eastAsia="Times New Roman" w:hAnsi="Arial" w:cs="Arial"/>
          <w:color w:val="000000" w:themeColor="text1"/>
          <w:sz w:val="22"/>
          <w:szCs w:val="22"/>
          <w:lang w:val="en-US" w:eastAsia="en-GB"/>
        </w:rPr>
        <w:footnoteReference w:id="7"/>
      </w:r>
      <w:r w:rsidR="00E37ACC" w:rsidRPr="00EA0CBF">
        <w:rPr>
          <w:rFonts w:ascii="Arial" w:eastAsia="Times New Roman" w:hAnsi="Arial" w:cs="Arial"/>
          <w:color w:val="000000" w:themeColor="text1"/>
          <w:sz w:val="22"/>
          <w:szCs w:val="22"/>
          <w:lang w:val="en-US" w:eastAsia="en-GB"/>
        </w:rPr>
        <w:t xml:space="preserve"> </w:t>
      </w:r>
      <w:r w:rsidR="00B54DD7" w:rsidRPr="00EA0CBF">
        <w:rPr>
          <w:rFonts w:ascii="Arial" w:eastAsia="Times New Roman" w:hAnsi="Arial" w:cs="Arial"/>
          <w:color w:val="000000" w:themeColor="text1"/>
          <w:sz w:val="22"/>
          <w:szCs w:val="22"/>
          <w:lang w:val="en-US" w:eastAsia="en-GB"/>
        </w:rPr>
        <w:t>it recalls that t</w:t>
      </w:r>
      <w:r w:rsidR="00B54DD7" w:rsidRPr="00EA0CBF">
        <w:rPr>
          <w:rFonts w:ascii="Arial" w:hAnsi="Arial" w:cs="Arial"/>
          <w:color w:val="000000" w:themeColor="text1"/>
          <w:sz w:val="22"/>
          <w:szCs w:val="22"/>
        </w:rPr>
        <w:t>he adjustment mechanism provided for in Articles 184 to 187 of the VAT Directive is an integral part of the VAT deduction scheme established by that directive and aims to establish a close and direct relationship between the right to deduct the input VAT paid and the use of the goods or services concerned for taxed output transactions.</w:t>
      </w:r>
      <w:r w:rsidR="00AB738A" w:rsidRPr="00EA0CBF">
        <w:rPr>
          <w:rStyle w:val="FootnoteReference"/>
          <w:rFonts w:ascii="Arial" w:eastAsia="Times New Roman" w:hAnsi="Arial" w:cs="Arial"/>
          <w:color w:val="000000" w:themeColor="text1"/>
          <w:sz w:val="22"/>
          <w:szCs w:val="22"/>
          <w:lang w:eastAsia="en-GB"/>
        </w:rPr>
        <w:t xml:space="preserve"> </w:t>
      </w:r>
      <w:r w:rsidR="00AB738A" w:rsidRPr="00EA0CBF">
        <w:rPr>
          <w:rStyle w:val="FootnoteReference"/>
          <w:rFonts w:ascii="Arial" w:eastAsia="Times New Roman" w:hAnsi="Arial" w:cs="Arial"/>
          <w:color w:val="000000" w:themeColor="text1"/>
          <w:sz w:val="22"/>
          <w:szCs w:val="22"/>
          <w:lang w:eastAsia="en-GB"/>
        </w:rPr>
        <w:footnoteReference w:id="8"/>
      </w:r>
      <w:r w:rsidR="00AB738A" w:rsidRPr="00EA0CBF">
        <w:rPr>
          <w:rFonts w:ascii="Arial" w:hAnsi="Arial" w:cs="Arial"/>
          <w:color w:val="000000" w:themeColor="text1"/>
          <w:sz w:val="22"/>
          <w:szCs w:val="22"/>
          <w:lang w:val="en-US"/>
        </w:rPr>
        <w:t xml:space="preserve"> </w:t>
      </w:r>
      <w:r w:rsidR="00473AE8" w:rsidRPr="00EA0CBF">
        <w:rPr>
          <w:rFonts w:ascii="Arial" w:eastAsia="Times New Roman" w:hAnsi="Arial" w:cs="Arial"/>
          <w:color w:val="000000" w:themeColor="text1"/>
          <w:sz w:val="22"/>
          <w:szCs w:val="22"/>
          <w:lang w:val="en-US" w:eastAsia="en-GB"/>
        </w:rPr>
        <w:t xml:space="preserve">The CJEU notes that in the case at stake </w:t>
      </w:r>
      <w:r w:rsidR="00473AE8" w:rsidRPr="00EA0CBF">
        <w:rPr>
          <w:rFonts w:ascii="Arial" w:eastAsia="Times New Roman" w:hAnsi="Arial" w:cs="Arial"/>
          <w:color w:val="000000" w:themeColor="text1"/>
          <w:sz w:val="22"/>
          <w:szCs w:val="22"/>
          <w:lang w:eastAsia="en-GB"/>
        </w:rPr>
        <w:t>the taxable person no longer has – and will never have – any intention of using the capital goods produced for the purposes of taxed transactions</w:t>
      </w:r>
      <w:r w:rsidR="00473AE8" w:rsidRPr="00EA0CBF">
        <w:rPr>
          <w:rFonts w:ascii="Arial" w:eastAsia="Times New Roman" w:hAnsi="Arial" w:cs="Arial"/>
          <w:color w:val="000000" w:themeColor="text1"/>
          <w:sz w:val="22"/>
          <w:szCs w:val="22"/>
          <w:lang w:val="en-US" w:eastAsia="en-GB"/>
        </w:rPr>
        <w:t xml:space="preserve"> and decides that</w:t>
      </w:r>
      <w:r w:rsidR="0063727A">
        <w:rPr>
          <w:rFonts w:ascii="Arial" w:eastAsia="Times New Roman" w:hAnsi="Arial" w:cs="Arial"/>
          <w:color w:val="000000" w:themeColor="text1"/>
          <w:sz w:val="22"/>
          <w:szCs w:val="22"/>
          <w:lang w:val="en-US" w:eastAsia="en-GB"/>
        </w:rPr>
        <w:t>,</w:t>
      </w:r>
      <w:r w:rsidR="00473AE8" w:rsidRPr="00EA0CBF">
        <w:rPr>
          <w:rFonts w:ascii="Arial" w:eastAsia="Times New Roman" w:hAnsi="Arial" w:cs="Arial"/>
          <w:color w:val="000000" w:themeColor="text1"/>
          <w:sz w:val="22"/>
          <w:szCs w:val="22"/>
          <w:lang w:val="en-US" w:eastAsia="en-GB"/>
        </w:rPr>
        <w:t xml:space="preserve"> i</w:t>
      </w:r>
      <w:r w:rsidR="00473AE8" w:rsidRPr="00EA0CBF">
        <w:rPr>
          <w:rFonts w:ascii="Arial" w:eastAsia="Times New Roman" w:hAnsi="Arial" w:cs="Arial"/>
          <w:color w:val="000000" w:themeColor="text1"/>
          <w:sz w:val="22"/>
          <w:szCs w:val="22"/>
          <w:lang w:eastAsia="en-GB"/>
        </w:rPr>
        <w:t xml:space="preserve">f that situation is confirmed, </w:t>
      </w:r>
      <w:r w:rsidR="00AB738A" w:rsidRPr="00EA0CBF">
        <w:rPr>
          <w:rFonts w:ascii="Arial" w:eastAsia="Times New Roman" w:hAnsi="Arial" w:cs="Arial"/>
          <w:color w:val="000000" w:themeColor="text1"/>
          <w:sz w:val="22"/>
          <w:szCs w:val="22"/>
          <w:lang w:eastAsia="en-GB"/>
        </w:rPr>
        <w:t xml:space="preserve">the close and direct relationship which must exist between the right to deduct the input VAT paid and the carrying out of the planned taxed transactions </w:t>
      </w:r>
      <w:r w:rsidR="00AB738A" w:rsidRPr="00EA0CBF">
        <w:rPr>
          <w:rFonts w:ascii="Arial" w:eastAsia="Times New Roman" w:hAnsi="Arial" w:cs="Arial"/>
          <w:color w:val="000000" w:themeColor="text1"/>
          <w:sz w:val="22"/>
          <w:szCs w:val="22"/>
          <w:lang w:val="en-US" w:eastAsia="en-GB"/>
        </w:rPr>
        <w:t>is</w:t>
      </w:r>
      <w:r w:rsidR="00AB738A" w:rsidRPr="00EA0CBF">
        <w:rPr>
          <w:rFonts w:ascii="Arial" w:eastAsia="Times New Roman" w:hAnsi="Arial" w:cs="Arial"/>
          <w:color w:val="000000" w:themeColor="text1"/>
          <w:sz w:val="22"/>
          <w:szCs w:val="22"/>
          <w:lang w:eastAsia="en-GB"/>
        </w:rPr>
        <w:t xml:space="preserve"> broken</w:t>
      </w:r>
      <w:r w:rsidR="00AB738A" w:rsidRPr="00EA0CBF">
        <w:rPr>
          <w:rFonts w:ascii="Arial" w:eastAsia="Times New Roman" w:hAnsi="Arial" w:cs="Arial"/>
          <w:color w:val="000000" w:themeColor="text1"/>
          <w:sz w:val="22"/>
          <w:szCs w:val="22"/>
          <w:lang w:val="en-US" w:eastAsia="en-GB"/>
        </w:rPr>
        <w:t xml:space="preserve">, and that </w:t>
      </w:r>
      <w:r w:rsidR="00473AE8" w:rsidRPr="00EA0CBF">
        <w:rPr>
          <w:rFonts w:ascii="Arial" w:eastAsia="Times New Roman" w:hAnsi="Arial" w:cs="Arial"/>
          <w:color w:val="000000" w:themeColor="text1"/>
          <w:sz w:val="22"/>
          <w:szCs w:val="22"/>
          <w:lang w:eastAsia="en-GB"/>
        </w:rPr>
        <w:t>the adjustment mechanism provided for in Articles 184 to 187 of the VAT Directive must be applied.</w:t>
      </w:r>
    </w:p>
    <w:p w14:paraId="2E6E0C18" w14:textId="77777777"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 xml:space="preserve">The CJEU then importantly adds, in paragraph 50 of the decision, that the outcome would be different if the taxable person put in liquidation had sold the </w:t>
      </w:r>
      <w:r w:rsidRPr="00EA0CBF">
        <w:rPr>
          <w:rFonts w:ascii="Arial" w:eastAsia="Times New Roman" w:hAnsi="Arial" w:cs="Arial"/>
          <w:color w:val="000000" w:themeColor="text1"/>
          <w:sz w:val="22"/>
          <w:szCs w:val="22"/>
          <w:lang w:eastAsia="en-GB"/>
        </w:rPr>
        <w:t xml:space="preserve">assets </w:t>
      </w:r>
      <w:r w:rsidRPr="00EA0CBF">
        <w:rPr>
          <w:rFonts w:ascii="Arial" w:eastAsia="Times New Roman" w:hAnsi="Arial" w:cs="Arial"/>
          <w:color w:val="000000" w:themeColor="text1"/>
          <w:sz w:val="22"/>
          <w:szCs w:val="22"/>
          <w:lang w:val="en-US" w:eastAsia="en-GB"/>
        </w:rPr>
        <w:t>acquired</w:t>
      </w:r>
      <w:r w:rsidRPr="00EA0CBF">
        <w:rPr>
          <w:rFonts w:ascii="Arial" w:eastAsia="Times New Roman" w:hAnsi="Arial" w:cs="Arial"/>
          <w:color w:val="000000" w:themeColor="text1"/>
          <w:sz w:val="22"/>
          <w:szCs w:val="22"/>
          <w:lang w:eastAsia="en-GB"/>
        </w:rPr>
        <w:t>, even though that does not form part of the economic activity initially planned by that taxable person.</w:t>
      </w:r>
      <w:r w:rsidRPr="00EA0CBF">
        <w:rPr>
          <w:rStyle w:val="FootnoteReference"/>
          <w:rFonts w:ascii="Arial" w:eastAsia="Times New Roman" w:hAnsi="Arial" w:cs="Arial"/>
          <w:color w:val="000000" w:themeColor="text1"/>
          <w:sz w:val="22"/>
          <w:szCs w:val="22"/>
          <w:lang w:val="en-US" w:eastAsia="en-GB"/>
        </w:rPr>
        <w:footnoteReference w:id="9"/>
      </w:r>
    </w:p>
    <w:p w14:paraId="4ED2B190" w14:textId="1DABB6DD"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lastRenderedPageBreak/>
        <w:t xml:space="preserve">Summing up, on the first question raised by the referring court the CJEU decides that </w:t>
      </w:r>
      <w:r w:rsidRPr="00EA0CBF">
        <w:rPr>
          <w:rFonts w:ascii="Arial" w:eastAsia="Times New Roman" w:hAnsi="Arial" w:cs="Arial"/>
          <w:color w:val="000000" w:themeColor="text1"/>
          <w:sz w:val="22"/>
          <w:szCs w:val="22"/>
          <w:lang w:eastAsia="en-GB"/>
        </w:rPr>
        <w:t>Articles 184 to 187 of the VAT Directive must be interpreted as meaning that a taxable person is under an obligation to adjust deductions of input VAT relating to the acquisition of goods or services intended to produce capital goods in the case where, as a result of the decision of the owner or sole shareholder of that taxable person to place it in liquidation and of the taxable person’s request to be removed, and it being removed, from the register of VAT payers, the capital goods produced have not been used – and will never be used – in the course of taxable economic activities.</w:t>
      </w:r>
      <w:r w:rsidRPr="00EA0CBF">
        <w:rPr>
          <w:rFonts w:ascii="Arial" w:eastAsia="Times New Roman" w:hAnsi="Arial" w:cs="Arial"/>
          <w:color w:val="000000" w:themeColor="text1"/>
          <w:sz w:val="22"/>
          <w:szCs w:val="22"/>
          <w:lang w:val="en-US" w:eastAsia="en-GB"/>
        </w:rPr>
        <w:t xml:space="preserve"> </w:t>
      </w:r>
    </w:p>
    <w:p w14:paraId="03F2BEAD" w14:textId="56F960BD"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On the second question raised by the referring court the CJEU confirms that, in accordance with previous case law, </w:t>
      </w:r>
      <w:r w:rsidRPr="00EA0CBF">
        <w:rPr>
          <w:rFonts w:ascii="Arial" w:eastAsia="Times New Roman" w:hAnsi="Arial" w:cs="Arial"/>
          <w:color w:val="000000" w:themeColor="text1"/>
          <w:sz w:val="22"/>
          <w:szCs w:val="22"/>
          <w:lang w:eastAsia="en-GB"/>
        </w:rPr>
        <w:t>it is not for the tax authorities to assess the soundness of the taxable person’s reasons for abandoning the economic activity initially planned, since the VAT ensures neutrality of taxation of all economic activities, whatever their purpose or results, provided that they are themselves subject in principle to VAT.</w:t>
      </w:r>
      <w:r w:rsidRPr="00EA0CBF">
        <w:rPr>
          <w:rStyle w:val="FootnoteReference"/>
          <w:rFonts w:ascii="Arial" w:eastAsia="Times New Roman" w:hAnsi="Arial" w:cs="Arial"/>
          <w:color w:val="000000" w:themeColor="text1"/>
          <w:sz w:val="22"/>
          <w:szCs w:val="22"/>
          <w:lang w:eastAsia="en-GB"/>
        </w:rPr>
        <w:footnoteReference w:id="10"/>
      </w:r>
      <w:r w:rsidRPr="00EA0CBF">
        <w:rPr>
          <w:rFonts w:ascii="Arial" w:eastAsia="Times New Roman" w:hAnsi="Arial" w:cs="Arial"/>
          <w:color w:val="000000" w:themeColor="text1"/>
          <w:sz w:val="22"/>
          <w:szCs w:val="22"/>
          <w:lang w:val="en-US" w:eastAsia="en-GB"/>
        </w:rPr>
        <w:t xml:space="preserve"> Hence,</w:t>
      </w:r>
      <w:r w:rsidRPr="00EA0CBF">
        <w:rPr>
          <w:rFonts w:ascii="Arial" w:eastAsia="Times New Roman" w:hAnsi="Arial" w:cs="Arial"/>
          <w:color w:val="000000" w:themeColor="text1"/>
          <w:sz w:val="22"/>
          <w:szCs w:val="22"/>
          <w:lang w:eastAsia="en-GB"/>
        </w:rPr>
        <w:t xml:space="preserve"> the reasons for the decision to place that taxable person in liquidation and, consequently, for the abandonment of the intended taxable economic activity, such as constantly growing losses, the absence of orders and the doubts of the taxable person’s shareholder as to the profitability of the intended economic activity, have no bearing on the taxable person’s obligation to adjust the deductions of VAT concerned, in so far as that taxable person no longer has – and will never have – any intention of using the capital goods for the purposes of taxable transactions.</w:t>
      </w:r>
      <w:r w:rsidRPr="00EA0CBF">
        <w:rPr>
          <w:rStyle w:val="FootnoteReference"/>
          <w:rFonts w:ascii="Arial" w:eastAsia="Times New Roman" w:hAnsi="Arial" w:cs="Arial"/>
          <w:color w:val="000000" w:themeColor="text1"/>
          <w:sz w:val="22"/>
          <w:szCs w:val="22"/>
          <w:lang w:eastAsia="en-GB"/>
        </w:rPr>
        <w:footnoteReference w:id="11"/>
      </w:r>
    </w:p>
    <w:p w14:paraId="1289B2C4" w14:textId="77777777"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Based on the above, the operative part the decision is as follows:</w:t>
      </w:r>
    </w:p>
    <w:p w14:paraId="48F9D5DA" w14:textId="338DD879" w:rsidR="00E92FB3" w:rsidRPr="00EA0CBF" w:rsidRDefault="00473AE8" w:rsidP="00E92FB3">
      <w:pPr>
        <w:spacing w:before="100" w:beforeAutospacing="1" w:after="240"/>
        <w:ind w:left="36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val="en-US" w:eastAsia="en-GB"/>
        </w:rPr>
        <w:t>“</w:t>
      </w:r>
      <w:r w:rsidRPr="00EF19B0">
        <w:rPr>
          <w:rFonts w:ascii="Arial" w:eastAsia="Times New Roman" w:hAnsi="Arial" w:cs="Arial"/>
          <w:color w:val="000000" w:themeColor="text1"/>
          <w:sz w:val="18"/>
          <w:szCs w:val="18"/>
          <w:lang w:eastAsia="en-GB"/>
        </w:rPr>
        <w:t xml:space="preserve">Articles 184 to 187 of Council Directive 2006/112/EC of 28 November 2006 on the common system of value added </w:t>
      </w:r>
      <w:r w:rsidRPr="00EA0CBF">
        <w:rPr>
          <w:rFonts w:ascii="Arial" w:eastAsia="Times New Roman" w:hAnsi="Arial" w:cs="Arial"/>
          <w:color w:val="000000" w:themeColor="text1"/>
          <w:sz w:val="18"/>
          <w:szCs w:val="18"/>
          <w:lang w:eastAsia="en-GB"/>
        </w:rPr>
        <w:t>ta</w:t>
      </w:r>
      <w:r w:rsidR="00E37ACC" w:rsidRPr="00EA0CBF">
        <w:rPr>
          <w:rFonts w:ascii="Arial" w:eastAsia="Times New Roman" w:hAnsi="Arial" w:cs="Arial"/>
          <w:color w:val="000000" w:themeColor="text1"/>
          <w:sz w:val="18"/>
          <w:szCs w:val="18"/>
          <w:lang w:val="en-US" w:eastAsia="en-GB"/>
        </w:rPr>
        <w:t>x</w:t>
      </w:r>
      <w:r w:rsidRPr="00EA0CBF">
        <w:rPr>
          <w:rFonts w:ascii="Arial" w:eastAsia="Times New Roman" w:hAnsi="Arial" w:cs="Arial"/>
          <w:color w:val="000000" w:themeColor="text1"/>
          <w:sz w:val="18"/>
          <w:szCs w:val="18"/>
          <w:lang w:val="en-US" w:eastAsia="en-GB"/>
        </w:rPr>
        <w:t xml:space="preserve"> </w:t>
      </w:r>
      <w:r w:rsidRPr="00EF19B0">
        <w:rPr>
          <w:rFonts w:ascii="Arial" w:eastAsia="Times New Roman" w:hAnsi="Arial" w:cs="Arial"/>
          <w:color w:val="000000" w:themeColor="text1"/>
          <w:sz w:val="18"/>
          <w:szCs w:val="18"/>
          <w:lang w:eastAsia="en-GB"/>
        </w:rPr>
        <w:t>must be interpreted as meaning that a taxable person is under an obligation to adjust deductions of input value added tax (VAT) relating to the acquisition of goods or services intended to produce capital goods in the case where, as a result of the decision of the owner or sole shareholder of that taxable person to place it in liquidation and of the taxable person’s request to be removed, and it being removed, from the register of VAT payers, the capital goods produced have not been used – and will never be used – in the course of taxable economic activities. The reasons for the decision to place that taxable person in liquidation and, consequently, for the abandonment of the intended taxable economic activity, such as constantly growing losses, the absence of orders and the doubts of the taxable person’s shareholder as to the profitability of the intended economic activity, have no bearing on the taxable person’s obligation to adjust the deductions of VAT concerned, in so far as that taxable person no longer has – and will never have – any intention of using the capital goods for the purposes of taxable transactions</w:t>
      </w:r>
      <w:r w:rsidRPr="00EA0CBF">
        <w:rPr>
          <w:rFonts w:ascii="Arial" w:eastAsia="Times New Roman" w:hAnsi="Arial" w:cs="Arial"/>
          <w:color w:val="000000" w:themeColor="text1"/>
          <w:sz w:val="18"/>
          <w:szCs w:val="18"/>
          <w:lang w:val="en-US" w:eastAsia="en-GB"/>
        </w:rPr>
        <w:t>”</w:t>
      </w:r>
      <w:r w:rsidRPr="00EF19B0">
        <w:rPr>
          <w:rFonts w:ascii="Arial" w:eastAsia="Times New Roman" w:hAnsi="Arial" w:cs="Arial"/>
          <w:color w:val="000000" w:themeColor="text1"/>
          <w:sz w:val="18"/>
          <w:szCs w:val="18"/>
          <w:lang w:eastAsia="en-GB"/>
        </w:rPr>
        <w:t>.</w:t>
      </w:r>
    </w:p>
    <w:p w14:paraId="3C4914E4"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92FB3">
        <w:rPr>
          <w:rFonts w:ascii="Arial" w:eastAsia="Times New Roman" w:hAnsi="Arial" w:cs="Arial"/>
          <w:b/>
          <w:bCs/>
          <w:color w:val="FF0000"/>
          <w:sz w:val="22"/>
          <w:szCs w:val="22"/>
          <w:shd w:val="clear" w:color="auto" w:fill="FFFFFF"/>
          <w:lang w:val="en-US" w:eastAsia="en-GB"/>
        </w:rPr>
        <w:t xml:space="preserve">Preliminary </w:t>
      </w:r>
      <w:r w:rsidRPr="00EA0CBF">
        <w:rPr>
          <w:rFonts w:ascii="Arial" w:eastAsia="Times New Roman" w:hAnsi="Arial" w:cs="Arial"/>
          <w:b/>
          <w:bCs/>
          <w:color w:val="000000" w:themeColor="text1"/>
          <w:sz w:val="22"/>
          <w:szCs w:val="22"/>
          <w:shd w:val="clear" w:color="auto" w:fill="FFFFFF"/>
          <w:lang w:val="en-US" w:eastAsia="en-GB"/>
        </w:rPr>
        <w:t>comments (to be discussed with panel members)</w:t>
      </w:r>
    </w:p>
    <w:p w14:paraId="5AB354E1" w14:textId="77777777" w:rsidR="00473AE8" w:rsidRPr="00EA0CBF" w:rsidRDefault="00473AE8" w:rsidP="00473AE8">
      <w:pPr>
        <w:jc w:val="both"/>
        <w:rPr>
          <w:rFonts w:ascii="Arial" w:eastAsia="Times New Roman" w:hAnsi="Arial" w:cs="Arial"/>
          <w:b/>
          <w:bCs/>
          <w:color w:val="000000" w:themeColor="text1"/>
          <w:sz w:val="22"/>
          <w:szCs w:val="22"/>
          <w:shd w:val="clear" w:color="auto" w:fill="FFFFFF"/>
          <w:lang w:val="en-US" w:eastAsia="en-GB"/>
        </w:rPr>
      </w:pPr>
    </w:p>
    <w:p w14:paraId="2CCC24B7" w14:textId="38010E86" w:rsidR="00473AE8" w:rsidRPr="00EA0CBF" w:rsidRDefault="00473AE8" w:rsidP="00473AE8">
      <w:pPr>
        <w:jc w:val="both"/>
        <w:rPr>
          <w:rFonts w:ascii="Arial" w:eastAsia="Times New Roman" w:hAnsi="Arial" w:cs="Arial"/>
          <w:color w:val="000000" w:themeColor="text1"/>
          <w:sz w:val="22"/>
          <w:szCs w:val="22"/>
          <w:shd w:val="clear" w:color="auto" w:fill="FFFFFF"/>
          <w:lang w:val="en-US" w:eastAsia="en-GB"/>
        </w:rPr>
      </w:pPr>
      <w:r w:rsidRPr="00EA0CBF">
        <w:rPr>
          <w:rFonts w:ascii="Arial" w:eastAsia="Times New Roman" w:hAnsi="Arial" w:cs="Arial"/>
          <w:color w:val="000000" w:themeColor="text1"/>
          <w:sz w:val="22"/>
          <w:szCs w:val="22"/>
          <w:shd w:val="clear" w:color="auto" w:fill="FFFFFF"/>
          <w:lang w:val="en-US" w:eastAsia="en-GB"/>
        </w:rPr>
        <w:t xml:space="preserve">This </w:t>
      </w:r>
      <w:r w:rsidR="006F3DE8" w:rsidRPr="00EA0CBF">
        <w:rPr>
          <w:rFonts w:ascii="Arial" w:eastAsia="Times New Roman" w:hAnsi="Arial" w:cs="Arial"/>
          <w:color w:val="000000" w:themeColor="text1"/>
          <w:sz w:val="22"/>
          <w:szCs w:val="22"/>
          <w:shd w:val="clear" w:color="auto" w:fill="FFFFFF"/>
          <w:lang w:val="en-US" w:eastAsia="en-GB"/>
        </w:rPr>
        <w:t xml:space="preserve">CJEU </w:t>
      </w:r>
      <w:r w:rsidRPr="00EA0CBF">
        <w:rPr>
          <w:rFonts w:ascii="Arial" w:eastAsia="Times New Roman" w:hAnsi="Arial" w:cs="Arial"/>
          <w:color w:val="000000" w:themeColor="text1"/>
          <w:sz w:val="22"/>
          <w:szCs w:val="22"/>
          <w:shd w:val="clear" w:color="auto" w:fill="FFFFFF"/>
          <w:lang w:val="en-US" w:eastAsia="en-GB"/>
        </w:rPr>
        <w:t xml:space="preserve">decision in the </w:t>
      </w:r>
      <w:proofErr w:type="spellStart"/>
      <w:r w:rsidRPr="00EA0CBF">
        <w:rPr>
          <w:rFonts w:ascii="Arial" w:eastAsia="Times New Roman" w:hAnsi="Arial" w:cs="Arial"/>
          <w:i/>
          <w:iCs/>
          <w:color w:val="000000" w:themeColor="text1"/>
          <w:sz w:val="22"/>
          <w:szCs w:val="22"/>
          <w:shd w:val="clear" w:color="auto" w:fill="FFFFFF"/>
          <w:lang w:val="en-US" w:eastAsia="en-GB"/>
        </w:rPr>
        <w:t>Vittamed</w:t>
      </w:r>
      <w:proofErr w:type="spellEnd"/>
      <w:r w:rsidRPr="00EA0CBF">
        <w:rPr>
          <w:rFonts w:ascii="Arial" w:eastAsia="Times New Roman" w:hAnsi="Arial" w:cs="Arial"/>
          <w:color w:val="000000" w:themeColor="text1"/>
          <w:sz w:val="22"/>
          <w:szCs w:val="22"/>
          <w:shd w:val="clear" w:color="auto" w:fill="FFFFFF"/>
          <w:lang w:val="en-US" w:eastAsia="en-GB"/>
        </w:rPr>
        <w:t xml:space="preserve"> case (adopted without an AG Opinion) comes a couple of months after the CJEU Order in the </w:t>
      </w:r>
      <w:proofErr w:type="spellStart"/>
      <w:r w:rsidRPr="00EA0CBF">
        <w:rPr>
          <w:rFonts w:ascii="Arial" w:eastAsia="Times New Roman" w:hAnsi="Arial" w:cs="Arial"/>
          <w:i/>
          <w:iCs/>
          <w:color w:val="000000" w:themeColor="text1"/>
          <w:sz w:val="22"/>
          <w:szCs w:val="22"/>
          <w:shd w:val="clear" w:color="auto" w:fill="FFFFFF"/>
          <w:lang w:val="en-US" w:eastAsia="en-GB"/>
        </w:rPr>
        <w:t>Skellefteå</w:t>
      </w:r>
      <w:proofErr w:type="spellEnd"/>
      <w:r w:rsidRPr="00EA0CBF">
        <w:rPr>
          <w:rFonts w:ascii="Arial" w:eastAsia="Times New Roman" w:hAnsi="Arial" w:cs="Arial"/>
          <w:i/>
          <w:iCs/>
          <w:color w:val="000000" w:themeColor="text1"/>
          <w:sz w:val="22"/>
          <w:szCs w:val="22"/>
          <w:shd w:val="clear" w:color="auto" w:fill="FFFFFF"/>
          <w:lang w:val="en-US" w:eastAsia="en-GB"/>
        </w:rPr>
        <w:t xml:space="preserve"> </w:t>
      </w:r>
      <w:proofErr w:type="spellStart"/>
      <w:r w:rsidRPr="00EA0CBF">
        <w:rPr>
          <w:rFonts w:ascii="Arial" w:eastAsia="Times New Roman" w:hAnsi="Arial" w:cs="Arial"/>
          <w:i/>
          <w:iCs/>
          <w:color w:val="000000" w:themeColor="text1"/>
          <w:sz w:val="22"/>
          <w:szCs w:val="22"/>
          <w:shd w:val="clear" w:color="auto" w:fill="FFFFFF"/>
          <w:lang w:val="en-US" w:eastAsia="en-GB"/>
        </w:rPr>
        <w:t>Industrihus</w:t>
      </w:r>
      <w:proofErr w:type="spellEnd"/>
      <w:r w:rsidRPr="00EA0CBF">
        <w:rPr>
          <w:rFonts w:ascii="Arial" w:eastAsia="Times New Roman" w:hAnsi="Arial" w:cs="Arial"/>
          <w:color w:val="000000" w:themeColor="text1"/>
          <w:sz w:val="22"/>
          <w:szCs w:val="22"/>
          <w:shd w:val="clear" w:color="auto" w:fill="FFFFFF"/>
          <w:lang w:val="en-US" w:eastAsia="en-GB"/>
        </w:rPr>
        <w:t xml:space="preserve"> case. The intention of the CJEU was apparently to clarify that</w:t>
      </w:r>
      <w:r w:rsidRPr="00EA0CBF">
        <w:rPr>
          <w:rFonts w:ascii="Arial" w:hAnsi="Arial" w:cs="Arial"/>
          <w:color w:val="000000" w:themeColor="text1"/>
          <w:sz w:val="22"/>
          <w:szCs w:val="22"/>
          <w:lang w:val="en-US"/>
        </w:rPr>
        <w:t xml:space="preserve"> t</w:t>
      </w:r>
      <w:r w:rsidRPr="00EA0CBF">
        <w:rPr>
          <w:rFonts w:ascii="Arial" w:hAnsi="Arial" w:cs="Arial"/>
          <w:color w:val="000000" w:themeColor="text1"/>
          <w:sz w:val="22"/>
          <w:szCs w:val="22"/>
        </w:rPr>
        <w:t xml:space="preserve">he </w:t>
      </w:r>
      <w:r w:rsidRPr="00EA0CBF">
        <w:rPr>
          <w:rFonts w:ascii="Arial" w:hAnsi="Arial" w:cs="Arial"/>
          <w:color w:val="000000" w:themeColor="text1"/>
          <w:sz w:val="22"/>
          <w:szCs w:val="22"/>
          <w:lang w:val="en-US"/>
        </w:rPr>
        <w:t xml:space="preserve">key </w:t>
      </w:r>
      <w:r w:rsidRPr="00EA0CBF">
        <w:rPr>
          <w:rFonts w:ascii="Arial" w:hAnsi="Arial" w:cs="Arial"/>
          <w:color w:val="000000" w:themeColor="text1"/>
          <w:sz w:val="22"/>
          <w:szCs w:val="22"/>
        </w:rPr>
        <w:t xml:space="preserve">principle </w:t>
      </w:r>
      <w:r w:rsidRPr="00EA0CBF">
        <w:rPr>
          <w:rFonts w:ascii="Arial" w:hAnsi="Arial" w:cs="Arial"/>
          <w:color w:val="000000" w:themeColor="text1"/>
          <w:sz w:val="22"/>
          <w:szCs w:val="22"/>
          <w:lang w:val="en-US"/>
        </w:rPr>
        <w:t xml:space="preserve">laid down in the </w:t>
      </w:r>
      <w:r w:rsidRPr="00EA0CBF">
        <w:rPr>
          <w:rFonts w:ascii="Arial" w:hAnsi="Arial" w:cs="Arial"/>
          <w:i/>
          <w:iCs/>
          <w:color w:val="000000" w:themeColor="text1"/>
          <w:sz w:val="22"/>
          <w:szCs w:val="22"/>
          <w:lang w:val="en-US"/>
        </w:rPr>
        <w:t>INZO</w:t>
      </w:r>
      <w:r w:rsidRPr="00EA0CBF">
        <w:rPr>
          <w:rFonts w:ascii="Arial" w:hAnsi="Arial" w:cs="Arial"/>
          <w:color w:val="000000" w:themeColor="text1"/>
          <w:sz w:val="22"/>
          <w:szCs w:val="22"/>
          <w:lang w:val="en-US"/>
        </w:rPr>
        <w:t xml:space="preserve"> case (i.e. </w:t>
      </w:r>
      <w:r w:rsidRPr="00EA0CBF">
        <w:rPr>
          <w:rFonts w:ascii="Arial" w:hAnsi="Arial" w:cs="Arial"/>
          <w:color w:val="000000" w:themeColor="text1"/>
          <w:sz w:val="22"/>
          <w:szCs w:val="22"/>
        </w:rPr>
        <w:t>that the right of deduction is retained even where an activity is brought to an end before it gives rise to any taxable transactions</w:t>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must be combined with the rul</w:t>
      </w:r>
      <w:r w:rsidR="009D4BFA" w:rsidRPr="00EA0CBF">
        <w:rPr>
          <w:rFonts w:ascii="Arial" w:hAnsi="Arial" w:cs="Arial"/>
          <w:color w:val="000000" w:themeColor="text1"/>
          <w:sz w:val="22"/>
          <w:szCs w:val="22"/>
          <w:lang w:val="en-US"/>
        </w:rPr>
        <w:t>e</w:t>
      </w:r>
      <w:r w:rsidRPr="00EA0CBF">
        <w:rPr>
          <w:rFonts w:ascii="Arial" w:hAnsi="Arial" w:cs="Arial"/>
          <w:color w:val="000000" w:themeColor="text1"/>
          <w:sz w:val="22"/>
          <w:szCs w:val="22"/>
        </w:rPr>
        <w:t>s of the VAT Directive regarding the adjustment of deductions</w:t>
      </w:r>
      <w:r w:rsidR="009D4BFA" w:rsidRPr="00EA0CBF">
        <w:rPr>
          <w:rFonts w:ascii="Arial" w:hAnsi="Arial" w:cs="Arial"/>
          <w:color w:val="000000" w:themeColor="text1"/>
          <w:sz w:val="22"/>
          <w:szCs w:val="22"/>
          <w:lang w:val="en-US"/>
        </w:rPr>
        <w:t xml:space="preserve"> (the CJEU refers to Articles 184 to 187 of the VAT Directive, which thus include the general adjustment rules and the adjustment rules with respect to capital goods)</w:t>
      </w:r>
      <w:r w:rsidRPr="00EA0CBF">
        <w:rPr>
          <w:rFonts w:ascii="Arial" w:hAnsi="Arial" w:cs="Arial"/>
          <w:color w:val="000000" w:themeColor="text1"/>
          <w:sz w:val="22"/>
          <w:szCs w:val="22"/>
        </w:rPr>
        <w:t>,</w:t>
      </w:r>
      <w:r w:rsidRPr="00EA0CBF">
        <w:rPr>
          <w:rFonts w:ascii="Arial" w:hAnsi="Arial" w:cs="Arial"/>
          <w:color w:val="000000" w:themeColor="text1"/>
          <w:sz w:val="22"/>
          <w:szCs w:val="22"/>
          <w:lang w:val="en-US"/>
        </w:rPr>
        <w:t xml:space="preserve"> and that this actually means that VAT should after all be borne by the taxable person in case no taxable activity is eventually performed. In my view</w:t>
      </w:r>
      <w:r w:rsidR="00B07B20"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this is more than a clarification. This decision indeed </w:t>
      </w:r>
      <w:r w:rsidRPr="00EA0CBF">
        <w:rPr>
          <w:rFonts w:ascii="Arial" w:hAnsi="Arial" w:cs="Arial"/>
          <w:i/>
          <w:iCs/>
          <w:color w:val="000000" w:themeColor="text1"/>
          <w:sz w:val="22"/>
          <w:szCs w:val="22"/>
          <w:lang w:val="en-US"/>
        </w:rPr>
        <w:t>de facto</w:t>
      </w:r>
      <w:r w:rsidRPr="00EA0CBF">
        <w:rPr>
          <w:rFonts w:ascii="Arial" w:hAnsi="Arial" w:cs="Arial"/>
          <w:color w:val="000000" w:themeColor="text1"/>
          <w:sz w:val="22"/>
          <w:szCs w:val="22"/>
          <w:lang w:val="en-US"/>
        </w:rPr>
        <w:t xml:space="preserve"> renders INZO devoid from its meaning</w:t>
      </w:r>
      <w:r w:rsidRPr="00EA0CBF">
        <w:rPr>
          <w:rFonts w:ascii="Arial" w:eastAsia="Times New Roman" w:hAnsi="Arial" w:cs="Arial"/>
          <w:color w:val="000000" w:themeColor="text1"/>
          <w:sz w:val="22"/>
          <w:szCs w:val="22"/>
          <w:shd w:val="clear" w:color="auto" w:fill="FFFFFF"/>
          <w:lang w:val="en-US" w:eastAsia="en-GB"/>
        </w:rPr>
        <w:t xml:space="preserve">. </w:t>
      </w:r>
    </w:p>
    <w:p w14:paraId="2EA94651" w14:textId="77777777" w:rsidR="00473AE8" w:rsidRPr="00EA0CBF" w:rsidRDefault="00473AE8" w:rsidP="00473AE8">
      <w:pPr>
        <w:jc w:val="both"/>
        <w:rPr>
          <w:rFonts w:ascii="Arial" w:eastAsia="Times New Roman" w:hAnsi="Arial" w:cs="Arial"/>
          <w:color w:val="000000" w:themeColor="text1"/>
          <w:sz w:val="22"/>
          <w:szCs w:val="22"/>
          <w:shd w:val="clear" w:color="auto" w:fill="FFFFFF"/>
          <w:lang w:val="en-US" w:eastAsia="en-GB"/>
        </w:rPr>
      </w:pPr>
    </w:p>
    <w:p w14:paraId="2EFB4FFE" w14:textId="427382B9" w:rsidR="00473AE8" w:rsidRPr="00EA0CBF" w:rsidRDefault="00473AE8" w:rsidP="00473AE8">
      <w:pPr>
        <w:jc w:val="both"/>
        <w:rPr>
          <w:rFonts w:ascii="Arial" w:hAnsi="Arial" w:cs="Arial"/>
          <w:color w:val="000000" w:themeColor="text1"/>
          <w:sz w:val="22"/>
          <w:szCs w:val="22"/>
        </w:rPr>
      </w:pPr>
      <w:r w:rsidRPr="00EA0CBF">
        <w:rPr>
          <w:rFonts w:ascii="Arial" w:hAnsi="Arial" w:cs="Arial"/>
          <w:color w:val="000000" w:themeColor="text1"/>
          <w:sz w:val="22"/>
          <w:szCs w:val="22"/>
          <w:lang w:val="en-US"/>
        </w:rPr>
        <w:lastRenderedPageBreak/>
        <w:t xml:space="preserve">I’m not putting into question the fact that adjustments might have to be made when an activity is abandoned. In </w:t>
      </w:r>
      <w:r w:rsidRPr="00EA0CBF">
        <w:rPr>
          <w:rFonts w:ascii="Arial" w:hAnsi="Arial" w:cs="Arial"/>
          <w:i/>
          <w:iCs/>
          <w:color w:val="000000" w:themeColor="text1"/>
          <w:sz w:val="22"/>
          <w:szCs w:val="22"/>
          <w:lang w:val="en-US"/>
        </w:rPr>
        <w:t>Ghent Coal Terminal</w:t>
      </w:r>
      <w:r w:rsidRPr="00EA0CBF">
        <w:rPr>
          <w:rFonts w:ascii="Arial" w:hAnsi="Arial" w:cs="Arial"/>
          <w:color w:val="000000" w:themeColor="text1"/>
          <w:sz w:val="22"/>
          <w:szCs w:val="22"/>
          <w:lang w:val="en-US"/>
        </w:rPr>
        <w:t>,</w:t>
      </w:r>
      <w:r w:rsidR="00B07B20" w:rsidRPr="00EA0CBF">
        <w:rPr>
          <w:rStyle w:val="FootnoteReference"/>
          <w:rFonts w:ascii="Arial" w:hAnsi="Arial" w:cs="Arial"/>
          <w:color w:val="000000" w:themeColor="text1"/>
          <w:sz w:val="22"/>
          <w:szCs w:val="22"/>
          <w:lang w:val="en-US"/>
        </w:rPr>
        <w:footnoteReference w:id="12"/>
      </w:r>
      <w:r w:rsidRPr="00EA0CBF">
        <w:rPr>
          <w:rFonts w:ascii="Arial" w:hAnsi="Arial" w:cs="Arial"/>
          <w:color w:val="000000" w:themeColor="text1"/>
          <w:sz w:val="22"/>
          <w:szCs w:val="22"/>
          <w:lang w:val="en-US"/>
        </w:rPr>
        <w:t xml:space="preserve"> for example, it is undisputable that adjustments were in order as in that case the taxable person exchanged the plot of land that it did no longer plan to use without VAT. In </w:t>
      </w:r>
      <w:proofErr w:type="spellStart"/>
      <w:r w:rsidRPr="00EA0CBF">
        <w:rPr>
          <w:rFonts w:ascii="Arial" w:hAnsi="Arial" w:cs="Arial"/>
          <w:i/>
          <w:iCs/>
          <w:color w:val="000000" w:themeColor="text1"/>
          <w:sz w:val="22"/>
          <w:szCs w:val="22"/>
          <w:lang w:val="en-US"/>
        </w:rPr>
        <w:t>Stichting</w:t>
      </w:r>
      <w:proofErr w:type="spellEnd"/>
      <w:r w:rsidRPr="00EA0CBF">
        <w:rPr>
          <w:rFonts w:ascii="Arial" w:hAnsi="Arial" w:cs="Arial"/>
          <w:i/>
          <w:iCs/>
          <w:color w:val="000000" w:themeColor="text1"/>
          <w:sz w:val="22"/>
          <w:szCs w:val="22"/>
          <w:lang w:val="en-US"/>
        </w:rPr>
        <w:t xml:space="preserve"> </w:t>
      </w:r>
      <w:proofErr w:type="spellStart"/>
      <w:r w:rsidRPr="00EA0CBF">
        <w:rPr>
          <w:rFonts w:ascii="Arial" w:hAnsi="Arial" w:cs="Arial"/>
          <w:i/>
          <w:iCs/>
          <w:color w:val="000000" w:themeColor="text1"/>
          <w:sz w:val="22"/>
          <w:szCs w:val="22"/>
          <w:lang w:val="en-US"/>
        </w:rPr>
        <w:t>Schoonzicht</w:t>
      </w:r>
      <w:proofErr w:type="spellEnd"/>
      <w:r w:rsidR="00B07B20" w:rsidRPr="00EA0CBF">
        <w:rPr>
          <w:rStyle w:val="FootnoteReference"/>
          <w:rFonts w:ascii="Arial" w:hAnsi="Arial" w:cs="Arial"/>
          <w:color w:val="000000" w:themeColor="text1"/>
          <w:sz w:val="22"/>
          <w:szCs w:val="22"/>
          <w:lang w:val="en-US"/>
        </w:rPr>
        <w:footnoteReference w:id="13"/>
      </w:r>
      <w:r w:rsidRPr="00EA0CBF">
        <w:rPr>
          <w:rFonts w:ascii="Arial" w:hAnsi="Arial" w:cs="Arial"/>
          <w:color w:val="000000" w:themeColor="text1"/>
          <w:sz w:val="22"/>
          <w:szCs w:val="22"/>
          <w:lang w:val="en-US"/>
        </w:rPr>
        <w:t xml:space="preserve"> the taxable person could not rent any of the 7 apartments it had built subject to VAT and decided to rent 4 of them without VAT. In </w:t>
      </w:r>
      <w:r w:rsidRPr="00EA0CBF">
        <w:rPr>
          <w:rFonts w:ascii="Arial" w:hAnsi="Arial" w:cs="Arial"/>
          <w:i/>
          <w:iCs/>
          <w:color w:val="000000" w:themeColor="text1"/>
          <w:sz w:val="22"/>
          <w:szCs w:val="22"/>
          <w:lang w:val="en-US"/>
        </w:rPr>
        <w:t>HF</w:t>
      </w:r>
      <w:r w:rsidR="00B07B20" w:rsidRPr="00EA0CBF">
        <w:rPr>
          <w:rStyle w:val="FootnoteReference"/>
          <w:rFonts w:ascii="Arial" w:hAnsi="Arial" w:cs="Arial"/>
          <w:i/>
          <w:iCs/>
          <w:color w:val="000000" w:themeColor="text1"/>
          <w:sz w:val="22"/>
          <w:szCs w:val="22"/>
          <w:lang w:val="en-US"/>
        </w:rPr>
        <w:footnoteReference w:id="14"/>
      </w:r>
      <w:r w:rsidRPr="00EA0CBF">
        <w:rPr>
          <w:rFonts w:ascii="Arial" w:hAnsi="Arial" w:cs="Arial"/>
          <w:color w:val="000000" w:themeColor="text1"/>
          <w:sz w:val="22"/>
          <w:szCs w:val="22"/>
          <w:lang w:val="en-US"/>
        </w:rPr>
        <w:t xml:space="preserve"> the taxable person had built a cafeteria as an annex to a retirement home and expected to serve both residents from the retirement house (exempt supplies) and external visitors (taxed supplies). In the end access could not be offered to external visitors and only exempt supplies could take place in the cafeteria. In all these cases, exempt supplies were </w:t>
      </w:r>
      <w:r w:rsidR="009D4BFA" w:rsidRPr="00EA0CBF">
        <w:rPr>
          <w:rFonts w:ascii="Arial" w:hAnsi="Arial" w:cs="Arial"/>
          <w:color w:val="000000" w:themeColor="text1"/>
          <w:sz w:val="22"/>
          <w:szCs w:val="22"/>
          <w:lang w:val="en-US"/>
        </w:rPr>
        <w:t xml:space="preserve">eventually </w:t>
      </w:r>
      <w:r w:rsidRPr="00EA0CBF">
        <w:rPr>
          <w:rFonts w:ascii="Arial" w:hAnsi="Arial" w:cs="Arial"/>
          <w:color w:val="000000" w:themeColor="text1"/>
          <w:sz w:val="22"/>
          <w:szCs w:val="22"/>
          <w:lang w:val="en-US"/>
        </w:rPr>
        <w:t>made that justified an adjustment.</w:t>
      </w:r>
    </w:p>
    <w:p w14:paraId="7A389072" w14:textId="77777777" w:rsidR="00473AE8" w:rsidRPr="00EA0CBF" w:rsidRDefault="00473AE8" w:rsidP="00473AE8">
      <w:pPr>
        <w:jc w:val="both"/>
        <w:rPr>
          <w:rFonts w:ascii="Arial" w:hAnsi="Arial" w:cs="Arial"/>
          <w:color w:val="000000" w:themeColor="text1"/>
          <w:sz w:val="22"/>
          <w:szCs w:val="22"/>
        </w:rPr>
      </w:pPr>
    </w:p>
    <w:p w14:paraId="670A6910" w14:textId="645B7E8B" w:rsidR="00473AE8" w:rsidRPr="00EA0CBF" w:rsidRDefault="00473AE8" w:rsidP="00473AE8">
      <w:pPr>
        <w:jc w:val="both"/>
        <w:rPr>
          <w:rFonts w:ascii="Arial" w:eastAsia="Times New Roman" w:hAnsi="Arial" w:cs="Arial"/>
          <w:color w:val="000000" w:themeColor="text1"/>
          <w:sz w:val="22"/>
          <w:szCs w:val="22"/>
          <w:lang w:val="en-US" w:eastAsia="en-GB"/>
        </w:rPr>
      </w:pPr>
      <w:r w:rsidRPr="00EA0CBF">
        <w:rPr>
          <w:rFonts w:ascii="Arial" w:hAnsi="Arial" w:cs="Arial"/>
          <w:color w:val="000000" w:themeColor="text1"/>
          <w:sz w:val="22"/>
          <w:szCs w:val="22"/>
          <w:lang w:val="en-US"/>
        </w:rPr>
        <w:t>In contrast, a</w:t>
      </w:r>
      <w:r w:rsidRPr="00EA0CBF">
        <w:rPr>
          <w:rFonts w:ascii="Arial" w:eastAsia="Times New Roman" w:hAnsi="Arial" w:cs="Arial"/>
          <w:color w:val="000000" w:themeColor="text1"/>
          <w:sz w:val="22"/>
          <w:szCs w:val="22"/>
          <w:shd w:val="clear" w:color="auto" w:fill="FFFFFF"/>
          <w:lang w:val="en-US" w:eastAsia="en-GB"/>
        </w:rPr>
        <w:t xml:space="preserve"> taxable person </w:t>
      </w:r>
      <w:r w:rsidR="009D4BFA" w:rsidRPr="00EA0CBF">
        <w:rPr>
          <w:rFonts w:ascii="Arial" w:eastAsia="Times New Roman" w:hAnsi="Arial" w:cs="Arial"/>
          <w:color w:val="000000" w:themeColor="text1"/>
          <w:sz w:val="22"/>
          <w:szCs w:val="22"/>
          <w:shd w:val="clear" w:color="auto" w:fill="FFFFFF"/>
          <w:lang w:val="en-US" w:eastAsia="en-GB"/>
        </w:rPr>
        <w:t xml:space="preserve">who </w:t>
      </w:r>
      <w:r w:rsidRPr="00EA0CBF">
        <w:rPr>
          <w:rFonts w:ascii="Arial" w:eastAsia="Times New Roman" w:hAnsi="Arial" w:cs="Arial"/>
          <w:color w:val="000000" w:themeColor="text1"/>
          <w:sz w:val="22"/>
          <w:szCs w:val="22"/>
          <w:shd w:val="clear" w:color="auto" w:fill="FFFFFF"/>
          <w:lang w:val="en-US" w:eastAsia="en-GB"/>
        </w:rPr>
        <w:t xml:space="preserve">acquires goods and services for </w:t>
      </w:r>
      <w:r w:rsidR="006F3DE8" w:rsidRPr="00EA0CBF">
        <w:rPr>
          <w:rFonts w:ascii="Arial" w:eastAsia="Times New Roman" w:hAnsi="Arial" w:cs="Arial"/>
          <w:color w:val="000000" w:themeColor="text1"/>
          <w:sz w:val="22"/>
          <w:szCs w:val="22"/>
          <w:shd w:val="clear" w:color="auto" w:fill="FFFFFF"/>
          <w:lang w:val="en-US" w:eastAsia="en-GB"/>
        </w:rPr>
        <w:t>an intended economic activity</w:t>
      </w:r>
      <w:r w:rsidRPr="00EA0CBF">
        <w:rPr>
          <w:rFonts w:ascii="Arial" w:eastAsia="Times New Roman" w:hAnsi="Arial" w:cs="Arial"/>
          <w:color w:val="000000" w:themeColor="text1"/>
          <w:sz w:val="22"/>
          <w:szCs w:val="22"/>
          <w:shd w:val="clear" w:color="auto" w:fill="FFFFFF"/>
          <w:lang w:val="en-US" w:eastAsia="en-GB"/>
        </w:rPr>
        <w:t xml:space="preserve">, but is eventually not able to use these </w:t>
      </w:r>
      <w:r w:rsidR="006F3DE8" w:rsidRPr="00EA0CBF">
        <w:rPr>
          <w:rFonts w:ascii="Arial" w:eastAsia="Times New Roman" w:hAnsi="Arial" w:cs="Arial"/>
          <w:color w:val="000000" w:themeColor="text1"/>
          <w:sz w:val="22"/>
          <w:szCs w:val="22"/>
          <w:shd w:val="clear" w:color="auto" w:fill="FFFFFF"/>
          <w:lang w:val="en-US" w:eastAsia="en-GB"/>
        </w:rPr>
        <w:t>inputs</w:t>
      </w:r>
      <w:r w:rsidRPr="00EA0CBF">
        <w:rPr>
          <w:rFonts w:ascii="Arial" w:eastAsia="Times New Roman" w:hAnsi="Arial" w:cs="Arial"/>
          <w:color w:val="000000" w:themeColor="text1"/>
          <w:sz w:val="22"/>
          <w:szCs w:val="22"/>
          <w:shd w:val="clear" w:color="auto" w:fill="FFFFFF"/>
          <w:lang w:val="en-US" w:eastAsia="en-GB"/>
        </w:rPr>
        <w:t xml:space="preserve">, neither for business activities (because the business is stopped), neither for </w:t>
      </w:r>
      <w:proofErr w:type="spellStart"/>
      <w:r w:rsidRPr="00EA0CBF">
        <w:rPr>
          <w:rFonts w:ascii="Arial" w:eastAsia="Times New Roman" w:hAnsi="Arial" w:cs="Arial"/>
          <w:color w:val="000000" w:themeColor="text1"/>
          <w:sz w:val="22"/>
          <w:szCs w:val="22"/>
          <w:shd w:val="clear" w:color="auto" w:fill="FFFFFF"/>
          <w:lang w:val="en-US" w:eastAsia="en-GB"/>
        </w:rPr>
        <w:t>non business</w:t>
      </w:r>
      <w:proofErr w:type="spellEnd"/>
      <w:r w:rsidRPr="00EA0CBF">
        <w:rPr>
          <w:rFonts w:ascii="Arial" w:eastAsia="Times New Roman" w:hAnsi="Arial" w:cs="Arial"/>
          <w:color w:val="000000" w:themeColor="text1"/>
          <w:sz w:val="22"/>
          <w:szCs w:val="22"/>
          <w:shd w:val="clear" w:color="auto" w:fill="FFFFFF"/>
          <w:lang w:val="en-US" w:eastAsia="en-GB"/>
        </w:rPr>
        <w:t xml:space="preserve"> activities (because there is no possibility at all to use the goods and services in question) should, in my view, not bear a final burden of VAT by way of an adjustment. The CJEU has recalled many times (including in this decision</w:t>
      </w:r>
      <w:r w:rsidR="00B07B20" w:rsidRPr="00EA0CBF">
        <w:rPr>
          <w:rFonts w:ascii="Arial" w:eastAsia="Times New Roman" w:hAnsi="Arial" w:cs="Arial"/>
          <w:color w:val="000000" w:themeColor="text1"/>
          <w:sz w:val="22"/>
          <w:szCs w:val="22"/>
          <w:shd w:val="clear" w:color="auto" w:fill="FFFFFF"/>
          <w:lang w:val="en-US" w:eastAsia="en-GB"/>
        </w:rPr>
        <w:t xml:space="preserve"> in the </w:t>
      </w:r>
      <w:proofErr w:type="spellStart"/>
      <w:r w:rsidR="00B07B20" w:rsidRPr="00EA0CBF">
        <w:rPr>
          <w:rFonts w:ascii="Arial" w:eastAsia="Times New Roman" w:hAnsi="Arial" w:cs="Arial"/>
          <w:i/>
          <w:iCs/>
          <w:color w:val="000000" w:themeColor="text1"/>
          <w:sz w:val="22"/>
          <w:szCs w:val="22"/>
          <w:shd w:val="clear" w:color="auto" w:fill="FFFFFF"/>
          <w:lang w:val="en-US" w:eastAsia="en-GB"/>
        </w:rPr>
        <w:t>Vittamed</w:t>
      </w:r>
      <w:proofErr w:type="spellEnd"/>
      <w:r w:rsidR="00B07B20" w:rsidRPr="00EA0CBF">
        <w:rPr>
          <w:rFonts w:ascii="Arial" w:eastAsia="Times New Roman" w:hAnsi="Arial" w:cs="Arial"/>
          <w:color w:val="000000" w:themeColor="text1"/>
          <w:sz w:val="22"/>
          <w:szCs w:val="22"/>
          <w:shd w:val="clear" w:color="auto" w:fill="FFFFFF"/>
          <w:lang w:val="en-US" w:eastAsia="en-GB"/>
        </w:rPr>
        <w:t xml:space="preserve"> case</w:t>
      </w:r>
      <w:r w:rsidRPr="00EA0CBF">
        <w:rPr>
          <w:rFonts w:ascii="Arial" w:eastAsia="Times New Roman" w:hAnsi="Arial" w:cs="Arial"/>
          <w:color w:val="000000" w:themeColor="text1"/>
          <w:sz w:val="22"/>
          <w:szCs w:val="22"/>
          <w:shd w:val="clear" w:color="auto" w:fill="FFFFFF"/>
          <w:lang w:val="en-US" w:eastAsia="en-GB"/>
        </w:rPr>
        <w:t>) that “</w:t>
      </w:r>
      <w:r w:rsidRPr="00EA0CBF">
        <w:rPr>
          <w:rFonts w:ascii="Arial" w:eastAsia="Times New Roman" w:hAnsi="Arial" w:cs="Arial"/>
          <w:color w:val="000000" w:themeColor="text1"/>
          <w:sz w:val="22"/>
          <w:szCs w:val="22"/>
          <w:lang w:eastAsia="en-GB"/>
        </w:rPr>
        <w:t>VAT should be neutral as regards the tax burden on a business</w:t>
      </w:r>
      <w:r w:rsidRPr="00EA0CBF">
        <w:rPr>
          <w:rFonts w:ascii="Arial" w:eastAsia="Times New Roman" w:hAnsi="Arial" w:cs="Arial"/>
          <w:color w:val="000000" w:themeColor="text1"/>
          <w:sz w:val="22"/>
          <w:szCs w:val="22"/>
          <w:lang w:val="en-US" w:eastAsia="en-GB"/>
        </w:rPr>
        <w:t xml:space="preserve">” and that there can be no different treatment between “a company already </w:t>
      </w:r>
      <w:r w:rsidRPr="00EA0CBF">
        <w:rPr>
          <w:rFonts w:ascii="Arial" w:eastAsia="Times New Roman" w:hAnsi="Arial" w:cs="Arial"/>
          <w:color w:val="000000" w:themeColor="text1"/>
          <w:sz w:val="22"/>
          <w:szCs w:val="22"/>
          <w:lang w:eastAsia="en-GB"/>
        </w:rPr>
        <w:t>carrying out taxable transactions and other businesses seeking by investment to commence activities which will in future be a source of taxable transactions</w:t>
      </w:r>
      <w:r w:rsidRPr="00EA0CBF">
        <w:rPr>
          <w:rFonts w:ascii="Arial" w:eastAsia="Times New Roman" w:hAnsi="Arial" w:cs="Arial"/>
          <w:color w:val="000000" w:themeColor="text1"/>
          <w:sz w:val="22"/>
          <w:szCs w:val="22"/>
          <w:lang w:val="en-US" w:eastAsia="en-GB"/>
        </w:rPr>
        <w:t>” and that “</w:t>
      </w:r>
      <w:r w:rsidRPr="00EA0CBF">
        <w:rPr>
          <w:rFonts w:ascii="Arial" w:eastAsia="Times New Roman" w:hAnsi="Arial" w:cs="Arial"/>
          <w:color w:val="000000" w:themeColor="text1"/>
          <w:sz w:val="22"/>
          <w:szCs w:val="22"/>
          <w:lang w:eastAsia="en-GB"/>
        </w:rPr>
        <w:t xml:space="preserve"> arbitrary differences would be established between the latter businesses, in that the final acceptance of the deductions would depend on whether or not the investment resulted in taxed transactions</w:t>
      </w:r>
      <w:r w:rsidRPr="00EA0CBF">
        <w:rPr>
          <w:rFonts w:ascii="Arial" w:eastAsia="Times New Roman" w:hAnsi="Arial" w:cs="Arial"/>
          <w:color w:val="000000" w:themeColor="text1"/>
          <w:sz w:val="22"/>
          <w:szCs w:val="22"/>
          <w:lang w:val="en-US" w:eastAsia="en-GB"/>
        </w:rPr>
        <w:t xml:space="preserve">”. </w:t>
      </w:r>
    </w:p>
    <w:p w14:paraId="156D6A33" w14:textId="77777777" w:rsidR="00473AE8" w:rsidRPr="00EA0CBF" w:rsidRDefault="00473AE8" w:rsidP="00473AE8">
      <w:pPr>
        <w:jc w:val="both"/>
        <w:rPr>
          <w:rFonts w:ascii="Arial" w:eastAsia="Times New Roman" w:hAnsi="Arial" w:cs="Arial"/>
          <w:color w:val="000000" w:themeColor="text1"/>
          <w:sz w:val="22"/>
          <w:szCs w:val="22"/>
          <w:lang w:val="en-US" w:eastAsia="en-GB"/>
        </w:rPr>
      </w:pPr>
    </w:p>
    <w:p w14:paraId="35E601B9" w14:textId="77777777" w:rsidR="009D4BFA" w:rsidRPr="00EA0CBF" w:rsidRDefault="00473AE8" w:rsidP="00473AE8">
      <w:pPr>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 xml:space="preserve">Unfortunately, the CJEU decision in the </w:t>
      </w:r>
      <w:proofErr w:type="spellStart"/>
      <w:r w:rsidRPr="00EA0CBF">
        <w:rPr>
          <w:rFonts w:ascii="Arial" w:eastAsia="Times New Roman" w:hAnsi="Arial" w:cs="Arial"/>
          <w:i/>
          <w:iCs/>
          <w:color w:val="000000" w:themeColor="text1"/>
          <w:sz w:val="22"/>
          <w:szCs w:val="22"/>
          <w:lang w:val="en-US" w:eastAsia="en-GB"/>
        </w:rPr>
        <w:t>Vittamed</w:t>
      </w:r>
      <w:proofErr w:type="spellEnd"/>
      <w:r w:rsidRPr="00EA0CBF">
        <w:rPr>
          <w:rFonts w:ascii="Arial" w:eastAsia="Times New Roman" w:hAnsi="Arial" w:cs="Arial"/>
          <w:color w:val="000000" w:themeColor="text1"/>
          <w:sz w:val="22"/>
          <w:szCs w:val="22"/>
          <w:lang w:val="en-US" w:eastAsia="en-GB"/>
        </w:rPr>
        <w:t xml:space="preserve"> case </w:t>
      </w:r>
      <w:r w:rsidR="00B07B20" w:rsidRPr="00EA0CBF">
        <w:rPr>
          <w:rFonts w:ascii="Arial" w:eastAsia="Times New Roman" w:hAnsi="Arial" w:cs="Arial"/>
          <w:color w:val="000000" w:themeColor="text1"/>
          <w:sz w:val="22"/>
          <w:szCs w:val="22"/>
          <w:lang w:val="en-US" w:eastAsia="en-GB"/>
        </w:rPr>
        <w:t xml:space="preserve">penalizes (and therefore discriminates) those taxable persons who </w:t>
      </w:r>
      <w:r w:rsidR="006F3DE8" w:rsidRPr="00EA0CBF">
        <w:rPr>
          <w:rFonts w:ascii="Arial" w:eastAsia="Times New Roman" w:hAnsi="Arial" w:cs="Arial"/>
          <w:color w:val="000000" w:themeColor="text1"/>
          <w:sz w:val="22"/>
          <w:szCs w:val="22"/>
          <w:lang w:val="en-US" w:eastAsia="en-GB"/>
        </w:rPr>
        <w:t xml:space="preserve">must abandon a planned activity </w:t>
      </w:r>
      <w:r w:rsidR="006F3DE8" w:rsidRPr="0063727A">
        <w:rPr>
          <w:rFonts w:ascii="Arial" w:eastAsia="Times New Roman" w:hAnsi="Arial" w:cs="Arial"/>
          <w:color w:val="000000" w:themeColor="text1"/>
          <w:sz w:val="22"/>
          <w:szCs w:val="22"/>
          <w:u w:val="single"/>
          <w:lang w:val="en-US" w:eastAsia="en-GB"/>
        </w:rPr>
        <w:t>and</w:t>
      </w:r>
      <w:r w:rsidR="006F3DE8" w:rsidRPr="00EA0CBF">
        <w:rPr>
          <w:rFonts w:ascii="Arial" w:eastAsia="Times New Roman" w:hAnsi="Arial" w:cs="Arial"/>
          <w:color w:val="000000" w:themeColor="text1"/>
          <w:sz w:val="22"/>
          <w:szCs w:val="22"/>
          <w:lang w:val="en-US" w:eastAsia="en-GB"/>
        </w:rPr>
        <w:t xml:space="preserve"> </w:t>
      </w:r>
      <w:r w:rsidR="00B07B20" w:rsidRPr="00EA0CBF">
        <w:rPr>
          <w:rFonts w:ascii="Arial" w:eastAsia="Times New Roman" w:hAnsi="Arial" w:cs="Arial"/>
          <w:color w:val="000000" w:themeColor="text1"/>
          <w:sz w:val="22"/>
          <w:szCs w:val="22"/>
          <w:lang w:val="en-US" w:eastAsia="en-GB"/>
        </w:rPr>
        <w:t>cannot resold</w:t>
      </w:r>
      <w:r w:rsidRPr="00EA0CBF">
        <w:rPr>
          <w:rFonts w:ascii="Arial" w:eastAsia="Times New Roman" w:hAnsi="Arial" w:cs="Arial"/>
          <w:color w:val="000000" w:themeColor="text1"/>
          <w:sz w:val="22"/>
          <w:szCs w:val="22"/>
          <w:lang w:val="en-US" w:eastAsia="en-GB"/>
        </w:rPr>
        <w:t xml:space="preserve"> the input goods and services acquired. </w:t>
      </w:r>
    </w:p>
    <w:p w14:paraId="5B70CADF" w14:textId="77777777" w:rsidR="009D4BFA" w:rsidRPr="00EA0CBF" w:rsidRDefault="009D4BFA" w:rsidP="00473AE8">
      <w:pPr>
        <w:jc w:val="both"/>
        <w:rPr>
          <w:rFonts w:ascii="Arial" w:eastAsia="Times New Roman" w:hAnsi="Arial" w:cs="Arial"/>
          <w:color w:val="000000" w:themeColor="text1"/>
          <w:sz w:val="22"/>
          <w:szCs w:val="22"/>
          <w:lang w:val="en-US" w:eastAsia="en-GB"/>
        </w:rPr>
      </w:pPr>
    </w:p>
    <w:p w14:paraId="218FE2C6" w14:textId="1B96F8AF" w:rsidR="00473AE8" w:rsidRPr="00EA0CBF" w:rsidRDefault="00473AE8" w:rsidP="00473AE8">
      <w:pPr>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There is an important clarification in paragraph 50 of th</w:t>
      </w:r>
      <w:r w:rsidR="006F3DE8" w:rsidRPr="00EA0CBF">
        <w:rPr>
          <w:rFonts w:ascii="Arial" w:eastAsia="Times New Roman" w:hAnsi="Arial" w:cs="Arial"/>
          <w:color w:val="000000" w:themeColor="text1"/>
          <w:sz w:val="22"/>
          <w:szCs w:val="22"/>
          <w:lang w:val="en-US" w:eastAsia="en-GB"/>
        </w:rPr>
        <w:t xml:space="preserve">e </w:t>
      </w:r>
      <w:proofErr w:type="spellStart"/>
      <w:r w:rsidR="009D4BFA" w:rsidRPr="00EA0CBF">
        <w:rPr>
          <w:rFonts w:ascii="Arial" w:eastAsia="Times New Roman" w:hAnsi="Arial" w:cs="Arial"/>
          <w:i/>
          <w:iCs/>
          <w:color w:val="000000" w:themeColor="text1"/>
          <w:sz w:val="22"/>
          <w:szCs w:val="22"/>
          <w:lang w:val="en-US" w:eastAsia="en-GB"/>
        </w:rPr>
        <w:t>Vittamed</w:t>
      </w:r>
      <w:proofErr w:type="spellEnd"/>
      <w:r w:rsidR="009D4BFA"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val="en-US" w:eastAsia="en-GB"/>
        </w:rPr>
        <w:t xml:space="preserve">decision, which is that no adjustment is needed if the capital goods produced with the acquired goods and services are being sold in the liquidation process. This clarification allows the unfortunate taxable person to not bear a final burden of VAT if it is able to sell out </w:t>
      </w:r>
      <w:r w:rsidR="006F3DE8" w:rsidRPr="00EA0CBF">
        <w:rPr>
          <w:rFonts w:ascii="Arial" w:eastAsia="Times New Roman" w:hAnsi="Arial" w:cs="Arial"/>
          <w:color w:val="000000" w:themeColor="text1"/>
          <w:sz w:val="22"/>
          <w:szCs w:val="22"/>
          <w:lang w:val="en-US" w:eastAsia="en-GB"/>
        </w:rPr>
        <w:t xml:space="preserve">capital </w:t>
      </w:r>
      <w:r w:rsidRPr="00EA0CBF">
        <w:rPr>
          <w:rFonts w:ascii="Arial" w:eastAsia="Times New Roman" w:hAnsi="Arial" w:cs="Arial"/>
          <w:color w:val="000000" w:themeColor="text1"/>
          <w:sz w:val="22"/>
          <w:szCs w:val="22"/>
          <w:lang w:val="en-US" w:eastAsia="en-GB"/>
        </w:rPr>
        <w:t>goods</w:t>
      </w:r>
      <w:r w:rsidR="006F3DE8" w:rsidRPr="00EA0CBF">
        <w:rPr>
          <w:rFonts w:ascii="Arial" w:eastAsia="Times New Roman" w:hAnsi="Arial" w:cs="Arial"/>
          <w:color w:val="000000" w:themeColor="text1"/>
          <w:sz w:val="22"/>
          <w:szCs w:val="22"/>
          <w:lang w:val="en-US" w:eastAsia="en-GB"/>
        </w:rPr>
        <w:t xml:space="preserve"> produced with input goods and services</w:t>
      </w:r>
      <w:r w:rsidRPr="00EA0CBF">
        <w:rPr>
          <w:rFonts w:ascii="Arial" w:eastAsia="Times New Roman" w:hAnsi="Arial" w:cs="Arial"/>
          <w:color w:val="000000" w:themeColor="text1"/>
          <w:sz w:val="22"/>
          <w:szCs w:val="22"/>
          <w:lang w:val="en-US" w:eastAsia="en-GB"/>
        </w:rPr>
        <w:t xml:space="preserve">. It is however, not enough in my opinion, </w:t>
      </w:r>
      <w:r w:rsidR="006F3DE8" w:rsidRPr="00EA0CBF">
        <w:rPr>
          <w:rFonts w:ascii="Arial" w:eastAsia="Times New Roman" w:hAnsi="Arial" w:cs="Arial"/>
          <w:color w:val="000000" w:themeColor="text1"/>
          <w:sz w:val="22"/>
          <w:szCs w:val="22"/>
          <w:lang w:val="en-US" w:eastAsia="en-GB"/>
        </w:rPr>
        <w:t xml:space="preserve">to ensure neutrality, </w:t>
      </w:r>
      <w:r w:rsidRPr="00EA0CBF">
        <w:rPr>
          <w:rFonts w:ascii="Arial" w:eastAsia="Times New Roman" w:hAnsi="Arial" w:cs="Arial"/>
          <w:color w:val="000000" w:themeColor="text1"/>
          <w:sz w:val="22"/>
          <w:szCs w:val="22"/>
          <w:lang w:val="en-US" w:eastAsia="en-GB"/>
        </w:rPr>
        <w:t xml:space="preserve">as </w:t>
      </w:r>
      <w:r w:rsidR="0050582A" w:rsidRPr="00EA0CBF">
        <w:rPr>
          <w:rFonts w:ascii="Arial" w:eastAsia="Times New Roman" w:hAnsi="Arial" w:cs="Arial"/>
          <w:color w:val="000000" w:themeColor="text1"/>
          <w:sz w:val="22"/>
          <w:szCs w:val="22"/>
          <w:lang w:val="en-US" w:eastAsia="en-GB"/>
        </w:rPr>
        <w:t>this option will not always be available</w:t>
      </w:r>
      <w:r w:rsidRPr="00EA0CBF">
        <w:rPr>
          <w:rFonts w:ascii="Arial" w:eastAsia="Times New Roman" w:hAnsi="Arial" w:cs="Arial"/>
          <w:color w:val="000000" w:themeColor="text1"/>
          <w:sz w:val="22"/>
          <w:szCs w:val="22"/>
          <w:lang w:val="en-US" w:eastAsia="en-GB"/>
        </w:rPr>
        <w:t xml:space="preserve">. </w:t>
      </w:r>
    </w:p>
    <w:p w14:paraId="27FB7AE8" w14:textId="77777777" w:rsidR="00473AE8" w:rsidRPr="00EA0CBF" w:rsidRDefault="00473AE8" w:rsidP="00473AE8">
      <w:pPr>
        <w:jc w:val="both"/>
        <w:rPr>
          <w:rFonts w:ascii="Arial" w:eastAsia="Times New Roman" w:hAnsi="Arial" w:cs="Arial"/>
          <w:color w:val="000000" w:themeColor="text1"/>
          <w:sz w:val="22"/>
          <w:szCs w:val="22"/>
          <w:lang w:val="en-US" w:eastAsia="en-GB"/>
        </w:rPr>
      </w:pPr>
    </w:p>
    <w:p w14:paraId="75A6D9DD" w14:textId="6682EF93" w:rsidR="00473AE8" w:rsidRPr="00EA0CBF" w:rsidRDefault="00473AE8" w:rsidP="00473AE8">
      <w:pPr>
        <w:jc w:val="both"/>
        <w:rPr>
          <w:rFonts w:ascii="Arial" w:hAnsi="Arial" w:cs="Arial"/>
          <w:color w:val="000000" w:themeColor="text1"/>
          <w:sz w:val="22"/>
          <w:szCs w:val="22"/>
          <w:lang w:val="en-US"/>
        </w:rPr>
      </w:pPr>
      <w:r w:rsidRPr="00EA0CBF">
        <w:rPr>
          <w:rFonts w:ascii="Arial" w:eastAsia="Times New Roman" w:hAnsi="Arial" w:cs="Arial"/>
          <w:color w:val="000000" w:themeColor="text1"/>
          <w:sz w:val="22"/>
          <w:szCs w:val="22"/>
          <w:lang w:val="en-US" w:eastAsia="en-GB"/>
        </w:rPr>
        <w:t xml:space="preserve">It is logical that </w:t>
      </w:r>
      <w:r w:rsidR="009D4BFA" w:rsidRPr="00EA0CBF">
        <w:rPr>
          <w:rFonts w:ascii="Arial" w:eastAsia="Times New Roman" w:hAnsi="Arial" w:cs="Arial"/>
          <w:color w:val="000000" w:themeColor="text1"/>
          <w:sz w:val="22"/>
          <w:szCs w:val="22"/>
          <w:lang w:val="en-US" w:eastAsia="en-GB"/>
        </w:rPr>
        <w:t xml:space="preserve">an adjustment of the deduction be required </w:t>
      </w:r>
      <w:r w:rsidRPr="00EA0CBF">
        <w:rPr>
          <w:rFonts w:ascii="Arial" w:eastAsia="Times New Roman" w:hAnsi="Arial" w:cs="Arial"/>
          <w:color w:val="000000" w:themeColor="text1"/>
          <w:sz w:val="22"/>
          <w:szCs w:val="22"/>
          <w:lang w:val="en-US" w:eastAsia="en-GB"/>
        </w:rPr>
        <w:t xml:space="preserve">if capital goods are not sold but kept </w:t>
      </w:r>
      <w:r w:rsidR="009D4BFA" w:rsidRPr="00EA0CBF">
        <w:rPr>
          <w:rFonts w:ascii="Arial" w:eastAsia="Times New Roman" w:hAnsi="Arial" w:cs="Arial"/>
          <w:color w:val="000000" w:themeColor="text1"/>
          <w:sz w:val="22"/>
          <w:szCs w:val="22"/>
          <w:lang w:val="en-US" w:eastAsia="en-GB"/>
        </w:rPr>
        <w:t xml:space="preserve">and used for private purposes </w:t>
      </w:r>
      <w:r w:rsidRPr="00EA0CBF">
        <w:rPr>
          <w:rFonts w:ascii="Arial" w:eastAsia="Times New Roman" w:hAnsi="Arial" w:cs="Arial"/>
          <w:color w:val="000000" w:themeColor="text1"/>
          <w:sz w:val="22"/>
          <w:szCs w:val="22"/>
          <w:lang w:val="en-US" w:eastAsia="en-GB"/>
        </w:rPr>
        <w:t xml:space="preserve">by </w:t>
      </w:r>
      <w:r w:rsidR="003B47D5" w:rsidRPr="00EA0CBF">
        <w:rPr>
          <w:rFonts w:ascii="Arial" w:eastAsia="Times New Roman" w:hAnsi="Arial" w:cs="Arial"/>
          <w:color w:val="000000" w:themeColor="text1"/>
          <w:sz w:val="22"/>
          <w:szCs w:val="22"/>
          <w:lang w:val="en-US" w:eastAsia="en-GB"/>
        </w:rPr>
        <w:t>a</w:t>
      </w:r>
      <w:r w:rsidRPr="00EA0CBF">
        <w:rPr>
          <w:rFonts w:ascii="Arial" w:eastAsia="Times New Roman" w:hAnsi="Arial" w:cs="Arial"/>
          <w:color w:val="000000" w:themeColor="text1"/>
          <w:sz w:val="22"/>
          <w:szCs w:val="22"/>
          <w:lang w:val="en-US" w:eastAsia="en-GB"/>
        </w:rPr>
        <w:t xml:space="preserve"> taxable person</w:t>
      </w:r>
      <w:r w:rsidR="003B47D5" w:rsidRPr="00EA0CBF">
        <w:rPr>
          <w:rFonts w:ascii="Arial" w:eastAsia="Times New Roman" w:hAnsi="Arial" w:cs="Arial"/>
          <w:color w:val="000000" w:themeColor="text1"/>
          <w:sz w:val="22"/>
          <w:szCs w:val="22"/>
          <w:lang w:val="en-US" w:eastAsia="en-GB"/>
        </w:rPr>
        <w:t xml:space="preserve"> after its liquidation</w:t>
      </w:r>
      <w:r w:rsidRPr="00EA0CBF">
        <w:rPr>
          <w:rFonts w:ascii="Arial" w:eastAsia="Times New Roman" w:hAnsi="Arial" w:cs="Arial"/>
          <w:color w:val="000000" w:themeColor="text1"/>
          <w:sz w:val="22"/>
          <w:szCs w:val="22"/>
          <w:lang w:val="en-US" w:eastAsia="en-GB"/>
        </w:rPr>
        <w:t xml:space="preserve"> (</w:t>
      </w:r>
      <w:r w:rsidR="003B47D5" w:rsidRPr="00EA0CBF">
        <w:rPr>
          <w:rFonts w:ascii="Arial" w:eastAsia="Times New Roman" w:hAnsi="Arial" w:cs="Arial"/>
          <w:color w:val="000000" w:themeColor="text1"/>
          <w:sz w:val="22"/>
          <w:szCs w:val="22"/>
          <w:lang w:val="en-US" w:eastAsia="en-GB"/>
        </w:rPr>
        <w:t>or if there is a risk that they can be resold</w:t>
      </w:r>
      <w:r w:rsidRPr="00EA0CBF">
        <w:rPr>
          <w:rFonts w:ascii="Arial" w:eastAsia="Times New Roman" w:hAnsi="Arial" w:cs="Arial"/>
          <w:color w:val="000000" w:themeColor="text1"/>
          <w:sz w:val="22"/>
          <w:szCs w:val="22"/>
          <w:lang w:val="en-US" w:eastAsia="en-GB"/>
        </w:rPr>
        <w:t xml:space="preserve"> without VAT)</w:t>
      </w:r>
      <w:r w:rsidR="009D4BFA"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val="en-US" w:eastAsia="en-GB"/>
        </w:rPr>
        <w:t xml:space="preserve"> However, what happens if the capital goods</w:t>
      </w:r>
      <w:r w:rsidR="003B47D5" w:rsidRPr="00EA0CBF">
        <w:rPr>
          <w:rFonts w:ascii="Arial" w:eastAsia="Times New Roman" w:hAnsi="Arial" w:cs="Arial"/>
          <w:color w:val="000000" w:themeColor="text1"/>
          <w:sz w:val="22"/>
          <w:szCs w:val="22"/>
          <w:lang w:val="en-US" w:eastAsia="en-GB"/>
        </w:rPr>
        <w:t>/input goods and services</w:t>
      </w:r>
      <w:r w:rsidRPr="00EA0CBF">
        <w:rPr>
          <w:rFonts w:ascii="Arial" w:eastAsia="Times New Roman" w:hAnsi="Arial" w:cs="Arial"/>
          <w:color w:val="000000" w:themeColor="text1"/>
          <w:sz w:val="22"/>
          <w:szCs w:val="22"/>
          <w:lang w:val="en-US" w:eastAsia="en-GB"/>
        </w:rPr>
        <w:t xml:space="preserve"> cannot be sold and cannot be used for any “non-business” purpose either? In </w:t>
      </w:r>
      <w:r w:rsidRPr="00EA0CBF">
        <w:rPr>
          <w:rFonts w:ascii="Arial" w:eastAsia="Times New Roman" w:hAnsi="Arial" w:cs="Arial"/>
          <w:i/>
          <w:iCs/>
          <w:color w:val="000000" w:themeColor="text1"/>
          <w:sz w:val="22"/>
          <w:szCs w:val="22"/>
          <w:lang w:val="en-US" w:eastAsia="en-GB"/>
        </w:rPr>
        <w:t>INZO</w:t>
      </w:r>
      <w:r w:rsidRPr="00EA0CBF">
        <w:rPr>
          <w:rFonts w:ascii="Arial" w:eastAsia="Times New Roman" w:hAnsi="Arial" w:cs="Arial"/>
          <w:color w:val="000000" w:themeColor="text1"/>
          <w:sz w:val="22"/>
          <w:szCs w:val="22"/>
          <w:lang w:val="en-US" w:eastAsia="en-GB"/>
        </w:rPr>
        <w:t>,</w:t>
      </w:r>
      <w:r w:rsidR="00B07B20" w:rsidRPr="00EA0CBF">
        <w:rPr>
          <w:rStyle w:val="FootnoteReference"/>
          <w:rFonts w:ascii="Arial" w:eastAsia="Times New Roman" w:hAnsi="Arial" w:cs="Arial"/>
          <w:color w:val="000000" w:themeColor="text1"/>
          <w:sz w:val="22"/>
          <w:szCs w:val="22"/>
          <w:lang w:val="en-US" w:eastAsia="en-GB"/>
        </w:rPr>
        <w:footnoteReference w:id="15"/>
      </w:r>
      <w:r w:rsidRPr="00EA0CBF">
        <w:rPr>
          <w:rFonts w:ascii="Arial" w:eastAsia="Times New Roman" w:hAnsi="Arial" w:cs="Arial"/>
          <w:color w:val="000000" w:themeColor="text1"/>
          <w:sz w:val="22"/>
          <w:szCs w:val="22"/>
          <w:lang w:val="en-US" w:eastAsia="en-GB"/>
        </w:rPr>
        <w:t xml:space="preserve"> the services acquired related to a profitability study that led the taxable person to decide that it would not start the planned activity. How could such a service be resold (and should we read this decision as a clarification that</w:t>
      </w:r>
      <w:r w:rsidR="00B07B20"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val="en-US" w:eastAsia="en-GB"/>
        </w:rPr>
        <w:t xml:space="preserve"> </w:t>
      </w:r>
      <w:r w:rsidR="00B07B20" w:rsidRPr="00EA0CBF">
        <w:rPr>
          <w:rFonts w:ascii="Arial" w:eastAsia="Times New Roman" w:hAnsi="Arial" w:cs="Arial"/>
          <w:color w:val="000000" w:themeColor="text1"/>
          <w:sz w:val="22"/>
          <w:szCs w:val="22"/>
          <w:lang w:val="en-US" w:eastAsia="en-GB"/>
        </w:rPr>
        <w:t>in the</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i/>
          <w:iCs/>
          <w:color w:val="000000" w:themeColor="text1"/>
          <w:sz w:val="22"/>
          <w:szCs w:val="22"/>
          <w:lang w:val="en-US" w:eastAsia="en-GB"/>
        </w:rPr>
        <w:t>INZO</w:t>
      </w:r>
      <w:r w:rsidRPr="00EA0CBF">
        <w:rPr>
          <w:rFonts w:ascii="Arial" w:eastAsia="Times New Roman" w:hAnsi="Arial" w:cs="Arial"/>
          <w:color w:val="000000" w:themeColor="text1"/>
          <w:sz w:val="22"/>
          <w:szCs w:val="22"/>
          <w:lang w:val="en-US" w:eastAsia="en-GB"/>
        </w:rPr>
        <w:t xml:space="preserve"> </w:t>
      </w:r>
      <w:r w:rsidR="00B07B20" w:rsidRPr="00EA0CBF">
        <w:rPr>
          <w:rFonts w:ascii="Arial" w:eastAsia="Times New Roman" w:hAnsi="Arial" w:cs="Arial"/>
          <w:color w:val="000000" w:themeColor="text1"/>
          <w:sz w:val="22"/>
          <w:szCs w:val="22"/>
          <w:lang w:val="en-US" w:eastAsia="en-GB"/>
        </w:rPr>
        <w:t>case</w:t>
      </w:r>
      <w:r w:rsidRPr="00EA0CBF">
        <w:rPr>
          <w:rFonts w:ascii="Arial" w:eastAsia="Times New Roman" w:hAnsi="Arial" w:cs="Arial"/>
          <w:color w:val="000000" w:themeColor="text1"/>
          <w:sz w:val="22"/>
          <w:szCs w:val="22"/>
          <w:lang w:val="en-US" w:eastAsia="en-GB"/>
        </w:rPr>
        <w:t xml:space="preserve">, an adjustment was </w:t>
      </w:r>
      <w:proofErr w:type="gramStart"/>
      <w:r w:rsidRPr="00EA0CBF">
        <w:rPr>
          <w:rFonts w:ascii="Arial" w:eastAsia="Times New Roman" w:hAnsi="Arial" w:cs="Arial"/>
          <w:color w:val="000000" w:themeColor="text1"/>
          <w:sz w:val="22"/>
          <w:szCs w:val="22"/>
          <w:lang w:val="en-US" w:eastAsia="en-GB"/>
        </w:rPr>
        <w:t>actually required</w:t>
      </w:r>
      <w:proofErr w:type="gramEnd"/>
      <w:r w:rsidRPr="00EA0CBF">
        <w:rPr>
          <w:rFonts w:ascii="Arial" w:eastAsia="Times New Roman" w:hAnsi="Arial" w:cs="Arial"/>
          <w:color w:val="000000" w:themeColor="text1"/>
          <w:sz w:val="22"/>
          <w:szCs w:val="22"/>
          <w:lang w:val="en-US" w:eastAsia="en-GB"/>
        </w:rPr>
        <w:t xml:space="preserve">)? In the Court Order in the </w:t>
      </w:r>
      <w:proofErr w:type="spellStart"/>
      <w:r w:rsidRPr="00EA0CBF">
        <w:rPr>
          <w:rFonts w:ascii="Arial" w:eastAsia="Times New Roman" w:hAnsi="Arial" w:cs="Arial"/>
          <w:i/>
          <w:iCs/>
          <w:color w:val="000000" w:themeColor="text1"/>
          <w:sz w:val="22"/>
          <w:szCs w:val="22"/>
          <w:lang w:val="en-US" w:eastAsia="en-GB"/>
        </w:rPr>
        <w:t>Skellefteå</w:t>
      </w:r>
      <w:proofErr w:type="spellEnd"/>
      <w:r w:rsidRPr="00EA0CBF">
        <w:rPr>
          <w:rFonts w:ascii="Arial" w:eastAsia="Times New Roman" w:hAnsi="Arial" w:cs="Arial"/>
          <w:i/>
          <w:iCs/>
          <w:color w:val="000000" w:themeColor="text1"/>
          <w:sz w:val="22"/>
          <w:szCs w:val="22"/>
          <w:lang w:val="en-US" w:eastAsia="en-GB"/>
        </w:rPr>
        <w:t xml:space="preserve"> </w:t>
      </w:r>
      <w:proofErr w:type="spellStart"/>
      <w:r w:rsidRPr="00EA0CBF">
        <w:rPr>
          <w:rFonts w:ascii="Arial" w:eastAsia="Times New Roman" w:hAnsi="Arial" w:cs="Arial"/>
          <w:i/>
          <w:iCs/>
          <w:color w:val="000000" w:themeColor="text1"/>
          <w:sz w:val="22"/>
          <w:szCs w:val="22"/>
          <w:lang w:val="en-US" w:eastAsia="en-GB"/>
        </w:rPr>
        <w:t>Industrihus</w:t>
      </w:r>
      <w:proofErr w:type="spellEnd"/>
      <w:r w:rsidRPr="00EA0CBF">
        <w:rPr>
          <w:rFonts w:ascii="Arial" w:eastAsia="Times New Roman" w:hAnsi="Arial" w:cs="Arial"/>
          <w:color w:val="000000" w:themeColor="text1"/>
          <w:sz w:val="22"/>
          <w:szCs w:val="22"/>
          <w:lang w:val="en-US" w:eastAsia="en-GB"/>
        </w:rPr>
        <w:t xml:space="preserve"> case, the services acquired were architectural services paid in relation to a building that would never be built. How could such services be sold? In the </w:t>
      </w:r>
      <w:proofErr w:type="spellStart"/>
      <w:r w:rsidRPr="00EA0CBF">
        <w:rPr>
          <w:rFonts w:ascii="Arial" w:eastAsia="Times New Roman" w:hAnsi="Arial" w:cs="Arial"/>
          <w:i/>
          <w:iCs/>
          <w:color w:val="000000" w:themeColor="text1"/>
          <w:sz w:val="22"/>
          <w:szCs w:val="22"/>
          <w:lang w:val="en-US" w:eastAsia="en-GB"/>
        </w:rPr>
        <w:t>Vittamed</w:t>
      </w:r>
      <w:proofErr w:type="spellEnd"/>
      <w:r w:rsidRPr="00EA0CBF">
        <w:rPr>
          <w:rFonts w:ascii="Arial" w:eastAsia="Times New Roman" w:hAnsi="Arial" w:cs="Arial"/>
          <w:color w:val="000000" w:themeColor="text1"/>
          <w:sz w:val="22"/>
          <w:szCs w:val="22"/>
          <w:lang w:val="en-US" w:eastAsia="en-GB"/>
        </w:rPr>
        <w:t xml:space="preserve"> case the capital goods </w:t>
      </w:r>
      <w:r w:rsidR="003B47D5" w:rsidRPr="00EA0CBF">
        <w:rPr>
          <w:rFonts w:ascii="Arial" w:eastAsia="Times New Roman" w:hAnsi="Arial" w:cs="Arial"/>
          <w:color w:val="000000" w:themeColor="text1"/>
          <w:sz w:val="22"/>
          <w:szCs w:val="22"/>
          <w:lang w:val="en-US" w:eastAsia="en-GB"/>
        </w:rPr>
        <w:t xml:space="preserve">produced with the input goods and services </w:t>
      </w:r>
      <w:r w:rsidRPr="00EA0CBF">
        <w:rPr>
          <w:rFonts w:ascii="Arial" w:eastAsia="Times New Roman" w:hAnsi="Arial" w:cs="Arial"/>
          <w:color w:val="000000" w:themeColor="text1"/>
          <w:sz w:val="22"/>
          <w:szCs w:val="22"/>
          <w:lang w:val="en-US" w:eastAsia="en-GB"/>
        </w:rPr>
        <w:t xml:space="preserve">consisted in a </w:t>
      </w:r>
      <w:proofErr w:type="spellStart"/>
      <w:r w:rsidRPr="00EA0CBF">
        <w:rPr>
          <w:rFonts w:ascii="Arial" w:eastAsia="Times New Roman" w:hAnsi="Arial" w:cs="Arial"/>
          <w:color w:val="000000" w:themeColor="text1"/>
          <w:sz w:val="22"/>
          <w:szCs w:val="22"/>
          <w:lang w:val="en-US" w:eastAsia="en-GB"/>
        </w:rPr>
        <w:t>licence</w:t>
      </w:r>
      <w:proofErr w:type="spellEnd"/>
      <w:r w:rsidRPr="00EA0CBF">
        <w:rPr>
          <w:rFonts w:ascii="Arial" w:eastAsia="Times New Roman" w:hAnsi="Arial" w:cs="Arial"/>
          <w:color w:val="000000" w:themeColor="text1"/>
          <w:sz w:val="22"/>
          <w:szCs w:val="22"/>
          <w:lang w:val="en-US" w:eastAsia="en-GB"/>
        </w:rPr>
        <w:t xml:space="preserve"> and a prototype device. </w:t>
      </w:r>
      <w:r w:rsidR="00586027" w:rsidRPr="00EA0CBF">
        <w:rPr>
          <w:rFonts w:ascii="Arial" w:eastAsia="Times New Roman" w:hAnsi="Arial" w:cs="Arial"/>
          <w:color w:val="000000" w:themeColor="text1"/>
          <w:sz w:val="22"/>
          <w:szCs w:val="22"/>
          <w:lang w:val="en-US" w:eastAsia="en-GB"/>
        </w:rPr>
        <w:t>Since</w:t>
      </w:r>
      <w:r w:rsidR="003B47D5" w:rsidRPr="00EA0CBF">
        <w:rPr>
          <w:rFonts w:ascii="Arial" w:eastAsia="Times New Roman" w:hAnsi="Arial" w:cs="Arial"/>
          <w:color w:val="000000" w:themeColor="text1"/>
          <w:sz w:val="22"/>
          <w:szCs w:val="22"/>
          <w:lang w:val="en-US" w:eastAsia="en-GB"/>
        </w:rPr>
        <w:t xml:space="preserve"> the project was abandoned because there were no orders and the project was eventually considered as not profitable</w:t>
      </w:r>
      <w:r w:rsidR="00586027" w:rsidRPr="00EA0CBF">
        <w:rPr>
          <w:rFonts w:ascii="Arial" w:eastAsia="Times New Roman" w:hAnsi="Arial" w:cs="Arial"/>
          <w:color w:val="000000" w:themeColor="text1"/>
          <w:sz w:val="22"/>
          <w:szCs w:val="22"/>
          <w:lang w:val="en-US" w:eastAsia="en-GB"/>
        </w:rPr>
        <w:t xml:space="preserve">, it seems very unlikely that these capital goods could be resold by the taxable person. </w:t>
      </w:r>
      <w:r w:rsidRPr="00EA0CBF">
        <w:rPr>
          <w:rFonts w:ascii="Arial" w:eastAsia="Times New Roman" w:hAnsi="Arial" w:cs="Arial"/>
          <w:color w:val="000000" w:themeColor="text1"/>
          <w:sz w:val="22"/>
          <w:szCs w:val="22"/>
          <w:lang w:val="en-US" w:eastAsia="en-GB"/>
        </w:rPr>
        <w:t xml:space="preserve">In this case, and according to the CJEU decision, it should bear a final VAT burden. This decision is, </w:t>
      </w:r>
      <w:r w:rsidRPr="00EA0CBF">
        <w:rPr>
          <w:rFonts w:ascii="Arial" w:eastAsia="Times New Roman" w:hAnsi="Arial" w:cs="Arial"/>
          <w:color w:val="000000" w:themeColor="text1"/>
          <w:sz w:val="22"/>
          <w:szCs w:val="22"/>
          <w:lang w:val="en-US" w:eastAsia="en-GB"/>
        </w:rPr>
        <w:lastRenderedPageBreak/>
        <w:t>in my opinion, in contradiction with the principle that VAT is a tax on consumption, that should be neutral on businesses</w:t>
      </w:r>
      <w:r w:rsidR="00D35187" w:rsidRPr="00EA0CBF">
        <w:rPr>
          <w:rFonts w:ascii="Arial" w:eastAsia="Times New Roman" w:hAnsi="Arial" w:cs="Arial"/>
          <w:color w:val="000000" w:themeColor="text1"/>
          <w:sz w:val="22"/>
          <w:szCs w:val="22"/>
          <w:lang w:val="en-US" w:eastAsia="en-GB"/>
        </w:rPr>
        <w:t xml:space="preserve">. It </w:t>
      </w:r>
      <w:r w:rsidR="0063727A" w:rsidRPr="00EA0CBF">
        <w:rPr>
          <w:rFonts w:ascii="Arial" w:hAnsi="Arial" w:cs="Arial"/>
          <w:color w:val="000000" w:themeColor="text1"/>
          <w:sz w:val="22"/>
          <w:szCs w:val="22"/>
          <w:lang w:val="en-US"/>
        </w:rPr>
        <w:t>jeopardizes</w:t>
      </w:r>
      <w:r w:rsidRPr="00EA0CBF">
        <w:rPr>
          <w:rFonts w:ascii="Arial" w:hAnsi="Arial" w:cs="Arial"/>
          <w:color w:val="000000" w:themeColor="text1"/>
          <w:sz w:val="22"/>
          <w:szCs w:val="22"/>
          <w:lang w:val="en-US"/>
        </w:rPr>
        <w:t xml:space="preserve"> the benefit of the deduction which was legitimately acquired by someone who had the intention to carry out an economic activity</w:t>
      </w:r>
      <w:r w:rsidR="009D4BFA" w:rsidRPr="00EA0CBF">
        <w:rPr>
          <w:rFonts w:ascii="Arial" w:hAnsi="Arial" w:cs="Arial"/>
          <w:color w:val="000000" w:themeColor="text1"/>
          <w:sz w:val="22"/>
          <w:szCs w:val="22"/>
          <w:lang w:val="en-US"/>
        </w:rPr>
        <w:t xml:space="preserve"> but eventually </w:t>
      </w:r>
      <w:proofErr w:type="gramStart"/>
      <w:r w:rsidR="009D4BFA" w:rsidRPr="00EA0CBF">
        <w:rPr>
          <w:rFonts w:ascii="Arial" w:hAnsi="Arial" w:cs="Arial"/>
          <w:color w:val="000000" w:themeColor="text1"/>
          <w:sz w:val="22"/>
          <w:szCs w:val="22"/>
          <w:lang w:val="en-US"/>
        </w:rPr>
        <w:t>has to</w:t>
      </w:r>
      <w:proofErr w:type="gramEnd"/>
      <w:r w:rsidR="009D4BFA" w:rsidRPr="00EA0CBF">
        <w:rPr>
          <w:rFonts w:ascii="Arial" w:hAnsi="Arial" w:cs="Arial"/>
          <w:color w:val="000000" w:themeColor="text1"/>
          <w:sz w:val="22"/>
          <w:szCs w:val="22"/>
          <w:lang w:val="en-US"/>
        </w:rPr>
        <w:t xml:space="preserve"> give up its project</w:t>
      </w:r>
      <w:r w:rsidRPr="00EA0CBF">
        <w:rPr>
          <w:rFonts w:ascii="Arial" w:hAnsi="Arial" w:cs="Arial"/>
          <w:color w:val="000000" w:themeColor="text1"/>
          <w:sz w:val="22"/>
          <w:szCs w:val="22"/>
          <w:lang w:val="en-US"/>
        </w:rPr>
        <w:t xml:space="preserve">, and </w:t>
      </w:r>
      <w:r w:rsidR="00EA0CBF" w:rsidRPr="00EA0CBF">
        <w:rPr>
          <w:rFonts w:ascii="Arial" w:hAnsi="Arial" w:cs="Arial"/>
          <w:color w:val="000000" w:themeColor="text1"/>
          <w:sz w:val="22"/>
          <w:szCs w:val="22"/>
          <w:lang w:val="en-US"/>
        </w:rPr>
        <w:t xml:space="preserve">it </w:t>
      </w:r>
      <w:r w:rsidRPr="00EA0CBF">
        <w:rPr>
          <w:rFonts w:ascii="Arial" w:hAnsi="Arial" w:cs="Arial"/>
          <w:color w:val="000000" w:themeColor="text1"/>
          <w:sz w:val="22"/>
          <w:szCs w:val="22"/>
          <w:lang w:val="en-US"/>
        </w:rPr>
        <w:t>is irreconcilable with the very nature of the VAT system.</w:t>
      </w:r>
    </w:p>
    <w:p w14:paraId="04F8ED8C" w14:textId="3F62BD7D" w:rsidR="00B07B20" w:rsidRDefault="00B07B20" w:rsidP="00473AE8">
      <w:pPr>
        <w:jc w:val="both"/>
        <w:rPr>
          <w:rFonts w:ascii="Arial" w:eastAsia="Times New Roman" w:hAnsi="Arial" w:cs="Arial"/>
          <w:color w:val="000000" w:themeColor="text1"/>
          <w:sz w:val="22"/>
          <w:szCs w:val="22"/>
          <w:lang w:val="en-US" w:eastAsia="en-GB"/>
        </w:rPr>
      </w:pPr>
    </w:p>
    <w:p w14:paraId="4A0C3E66" w14:textId="77777777" w:rsidR="00A16EA3" w:rsidRPr="00EA0CBF" w:rsidRDefault="00A16EA3" w:rsidP="00473AE8">
      <w:pPr>
        <w:jc w:val="both"/>
        <w:rPr>
          <w:rFonts w:ascii="Arial" w:eastAsia="Times New Roman" w:hAnsi="Arial" w:cs="Arial"/>
          <w:color w:val="000000" w:themeColor="text1"/>
          <w:sz w:val="22"/>
          <w:szCs w:val="22"/>
          <w:lang w:val="en-US" w:eastAsia="en-GB"/>
        </w:rPr>
      </w:pPr>
    </w:p>
    <w:p w14:paraId="02CFAC43" w14:textId="77777777" w:rsidR="00473AE8" w:rsidRPr="00EA0CBF" w:rsidRDefault="00473AE8" w:rsidP="00473AE8">
      <w:pPr>
        <w:pStyle w:val="ListParagraph"/>
        <w:ind w:left="360"/>
        <w:jc w:val="both"/>
        <w:rPr>
          <w:rFonts w:ascii="Arial" w:eastAsia="Times New Roman" w:hAnsi="Arial" w:cs="Arial"/>
          <w:b/>
          <w:bCs/>
          <w:color w:val="000000" w:themeColor="text1"/>
          <w:sz w:val="22"/>
          <w:szCs w:val="22"/>
          <w:shd w:val="clear" w:color="auto" w:fill="FFFFFF"/>
          <w:lang w:val="en-US" w:eastAsia="en-GB"/>
        </w:rPr>
      </w:pPr>
    </w:p>
    <w:p w14:paraId="17A626A6" w14:textId="671C0B13" w:rsidR="00473AE8" w:rsidRPr="00EA0CBF" w:rsidRDefault="00473AE8" w:rsidP="00473AE8">
      <w:pPr>
        <w:pStyle w:val="ListParagraph"/>
        <w:numPr>
          <w:ilvl w:val="0"/>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HA.EN. </w:t>
      </w:r>
      <w:r w:rsidR="00E37ACC" w:rsidRPr="00EA0CBF">
        <w:rPr>
          <w:rFonts w:ascii="Arial" w:eastAsia="Times New Roman" w:hAnsi="Arial" w:cs="Arial"/>
          <w:b/>
          <w:bCs/>
          <w:color w:val="000000" w:themeColor="text1"/>
          <w:sz w:val="22"/>
          <w:szCs w:val="22"/>
          <w:shd w:val="clear" w:color="auto" w:fill="FFFFFF"/>
          <w:lang w:val="en-US" w:eastAsia="en-GB"/>
        </w:rPr>
        <w:t>(C-227/21)</w:t>
      </w:r>
      <w:r w:rsidR="00E37ACC" w:rsidRPr="00EA0CBF">
        <w:rPr>
          <w:rStyle w:val="FootnoteReference"/>
          <w:rFonts w:ascii="Arial" w:eastAsia="Times New Roman" w:hAnsi="Arial" w:cs="Arial"/>
          <w:b/>
          <w:bCs/>
          <w:color w:val="000000" w:themeColor="text1"/>
          <w:sz w:val="22"/>
          <w:szCs w:val="22"/>
          <w:shd w:val="clear" w:color="auto" w:fill="FFFFFF"/>
          <w:lang w:val="en-US" w:eastAsia="en-GB"/>
        </w:rPr>
        <w:footnoteReference w:id="16"/>
      </w:r>
    </w:p>
    <w:p w14:paraId="5C255D49" w14:textId="77777777" w:rsidR="00473AE8" w:rsidRPr="00EA0CBF" w:rsidRDefault="00473AE8" w:rsidP="00473AE8">
      <w:pPr>
        <w:pStyle w:val="ListParagraph"/>
        <w:ind w:left="360"/>
        <w:jc w:val="both"/>
        <w:rPr>
          <w:rFonts w:ascii="Arial" w:eastAsia="Times New Roman" w:hAnsi="Arial" w:cs="Arial"/>
          <w:b/>
          <w:bCs/>
          <w:color w:val="000000" w:themeColor="text1"/>
          <w:sz w:val="22"/>
          <w:szCs w:val="22"/>
          <w:shd w:val="clear" w:color="auto" w:fill="FFFFFF"/>
          <w:lang w:val="en-US" w:eastAsia="en-GB"/>
        </w:rPr>
      </w:pPr>
    </w:p>
    <w:p w14:paraId="20788F17"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Facts and question raised</w:t>
      </w:r>
    </w:p>
    <w:p w14:paraId="4C162977" w14:textId="14E5DB24"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bookmarkStart w:id="0" w:name="point10"/>
      <w:r w:rsidRPr="00EA0CBF">
        <w:rPr>
          <w:rFonts w:ascii="Arial" w:hAnsi="Arial" w:cs="Arial"/>
          <w:color w:val="000000" w:themeColor="text1"/>
          <w:sz w:val="22"/>
          <w:szCs w:val="22"/>
          <w:lang w:val="en-US"/>
        </w:rPr>
        <w:t xml:space="preserve">In 2015 HA. EN acquired from a bank, and for consideration, a series of </w:t>
      </w:r>
      <w:r w:rsidRPr="00EA0CBF">
        <w:rPr>
          <w:rFonts w:ascii="Arial" w:hAnsi="Arial" w:cs="Arial"/>
          <w:color w:val="000000" w:themeColor="text1"/>
          <w:sz w:val="22"/>
          <w:szCs w:val="22"/>
        </w:rPr>
        <w:t xml:space="preserve">monetary claims arising from </w:t>
      </w:r>
      <w:r w:rsidRPr="00EA0CBF">
        <w:rPr>
          <w:rFonts w:ascii="Arial" w:hAnsi="Arial" w:cs="Arial"/>
          <w:color w:val="000000" w:themeColor="text1"/>
          <w:sz w:val="22"/>
          <w:szCs w:val="22"/>
          <w:lang w:val="en-US"/>
        </w:rPr>
        <w:t>a</w:t>
      </w:r>
      <w:r w:rsidRPr="00EA0CBF">
        <w:rPr>
          <w:rFonts w:ascii="Arial" w:hAnsi="Arial" w:cs="Arial"/>
          <w:color w:val="000000" w:themeColor="text1"/>
          <w:sz w:val="22"/>
          <w:szCs w:val="22"/>
        </w:rPr>
        <w:t xml:space="preserve"> credit agreement concluded between th</w:t>
      </w:r>
      <w:r w:rsidRPr="00EA0CBF">
        <w:rPr>
          <w:rFonts w:ascii="Arial" w:hAnsi="Arial" w:cs="Arial"/>
          <w:color w:val="000000" w:themeColor="text1"/>
          <w:sz w:val="22"/>
          <w:szCs w:val="22"/>
          <w:lang w:val="en-US"/>
        </w:rPr>
        <w:t>is</w:t>
      </w:r>
      <w:r w:rsidRPr="00EA0CBF">
        <w:rPr>
          <w:rFonts w:ascii="Arial" w:hAnsi="Arial" w:cs="Arial"/>
          <w:color w:val="000000" w:themeColor="text1"/>
          <w:sz w:val="22"/>
          <w:szCs w:val="22"/>
        </w:rPr>
        <w:t xml:space="preserve"> bank and </w:t>
      </w:r>
      <w:r w:rsidRPr="00EA0CBF">
        <w:rPr>
          <w:rFonts w:ascii="Arial" w:hAnsi="Arial" w:cs="Arial"/>
          <w:color w:val="000000" w:themeColor="text1"/>
          <w:sz w:val="22"/>
          <w:szCs w:val="22"/>
          <w:lang w:val="en-US"/>
        </w:rPr>
        <w:t xml:space="preserve">a debtor named </w:t>
      </w:r>
      <w:r w:rsidRPr="00EA0CBF">
        <w:rPr>
          <w:rFonts w:ascii="Arial" w:hAnsi="Arial" w:cs="Arial"/>
          <w:color w:val="000000" w:themeColor="text1"/>
          <w:sz w:val="22"/>
          <w:szCs w:val="22"/>
        </w:rPr>
        <w:t>UAB ‘Sostinės būstai’</w:t>
      </w:r>
      <w:r w:rsidRPr="00EA0CBF">
        <w:rPr>
          <w:rFonts w:ascii="Arial" w:hAnsi="Arial" w:cs="Arial"/>
          <w:color w:val="000000" w:themeColor="text1"/>
          <w:sz w:val="22"/>
          <w:szCs w:val="22"/>
          <w:lang w:val="en-US"/>
        </w:rPr>
        <w:t xml:space="preserve"> (‘UAB’)</w:t>
      </w:r>
      <w:r w:rsidR="00EA0CBF">
        <w:rPr>
          <w:rFonts w:ascii="Arial" w:hAnsi="Arial" w:cs="Arial"/>
          <w:color w:val="000000" w:themeColor="text1"/>
          <w:sz w:val="22"/>
          <w:szCs w:val="22"/>
          <w:lang w:val="en-US"/>
        </w:rPr>
        <w:t>, together with</w:t>
      </w:r>
      <w:r w:rsidRPr="00EA0CBF">
        <w:rPr>
          <w:rFonts w:ascii="Arial" w:hAnsi="Arial" w:cs="Arial"/>
          <w:color w:val="000000" w:themeColor="text1"/>
          <w:sz w:val="22"/>
          <w:szCs w:val="22"/>
        </w:rPr>
        <w:t xml:space="preserve"> all the rights established to secure the performance of obligations</w:t>
      </w:r>
      <w:r w:rsidR="00EA0CBF" w:rsidRPr="00EA0CBF">
        <w:rPr>
          <w:rFonts w:ascii="Arial" w:hAnsi="Arial" w:cs="Arial"/>
          <w:color w:val="000000" w:themeColor="text1"/>
          <w:sz w:val="22"/>
          <w:szCs w:val="22"/>
          <w:lang w:val="en-US"/>
        </w:rPr>
        <w:t xml:space="preserve"> (</w:t>
      </w:r>
      <w:proofErr w:type="gramStart"/>
      <w:r w:rsidR="00EA0CBF" w:rsidRPr="00EA0CBF">
        <w:rPr>
          <w:rFonts w:ascii="Arial" w:hAnsi="Arial" w:cs="Arial"/>
          <w:color w:val="000000" w:themeColor="text1"/>
          <w:sz w:val="22"/>
          <w:szCs w:val="22"/>
          <w:lang w:val="en-US"/>
        </w:rPr>
        <w:t>in particular</w:t>
      </w:r>
      <w:r w:rsidR="00EA0CBF">
        <w:rPr>
          <w:rFonts w:ascii="Arial" w:hAnsi="Arial" w:cs="Arial"/>
          <w:color w:val="000000" w:themeColor="text1"/>
          <w:sz w:val="22"/>
          <w:szCs w:val="22"/>
          <w:lang w:val="en-US"/>
        </w:rPr>
        <w:t xml:space="preserve"> </w:t>
      </w:r>
      <w:r w:rsidR="00EA0CBF" w:rsidRPr="00EA0CBF">
        <w:rPr>
          <w:rFonts w:ascii="Arial" w:hAnsi="Arial" w:cs="Arial"/>
          <w:color w:val="000000" w:themeColor="text1"/>
          <w:sz w:val="22"/>
          <w:szCs w:val="22"/>
          <w:lang w:val="en-US"/>
        </w:rPr>
        <w:t>a</w:t>
      </w:r>
      <w:proofErr w:type="gramEnd"/>
      <w:r w:rsidRPr="00EA0CBF">
        <w:rPr>
          <w:rFonts w:ascii="Arial" w:hAnsi="Arial" w:cs="Arial"/>
          <w:color w:val="000000" w:themeColor="text1"/>
          <w:sz w:val="22"/>
          <w:szCs w:val="22"/>
        </w:rPr>
        <w:t xml:space="preserve"> contractual mortgage</w:t>
      </w:r>
      <w:bookmarkEnd w:id="0"/>
      <w:r w:rsidR="00EA0CBF"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w:t>
      </w:r>
      <w:proofErr w:type="gramStart"/>
      <w:r w:rsidRPr="00EA0CBF">
        <w:rPr>
          <w:rFonts w:ascii="Arial" w:hAnsi="Arial" w:cs="Arial"/>
          <w:color w:val="000000" w:themeColor="text1"/>
          <w:sz w:val="22"/>
          <w:szCs w:val="22"/>
          <w:lang w:val="en-US"/>
        </w:rPr>
        <w:t>HA.EN</w:t>
      </w:r>
      <w:proofErr w:type="gramEnd"/>
      <w:r w:rsidRPr="00EA0CBF">
        <w:rPr>
          <w:rFonts w:ascii="Arial" w:hAnsi="Arial" w:cs="Arial"/>
          <w:color w:val="000000" w:themeColor="text1"/>
          <w:sz w:val="22"/>
          <w:szCs w:val="22"/>
        </w:rPr>
        <w:t xml:space="preserve"> confirmed</w:t>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 xml:space="preserve">that it </w:t>
      </w:r>
      <w:r w:rsidRPr="00EA0CBF">
        <w:rPr>
          <w:rFonts w:ascii="Arial" w:hAnsi="Arial" w:cs="Arial"/>
          <w:color w:val="000000" w:themeColor="text1"/>
          <w:sz w:val="22"/>
          <w:szCs w:val="22"/>
          <w:lang w:val="en-US"/>
        </w:rPr>
        <w:t>was aware of</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UAB’s</w:t>
      </w:r>
      <w:r w:rsidRPr="00EA0CBF">
        <w:rPr>
          <w:rFonts w:ascii="Arial" w:hAnsi="Arial" w:cs="Arial"/>
          <w:color w:val="000000" w:themeColor="text1"/>
          <w:sz w:val="22"/>
          <w:szCs w:val="22"/>
        </w:rPr>
        <w:t xml:space="preserve"> economic and financial situation, and </w:t>
      </w:r>
      <w:r w:rsidR="0063727A" w:rsidRPr="0063727A">
        <w:rPr>
          <w:rFonts w:ascii="Arial" w:hAnsi="Arial" w:cs="Arial"/>
          <w:color w:val="000000" w:themeColor="text1"/>
          <w:sz w:val="22"/>
          <w:szCs w:val="22"/>
          <w:lang w:val="en-US"/>
        </w:rPr>
        <w:t xml:space="preserve">in particular </w:t>
      </w:r>
      <w:r w:rsidR="00EA0CBF" w:rsidRPr="00EA0CBF">
        <w:rPr>
          <w:rFonts w:ascii="Arial" w:hAnsi="Arial" w:cs="Arial"/>
          <w:color w:val="000000" w:themeColor="text1"/>
          <w:sz w:val="22"/>
          <w:szCs w:val="22"/>
          <w:lang w:val="en-US"/>
        </w:rPr>
        <w:t>of the fact that it</w:t>
      </w:r>
      <w:r w:rsidRPr="00EA0CBF">
        <w:rPr>
          <w:rFonts w:ascii="Arial" w:hAnsi="Arial" w:cs="Arial"/>
          <w:color w:val="000000" w:themeColor="text1"/>
          <w:sz w:val="22"/>
          <w:szCs w:val="22"/>
        </w:rPr>
        <w:t xml:space="preserve"> was insolvent and subject </w:t>
      </w:r>
      <w:r w:rsidR="00EA0CBF" w:rsidRPr="00EA0CBF">
        <w:rPr>
          <w:rFonts w:ascii="Arial" w:hAnsi="Arial" w:cs="Arial"/>
          <w:color w:val="000000" w:themeColor="text1"/>
          <w:sz w:val="22"/>
          <w:szCs w:val="22"/>
          <w:lang w:val="en-US"/>
        </w:rPr>
        <w:t>to</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 xml:space="preserve">a pending </w:t>
      </w:r>
      <w:r w:rsidRPr="00EA0CBF">
        <w:rPr>
          <w:rFonts w:ascii="Arial" w:hAnsi="Arial" w:cs="Arial"/>
          <w:color w:val="000000" w:themeColor="text1"/>
          <w:sz w:val="22"/>
          <w:szCs w:val="22"/>
        </w:rPr>
        <w:t>administration proceedings</w:t>
      </w:r>
      <w:r w:rsidRPr="00EA0CBF">
        <w:rPr>
          <w:rFonts w:ascii="Arial" w:hAnsi="Arial" w:cs="Arial"/>
          <w:color w:val="000000" w:themeColor="text1"/>
          <w:sz w:val="22"/>
          <w:szCs w:val="22"/>
          <w:lang w:val="en-US"/>
        </w:rPr>
        <w:t xml:space="preserve">. </w:t>
      </w:r>
    </w:p>
    <w:p w14:paraId="09419858" w14:textId="5114B1AB"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Part of UAB’s immovable property was eventually put for sale in the context of a public auction. </w:t>
      </w:r>
      <w:r w:rsidR="00EA0CBF">
        <w:rPr>
          <w:rFonts w:ascii="Arial" w:hAnsi="Arial" w:cs="Arial"/>
          <w:color w:val="000000" w:themeColor="text1"/>
          <w:sz w:val="22"/>
          <w:szCs w:val="22"/>
          <w:lang w:val="en-US"/>
        </w:rPr>
        <w:t>As</w:t>
      </w:r>
      <w:r w:rsidRPr="00EA0CBF">
        <w:rPr>
          <w:rFonts w:ascii="Arial" w:hAnsi="Arial" w:cs="Arial"/>
          <w:color w:val="000000" w:themeColor="text1"/>
          <w:sz w:val="22"/>
          <w:szCs w:val="22"/>
          <w:lang w:val="en-US"/>
        </w:rPr>
        <w:t xml:space="preserve"> no </w:t>
      </w:r>
      <w:r w:rsidRPr="00EA0CBF">
        <w:rPr>
          <w:rFonts w:ascii="Arial" w:hAnsi="Arial" w:cs="Arial"/>
          <w:color w:val="000000" w:themeColor="text1"/>
          <w:sz w:val="22"/>
          <w:szCs w:val="22"/>
        </w:rPr>
        <w:t>purchaser showed an interest in acquiring it</w:t>
      </w:r>
      <w:r w:rsidR="00EA0CBF"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HA.EN. was offered, </w:t>
      </w:r>
      <w:r w:rsidR="00EA0CBF" w:rsidRPr="00EA0CBF">
        <w:rPr>
          <w:rFonts w:ascii="Arial" w:hAnsi="Arial" w:cs="Arial"/>
          <w:color w:val="000000" w:themeColor="text1"/>
          <w:sz w:val="22"/>
          <w:szCs w:val="22"/>
          <w:lang w:val="en-US"/>
        </w:rPr>
        <w:t xml:space="preserve">still </w:t>
      </w:r>
      <w:r w:rsidRPr="00EA0CBF">
        <w:rPr>
          <w:rFonts w:ascii="Arial" w:hAnsi="Arial" w:cs="Arial"/>
          <w:color w:val="000000" w:themeColor="text1"/>
          <w:sz w:val="22"/>
          <w:szCs w:val="22"/>
        </w:rPr>
        <w:t>in the context of the auction procedure, the immovable property for its initial price of sale</w:t>
      </w:r>
      <w:r w:rsidR="00EA0CBF" w:rsidRPr="00EA0CBF">
        <w:rPr>
          <w:rFonts w:ascii="Arial" w:hAnsi="Arial" w:cs="Arial"/>
          <w:color w:val="000000" w:themeColor="text1"/>
          <w:sz w:val="22"/>
          <w:szCs w:val="22"/>
          <w:lang w:val="en-US"/>
        </w:rPr>
        <w:t xml:space="preserve">. </w:t>
      </w:r>
      <w:proofErr w:type="gramStart"/>
      <w:r w:rsidR="00EA0CBF" w:rsidRPr="00EA0CBF">
        <w:rPr>
          <w:rFonts w:ascii="Arial" w:hAnsi="Arial" w:cs="Arial"/>
          <w:color w:val="000000" w:themeColor="text1"/>
          <w:sz w:val="22"/>
          <w:szCs w:val="22"/>
          <w:lang w:val="en-US"/>
        </w:rPr>
        <w:t>HA.EN</w:t>
      </w:r>
      <w:proofErr w:type="gramEnd"/>
      <w:r w:rsidR="00EA0CBF" w:rsidRPr="00EA0CBF">
        <w:rPr>
          <w:rFonts w:ascii="Arial" w:hAnsi="Arial" w:cs="Arial"/>
          <w:color w:val="000000" w:themeColor="text1"/>
          <w:sz w:val="22"/>
          <w:szCs w:val="22"/>
          <w:lang w:val="en-US"/>
        </w:rPr>
        <w:t xml:space="preserve"> accepted th</w:t>
      </w:r>
      <w:r w:rsidR="00EA0CBF">
        <w:rPr>
          <w:rFonts w:ascii="Arial" w:hAnsi="Arial" w:cs="Arial"/>
          <w:color w:val="000000" w:themeColor="text1"/>
          <w:sz w:val="22"/>
          <w:szCs w:val="22"/>
          <w:lang w:val="en-US"/>
        </w:rPr>
        <w:t>is offer,</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and it was agreed that this “</w:t>
      </w:r>
      <w:r w:rsidRPr="00EA0CBF">
        <w:rPr>
          <w:rFonts w:ascii="Arial" w:hAnsi="Arial" w:cs="Arial"/>
          <w:color w:val="000000" w:themeColor="text1"/>
          <w:sz w:val="22"/>
          <w:szCs w:val="22"/>
        </w:rPr>
        <w:t>acquisition</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would extinguish a part of </w:t>
      </w:r>
      <w:r w:rsidR="00EA0CBF" w:rsidRPr="00EA0CBF">
        <w:rPr>
          <w:rFonts w:ascii="Arial" w:hAnsi="Arial" w:cs="Arial"/>
          <w:color w:val="000000" w:themeColor="text1"/>
          <w:sz w:val="22"/>
          <w:szCs w:val="22"/>
          <w:lang w:val="en-US"/>
        </w:rPr>
        <w:t>its</w:t>
      </w:r>
      <w:r w:rsidRPr="00EA0CBF">
        <w:rPr>
          <w:rFonts w:ascii="Arial" w:hAnsi="Arial" w:cs="Arial"/>
          <w:color w:val="000000" w:themeColor="text1"/>
          <w:sz w:val="22"/>
          <w:szCs w:val="22"/>
        </w:rPr>
        <w:t xml:space="preserve"> claims</w:t>
      </w:r>
      <w:r w:rsidRPr="00EA0CBF">
        <w:rPr>
          <w:rFonts w:ascii="Arial" w:hAnsi="Arial" w:cs="Arial"/>
          <w:color w:val="000000" w:themeColor="text1"/>
          <w:sz w:val="22"/>
          <w:szCs w:val="22"/>
          <w:lang w:val="en-US"/>
        </w:rPr>
        <w:t xml:space="preserve"> against UAB</w:t>
      </w:r>
      <w:r w:rsidRPr="00EA0CBF">
        <w:rPr>
          <w:rFonts w:ascii="Arial" w:hAnsi="Arial" w:cs="Arial"/>
          <w:color w:val="000000" w:themeColor="text1"/>
          <w:sz w:val="22"/>
          <w:szCs w:val="22"/>
        </w:rPr>
        <w:t>.</w:t>
      </w:r>
    </w:p>
    <w:p w14:paraId="347E20D7"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UAB </w:t>
      </w:r>
      <w:r w:rsidRPr="00EA0CBF">
        <w:rPr>
          <w:rFonts w:ascii="Arial" w:hAnsi="Arial" w:cs="Arial"/>
          <w:color w:val="000000" w:themeColor="text1"/>
          <w:sz w:val="22"/>
          <w:szCs w:val="22"/>
        </w:rPr>
        <w:t xml:space="preserve">issued an invoice indicating that ownership of the immovable property at issue had been transferred to HA.EN. for the total amount of EUR 5 468 000, </w:t>
      </w:r>
      <w:r w:rsidRPr="00EA0CBF">
        <w:rPr>
          <w:rFonts w:ascii="Arial" w:hAnsi="Arial" w:cs="Arial"/>
          <w:color w:val="000000" w:themeColor="text1"/>
          <w:sz w:val="22"/>
          <w:szCs w:val="22"/>
          <w:lang w:val="en-US"/>
        </w:rPr>
        <w:t>i.e.</w:t>
      </w:r>
      <w:r w:rsidRPr="00EA0CBF">
        <w:rPr>
          <w:rFonts w:ascii="Arial" w:hAnsi="Arial" w:cs="Arial"/>
          <w:color w:val="000000" w:themeColor="text1"/>
          <w:sz w:val="22"/>
          <w:szCs w:val="22"/>
        </w:rPr>
        <w:t xml:space="preserve"> a sum of EUR 4 519 008.26 </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EUR 948 991.74 in VAT. HA.EN. entered the invoice in its accounts and deducted the input VAT set out on the invoice in its VAT declaration for November 2016. </w:t>
      </w:r>
      <w:r w:rsidRPr="00EA0CBF">
        <w:rPr>
          <w:rFonts w:ascii="Arial" w:hAnsi="Arial" w:cs="Arial"/>
          <w:color w:val="000000" w:themeColor="text1"/>
          <w:sz w:val="22"/>
          <w:szCs w:val="22"/>
          <w:lang w:val="en-US"/>
        </w:rPr>
        <w:t>UAB</w:t>
      </w:r>
      <w:r w:rsidRPr="00EA0CBF">
        <w:rPr>
          <w:rFonts w:ascii="Arial" w:hAnsi="Arial" w:cs="Arial"/>
          <w:color w:val="000000" w:themeColor="text1"/>
          <w:sz w:val="22"/>
          <w:szCs w:val="22"/>
        </w:rPr>
        <w:t xml:space="preserve"> also entered the invoice in its accounts</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and it declared the output tax set out on it, as VAT payable, in its declaration for August 2016</w:t>
      </w:r>
      <w:r w:rsidRPr="00EA0CBF">
        <w:rPr>
          <w:rFonts w:ascii="Arial" w:hAnsi="Arial" w:cs="Arial"/>
          <w:color w:val="000000" w:themeColor="text1"/>
          <w:sz w:val="22"/>
          <w:szCs w:val="22"/>
          <w:lang w:val="en-US"/>
        </w:rPr>
        <w:t xml:space="preserve">. However, </w:t>
      </w:r>
      <w:r w:rsidRPr="00EA0CBF">
        <w:rPr>
          <w:rFonts w:ascii="Arial" w:hAnsi="Arial" w:cs="Arial"/>
          <w:color w:val="000000" w:themeColor="text1"/>
          <w:sz w:val="22"/>
          <w:szCs w:val="22"/>
        </w:rPr>
        <w:t>it never paid that tax.</w:t>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 xml:space="preserve">On 1 October 2016, </w:t>
      </w:r>
      <w:r w:rsidRPr="00EA0CBF">
        <w:rPr>
          <w:rFonts w:ascii="Arial" w:hAnsi="Arial" w:cs="Arial"/>
          <w:color w:val="000000" w:themeColor="text1"/>
          <w:sz w:val="22"/>
          <w:szCs w:val="22"/>
          <w:lang w:val="en-US"/>
        </w:rPr>
        <w:t>UAB</w:t>
      </w:r>
      <w:r w:rsidRPr="00EA0CBF">
        <w:rPr>
          <w:rFonts w:ascii="Arial" w:hAnsi="Arial" w:cs="Arial"/>
          <w:color w:val="000000" w:themeColor="text1"/>
          <w:sz w:val="22"/>
          <w:szCs w:val="22"/>
        </w:rPr>
        <w:t xml:space="preserve"> was declared insolvent.</w:t>
      </w:r>
    </w:p>
    <w:p w14:paraId="65BEACC6"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rPr>
      </w:pPr>
      <w:r w:rsidRPr="00EA0CBF">
        <w:rPr>
          <w:rFonts w:ascii="Arial" w:hAnsi="Arial" w:cs="Arial"/>
          <w:color w:val="000000" w:themeColor="text1"/>
          <w:sz w:val="22"/>
          <w:szCs w:val="22"/>
        </w:rPr>
        <w:t xml:space="preserve">On 20 December 2016, HA.EN. requested the tax authority to refund it the excess VAT resulting from </w:t>
      </w:r>
      <w:r w:rsidRPr="00EA0CBF">
        <w:rPr>
          <w:rFonts w:ascii="Arial" w:hAnsi="Arial" w:cs="Arial"/>
          <w:color w:val="000000" w:themeColor="text1"/>
          <w:sz w:val="22"/>
          <w:szCs w:val="22"/>
          <w:lang w:val="en-US"/>
        </w:rPr>
        <w:t xml:space="preserve">the </w:t>
      </w:r>
      <w:r w:rsidRPr="00EA0CBF">
        <w:rPr>
          <w:rFonts w:ascii="Arial" w:hAnsi="Arial" w:cs="Arial"/>
          <w:color w:val="000000" w:themeColor="text1"/>
          <w:sz w:val="22"/>
          <w:szCs w:val="22"/>
        </w:rPr>
        <w:t xml:space="preserve">deduction of the input VAT, namely EUR 948 991.74. </w:t>
      </w:r>
      <w:r w:rsidRPr="00EA0CBF">
        <w:rPr>
          <w:rFonts w:ascii="Arial" w:hAnsi="Arial" w:cs="Arial"/>
          <w:color w:val="000000" w:themeColor="text1"/>
          <w:sz w:val="22"/>
          <w:szCs w:val="22"/>
          <w:lang w:val="en-US"/>
        </w:rPr>
        <w:t>However, this request was rejected. The tax authorities found that when</w:t>
      </w:r>
      <w:r w:rsidRPr="00EA0CBF">
        <w:rPr>
          <w:rFonts w:ascii="Arial" w:hAnsi="Arial" w:cs="Arial"/>
          <w:color w:val="000000" w:themeColor="text1"/>
          <w:sz w:val="22"/>
          <w:szCs w:val="22"/>
        </w:rPr>
        <w:t xml:space="preserve"> </w:t>
      </w:r>
      <w:proofErr w:type="gramStart"/>
      <w:r w:rsidRPr="00EA0CBF">
        <w:rPr>
          <w:rFonts w:ascii="Arial" w:hAnsi="Arial" w:cs="Arial"/>
          <w:color w:val="000000" w:themeColor="text1"/>
          <w:sz w:val="22"/>
          <w:szCs w:val="22"/>
        </w:rPr>
        <w:t>entering into</w:t>
      </w:r>
      <w:proofErr w:type="gramEnd"/>
      <w:r w:rsidRPr="00EA0CBF">
        <w:rPr>
          <w:rFonts w:ascii="Arial" w:hAnsi="Arial" w:cs="Arial"/>
          <w:color w:val="000000" w:themeColor="text1"/>
          <w:sz w:val="22"/>
          <w:szCs w:val="22"/>
        </w:rPr>
        <w:t xml:space="preserve"> the transaction </w:t>
      </w:r>
      <w:r w:rsidRPr="00EA0CBF">
        <w:rPr>
          <w:rFonts w:ascii="Arial" w:hAnsi="Arial" w:cs="Arial"/>
          <w:color w:val="000000" w:themeColor="text1"/>
          <w:sz w:val="22"/>
          <w:szCs w:val="22"/>
          <w:lang w:val="en-US"/>
        </w:rPr>
        <w:t>at stake,</w:t>
      </w:r>
      <w:r w:rsidRPr="00EA0CBF">
        <w:rPr>
          <w:rFonts w:ascii="Arial" w:hAnsi="Arial" w:cs="Arial"/>
          <w:color w:val="000000" w:themeColor="text1"/>
          <w:sz w:val="22"/>
          <w:szCs w:val="22"/>
        </w:rPr>
        <w:t xml:space="preserve"> it knew or should have known that </w:t>
      </w:r>
      <w:r w:rsidRPr="00EA0CBF">
        <w:rPr>
          <w:rFonts w:ascii="Arial" w:hAnsi="Arial" w:cs="Arial"/>
          <w:color w:val="000000" w:themeColor="text1"/>
          <w:sz w:val="22"/>
          <w:szCs w:val="22"/>
          <w:lang w:val="en-US"/>
        </w:rPr>
        <w:t>UAB</w:t>
      </w:r>
      <w:r w:rsidRPr="00EA0CBF">
        <w:rPr>
          <w:rFonts w:ascii="Arial" w:hAnsi="Arial" w:cs="Arial"/>
          <w:color w:val="000000" w:themeColor="text1"/>
          <w:sz w:val="22"/>
          <w:szCs w:val="22"/>
        </w:rPr>
        <w:t xml:space="preserve"> would not pay the VAT generated by that transaction </w:t>
      </w:r>
      <w:r w:rsidRPr="00EA0CBF">
        <w:rPr>
          <w:rFonts w:ascii="Arial" w:hAnsi="Arial" w:cs="Arial"/>
          <w:color w:val="000000" w:themeColor="text1"/>
          <w:sz w:val="22"/>
          <w:szCs w:val="22"/>
          <w:lang w:val="en-US"/>
        </w:rPr>
        <w:t>and that, as a consequence</w:t>
      </w:r>
      <w:r w:rsidRPr="00EA0CBF">
        <w:rPr>
          <w:rFonts w:ascii="Arial" w:hAnsi="Arial" w:cs="Arial"/>
          <w:color w:val="000000" w:themeColor="text1"/>
          <w:sz w:val="22"/>
          <w:szCs w:val="22"/>
        </w:rPr>
        <w:t xml:space="preserve">, HA.EN. had acted in bad faith and committed an abuse of rights. </w:t>
      </w:r>
      <w:r w:rsidRPr="00EA0CBF">
        <w:rPr>
          <w:rFonts w:ascii="Arial" w:hAnsi="Arial" w:cs="Arial"/>
          <w:color w:val="000000" w:themeColor="text1"/>
          <w:sz w:val="22"/>
          <w:szCs w:val="22"/>
          <w:lang w:val="en-US"/>
        </w:rPr>
        <w:t>The</w:t>
      </w:r>
      <w:r w:rsidRPr="00EA0CBF">
        <w:rPr>
          <w:rFonts w:ascii="Arial" w:hAnsi="Arial" w:cs="Arial"/>
          <w:color w:val="000000" w:themeColor="text1"/>
          <w:sz w:val="22"/>
          <w:szCs w:val="22"/>
        </w:rPr>
        <w:t xml:space="preserve"> tax authority </w:t>
      </w:r>
      <w:r w:rsidRPr="00EA0CBF">
        <w:rPr>
          <w:rFonts w:ascii="Arial" w:hAnsi="Arial" w:cs="Arial"/>
          <w:color w:val="000000" w:themeColor="text1"/>
          <w:sz w:val="22"/>
          <w:szCs w:val="22"/>
          <w:lang w:val="en-US"/>
        </w:rPr>
        <w:t xml:space="preserve">thus </w:t>
      </w:r>
      <w:r w:rsidRPr="00EA0CBF">
        <w:rPr>
          <w:rFonts w:ascii="Arial" w:hAnsi="Arial" w:cs="Arial"/>
          <w:color w:val="000000" w:themeColor="text1"/>
          <w:sz w:val="22"/>
          <w:szCs w:val="22"/>
        </w:rPr>
        <w:t>denied HA.EN. the right to deduct that input VAT, charged it interest for late payment and imposed a fine.</w:t>
      </w:r>
    </w:p>
    <w:p w14:paraId="5EF70B82" w14:textId="52340E0C"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The national courts had different view</w:t>
      </w:r>
      <w:r w:rsidR="00EA0CBF">
        <w:rPr>
          <w:rFonts w:ascii="Arial" w:hAnsi="Arial" w:cs="Arial"/>
          <w:color w:val="000000" w:themeColor="text1"/>
          <w:sz w:val="22"/>
          <w:szCs w:val="22"/>
          <w:lang w:val="en-US"/>
        </w:rPr>
        <w:t>s</w:t>
      </w:r>
      <w:r w:rsidRPr="00EA0CBF">
        <w:rPr>
          <w:rFonts w:ascii="Arial" w:hAnsi="Arial" w:cs="Arial"/>
          <w:color w:val="000000" w:themeColor="text1"/>
          <w:sz w:val="22"/>
          <w:szCs w:val="22"/>
          <w:lang w:val="en-US"/>
        </w:rPr>
        <w:t xml:space="preserve"> on </w:t>
      </w:r>
      <w:r w:rsidR="00EA0CBF">
        <w:rPr>
          <w:rFonts w:ascii="Arial" w:hAnsi="Arial" w:cs="Arial"/>
          <w:color w:val="000000" w:themeColor="text1"/>
          <w:sz w:val="22"/>
          <w:szCs w:val="22"/>
          <w:lang w:val="en-US"/>
        </w:rPr>
        <w:t xml:space="preserve">whether the right to deduct could/should be denied in this </w:t>
      </w:r>
      <w:proofErr w:type="gramStart"/>
      <w:r w:rsidR="00EA0CBF">
        <w:rPr>
          <w:rFonts w:ascii="Arial" w:hAnsi="Arial" w:cs="Arial"/>
          <w:color w:val="000000" w:themeColor="text1"/>
          <w:sz w:val="22"/>
          <w:szCs w:val="22"/>
          <w:lang w:val="en-US"/>
        </w:rPr>
        <w:t>particular situation</w:t>
      </w:r>
      <w:proofErr w:type="gramEnd"/>
      <w:r w:rsidRPr="00EA0CBF">
        <w:rPr>
          <w:rFonts w:ascii="Arial" w:hAnsi="Arial" w:cs="Arial"/>
          <w:color w:val="000000" w:themeColor="text1"/>
          <w:sz w:val="22"/>
          <w:szCs w:val="22"/>
          <w:lang w:val="en-US"/>
        </w:rPr>
        <w:t xml:space="preserve"> and the question eventually raised to the CJEU was the following:</w:t>
      </w:r>
    </w:p>
    <w:p w14:paraId="11B380E9" w14:textId="21F0D2CD" w:rsidR="00A16EA3" w:rsidRPr="0063727A" w:rsidRDefault="00473AE8" w:rsidP="0063727A">
      <w:pPr>
        <w:pStyle w:val="c02alineaalta"/>
        <w:spacing w:before="0" w:beforeAutospacing="0" w:after="240" w:afterAutospacing="0"/>
        <w:ind w:left="360"/>
        <w:jc w:val="both"/>
        <w:rPr>
          <w:rFonts w:ascii="Arial" w:hAnsi="Arial" w:cs="Arial"/>
          <w:color w:val="000000" w:themeColor="text1"/>
          <w:sz w:val="18"/>
          <w:szCs w:val="18"/>
        </w:rPr>
      </w:pPr>
      <w:r w:rsidRPr="00EA0CBF">
        <w:rPr>
          <w:rFonts w:ascii="Arial" w:hAnsi="Arial" w:cs="Arial"/>
          <w:color w:val="000000" w:themeColor="text1"/>
          <w:sz w:val="18"/>
          <w:szCs w:val="18"/>
        </w:rPr>
        <w:t>‘Is [the VAT Directive], in conjunction with the principle of fiscal neutrality, to be interpreted as prohibiting or not prohibiting a practice of national authorities under which the right of a taxable person to deduct input VAT is denied where that person, when acquiring items of immovable property, knew (or should have known) that the supplier, due to his insolvency, would not pay (or would not be able to pay) the output VAT into the public purse?’</w:t>
      </w:r>
    </w:p>
    <w:p w14:paraId="76A08FAF" w14:textId="2ED3C89B" w:rsidR="00A16EA3" w:rsidRDefault="00A16EA3" w:rsidP="00473AE8">
      <w:pPr>
        <w:jc w:val="both"/>
        <w:rPr>
          <w:rFonts w:ascii="Arial" w:eastAsia="Times New Roman" w:hAnsi="Arial" w:cs="Arial"/>
          <w:b/>
          <w:bCs/>
          <w:color w:val="000000" w:themeColor="text1"/>
          <w:sz w:val="22"/>
          <w:szCs w:val="22"/>
          <w:shd w:val="clear" w:color="auto" w:fill="FFFFFF"/>
          <w:lang w:eastAsia="en-GB"/>
        </w:rPr>
      </w:pPr>
    </w:p>
    <w:p w14:paraId="0DC3BCC0" w14:textId="292CCE72" w:rsidR="0063727A" w:rsidRDefault="0063727A" w:rsidP="00473AE8">
      <w:pPr>
        <w:jc w:val="both"/>
        <w:rPr>
          <w:rFonts w:ascii="Arial" w:eastAsia="Times New Roman" w:hAnsi="Arial" w:cs="Arial"/>
          <w:b/>
          <w:bCs/>
          <w:color w:val="000000" w:themeColor="text1"/>
          <w:sz w:val="22"/>
          <w:szCs w:val="22"/>
          <w:shd w:val="clear" w:color="auto" w:fill="FFFFFF"/>
          <w:lang w:eastAsia="en-GB"/>
        </w:rPr>
      </w:pPr>
    </w:p>
    <w:p w14:paraId="36F8A3D6" w14:textId="7BB219F6" w:rsidR="0063727A" w:rsidRDefault="0063727A" w:rsidP="00473AE8">
      <w:pPr>
        <w:jc w:val="both"/>
        <w:rPr>
          <w:rFonts w:ascii="Arial" w:eastAsia="Times New Roman" w:hAnsi="Arial" w:cs="Arial"/>
          <w:b/>
          <w:bCs/>
          <w:color w:val="000000" w:themeColor="text1"/>
          <w:sz w:val="22"/>
          <w:szCs w:val="22"/>
          <w:shd w:val="clear" w:color="auto" w:fill="FFFFFF"/>
          <w:lang w:eastAsia="en-GB"/>
        </w:rPr>
      </w:pPr>
    </w:p>
    <w:p w14:paraId="7A9AEEAC" w14:textId="77777777" w:rsidR="0063727A" w:rsidRPr="00EA0CBF" w:rsidRDefault="0063727A" w:rsidP="00473AE8">
      <w:pPr>
        <w:jc w:val="both"/>
        <w:rPr>
          <w:rFonts w:ascii="Arial" w:eastAsia="Times New Roman" w:hAnsi="Arial" w:cs="Arial"/>
          <w:b/>
          <w:bCs/>
          <w:color w:val="000000" w:themeColor="text1"/>
          <w:sz w:val="22"/>
          <w:szCs w:val="22"/>
          <w:shd w:val="clear" w:color="auto" w:fill="FFFFFF"/>
          <w:lang w:eastAsia="en-GB"/>
        </w:rPr>
      </w:pPr>
    </w:p>
    <w:p w14:paraId="0881E6D0" w14:textId="18D95E30"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lastRenderedPageBreak/>
        <w:t>Court decision</w:t>
      </w:r>
      <w:r w:rsidR="00B64732" w:rsidRPr="00EA0CBF">
        <w:rPr>
          <w:rFonts w:ascii="Arial" w:eastAsia="Times New Roman" w:hAnsi="Arial" w:cs="Arial"/>
          <w:b/>
          <w:bCs/>
          <w:color w:val="000000" w:themeColor="text1"/>
          <w:sz w:val="22"/>
          <w:szCs w:val="22"/>
          <w:shd w:val="clear" w:color="auto" w:fill="FFFFFF"/>
          <w:lang w:val="en-US" w:eastAsia="en-GB"/>
        </w:rPr>
        <w:t xml:space="preserve"> (AG </w:t>
      </w:r>
      <w:proofErr w:type="spellStart"/>
      <w:r w:rsidR="00B64732" w:rsidRPr="00EA0CBF">
        <w:rPr>
          <w:rFonts w:ascii="Arial" w:eastAsia="Times New Roman" w:hAnsi="Arial" w:cs="Arial"/>
          <w:b/>
          <w:bCs/>
          <w:color w:val="000000" w:themeColor="text1"/>
          <w:sz w:val="22"/>
          <w:szCs w:val="22"/>
          <w:shd w:val="clear" w:color="auto" w:fill="FFFFFF"/>
          <w:lang w:val="en-US" w:eastAsia="en-GB"/>
        </w:rPr>
        <w:t>Kokott</w:t>
      </w:r>
      <w:proofErr w:type="spellEnd"/>
      <w:r w:rsidR="00B64732" w:rsidRPr="00EA0CBF">
        <w:rPr>
          <w:rFonts w:ascii="Arial" w:eastAsia="Times New Roman" w:hAnsi="Arial" w:cs="Arial"/>
          <w:b/>
          <w:bCs/>
          <w:color w:val="000000" w:themeColor="text1"/>
          <w:sz w:val="22"/>
          <w:szCs w:val="22"/>
          <w:shd w:val="clear" w:color="auto" w:fill="FFFFFF"/>
          <w:lang w:val="en-US" w:eastAsia="en-GB"/>
        </w:rPr>
        <w:t>)</w:t>
      </w:r>
    </w:p>
    <w:p w14:paraId="7A8061A5" w14:textId="77777777" w:rsidR="00473AE8" w:rsidRPr="00EA0CBF" w:rsidRDefault="00473AE8" w:rsidP="00473AE8">
      <w:pPr>
        <w:jc w:val="both"/>
        <w:rPr>
          <w:rFonts w:ascii="Arial" w:eastAsia="Times New Roman" w:hAnsi="Arial" w:cs="Arial"/>
          <w:b/>
          <w:bCs/>
          <w:color w:val="000000" w:themeColor="text1"/>
          <w:sz w:val="22"/>
          <w:szCs w:val="22"/>
          <w:shd w:val="clear" w:color="auto" w:fill="FFFFFF"/>
          <w:lang w:val="en-US" w:eastAsia="en-GB"/>
        </w:rPr>
      </w:pPr>
    </w:p>
    <w:p w14:paraId="2A2EFDF7" w14:textId="35FD49D1" w:rsidR="00473AE8" w:rsidRPr="00FA71CC" w:rsidRDefault="00473AE8" w:rsidP="00473AE8">
      <w:pPr>
        <w:jc w:val="both"/>
        <w:rPr>
          <w:rFonts w:ascii="Arial" w:eastAsia="Times New Roman" w:hAnsi="Arial" w:cs="Arial"/>
          <w:color w:val="000000" w:themeColor="text1"/>
          <w:sz w:val="22"/>
          <w:szCs w:val="22"/>
          <w:shd w:val="clear" w:color="auto" w:fill="FFFFFF"/>
          <w:lang w:val="en-US" w:eastAsia="en-GB"/>
        </w:rPr>
      </w:pPr>
      <w:r w:rsidRPr="00EA0CBF">
        <w:rPr>
          <w:rFonts w:ascii="Arial" w:eastAsia="Times New Roman" w:hAnsi="Arial" w:cs="Arial"/>
          <w:color w:val="000000" w:themeColor="text1"/>
          <w:sz w:val="22"/>
          <w:szCs w:val="22"/>
          <w:shd w:val="clear" w:color="auto" w:fill="FFFFFF"/>
          <w:lang w:val="en-US" w:eastAsia="en-GB"/>
        </w:rPr>
        <w:t xml:space="preserve">The CJEU first recalls that, </w:t>
      </w:r>
      <w:r w:rsidR="005D5DDB">
        <w:rPr>
          <w:rFonts w:ascii="Arial" w:eastAsia="Times New Roman" w:hAnsi="Arial" w:cs="Arial"/>
          <w:color w:val="000000" w:themeColor="text1"/>
          <w:sz w:val="22"/>
          <w:szCs w:val="22"/>
          <w:shd w:val="clear" w:color="auto" w:fill="FFFFFF"/>
          <w:lang w:val="en-US" w:eastAsia="en-GB"/>
        </w:rPr>
        <w:t>based on</w:t>
      </w:r>
      <w:r w:rsidRPr="00EA0CBF">
        <w:rPr>
          <w:rFonts w:ascii="Arial" w:eastAsia="Times New Roman" w:hAnsi="Arial" w:cs="Arial"/>
          <w:color w:val="000000" w:themeColor="text1"/>
          <w:sz w:val="22"/>
          <w:szCs w:val="22"/>
          <w:shd w:val="clear" w:color="auto" w:fill="FFFFFF"/>
          <w:lang w:val="en-US" w:eastAsia="en-GB"/>
        </w:rPr>
        <w:t xml:space="preserve"> previous case law, </w:t>
      </w:r>
      <w:r w:rsidRPr="00FA71CC">
        <w:rPr>
          <w:rFonts w:ascii="Arial" w:eastAsia="Times New Roman" w:hAnsi="Arial" w:cs="Arial"/>
          <w:color w:val="000000" w:themeColor="text1"/>
          <w:sz w:val="22"/>
          <w:szCs w:val="22"/>
          <w:lang w:eastAsia="en-GB"/>
        </w:rPr>
        <w:t xml:space="preserve">the question </w:t>
      </w:r>
      <w:proofErr w:type="gramStart"/>
      <w:r w:rsidRPr="00FA71CC">
        <w:rPr>
          <w:rFonts w:ascii="Arial" w:eastAsia="Times New Roman" w:hAnsi="Arial" w:cs="Arial"/>
          <w:color w:val="000000" w:themeColor="text1"/>
          <w:sz w:val="22"/>
          <w:szCs w:val="22"/>
          <w:lang w:eastAsia="en-GB"/>
        </w:rPr>
        <w:t>whether or not</w:t>
      </w:r>
      <w:proofErr w:type="gramEnd"/>
      <w:r w:rsidRPr="00FA71CC">
        <w:rPr>
          <w:rFonts w:ascii="Arial" w:eastAsia="Times New Roman" w:hAnsi="Arial" w:cs="Arial"/>
          <w:color w:val="000000" w:themeColor="text1"/>
          <w:sz w:val="22"/>
          <w:szCs w:val="22"/>
          <w:lang w:eastAsia="en-GB"/>
        </w:rPr>
        <w:t xml:space="preserve"> the supplier of the goods has paid the VAT due has no bearing on the right of the taxable person to deduct input VAT</w:t>
      </w:r>
      <w:r w:rsidR="00A16EA3">
        <w:rPr>
          <w:rFonts w:ascii="Arial" w:eastAsia="Times New Roman" w:hAnsi="Arial" w:cs="Arial"/>
          <w:color w:val="000000" w:themeColor="text1"/>
          <w:sz w:val="22"/>
          <w:szCs w:val="22"/>
          <w:lang w:val="en-US" w:eastAsia="en-GB"/>
        </w:rPr>
        <w:t>. This, because</w:t>
      </w:r>
      <w:r w:rsidRPr="00EA0CBF">
        <w:rPr>
          <w:rFonts w:ascii="Arial" w:eastAsia="Times New Roman" w:hAnsi="Arial" w:cs="Arial"/>
          <w:color w:val="000000" w:themeColor="text1"/>
          <w:sz w:val="22"/>
          <w:szCs w:val="22"/>
          <w:lang w:val="en-US" w:eastAsia="en-GB"/>
        </w:rPr>
        <w:t xml:space="preserve"> m</w:t>
      </w:r>
      <w:r w:rsidRPr="00FA71CC">
        <w:rPr>
          <w:rFonts w:ascii="Arial" w:eastAsia="Times New Roman" w:hAnsi="Arial" w:cs="Arial"/>
          <w:color w:val="000000" w:themeColor="text1"/>
          <w:sz w:val="22"/>
          <w:szCs w:val="22"/>
          <w:lang w:eastAsia="en-GB"/>
        </w:rPr>
        <w:t>aking the right to deduct VAT conditional upon the actual prior payment of that VAT by the supplier of goods would lead to the taxable person being subject to an economic burden which should not be his or hers and the avoidance of which is the specific aim of the rules governing deduction</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eastAsia="en-GB"/>
        </w:rPr>
        <w:footnoteReference w:id="17"/>
      </w:r>
    </w:p>
    <w:p w14:paraId="67D1AC7E" w14:textId="77777777" w:rsidR="00473AE8" w:rsidRPr="00A16EA3" w:rsidRDefault="00473AE8" w:rsidP="00473AE8">
      <w:pPr>
        <w:jc w:val="both"/>
        <w:rPr>
          <w:rFonts w:ascii="Arial" w:eastAsia="Times New Roman" w:hAnsi="Arial" w:cs="Arial"/>
          <w:color w:val="000000" w:themeColor="text1"/>
          <w:sz w:val="22"/>
          <w:szCs w:val="22"/>
          <w:lang w:val="en-US" w:eastAsia="en-GB"/>
        </w:rPr>
      </w:pPr>
    </w:p>
    <w:p w14:paraId="470125F7" w14:textId="4F021288" w:rsidR="00473AE8" w:rsidRPr="00FA71CC" w:rsidRDefault="00473AE8" w:rsidP="00473AE8">
      <w:pPr>
        <w:jc w:val="both"/>
        <w:rPr>
          <w:rFonts w:ascii="Arial" w:eastAsia="Times New Roman" w:hAnsi="Arial" w:cs="Arial"/>
          <w:color w:val="000000" w:themeColor="text1"/>
          <w:sz w:val="22"/>
          <w:szCs w:val="22"/>
          <w:lang w:val="en-US" w:eastAsia="en-GB"/>
        </w:rPr>
      </w:pPr>
      <w:r w:rsidRPr="00FA71CC">
        <w:rPr>
          <w:rFonts w:ascii="Arial" w:eastAsia="Times New Roman" w:hAnsi="Arial" w:cs="Arial"/>
          <w:color w:val="000000" w:themeColor="text1"/>
          <w:sz w:val="22"/>
          <w:szCs w:val="22"/>
          <w:lang w:eastAsia="en-GB"/>
        </w:rPr>
        <w:t xml:space="preserve">At the same time, </w:t>
      </w:r>
      <w:r w:rsidR="003E0EC0">
        <w:rPr>
          <w:rFonts w:ascii="Arial" w:eastAsia="Times New Roman" w:hAnsi="Arial" w:cs="Arial"/>
          <w:color w:val="000000" w:themeColor="text1"/>
          <w:sz w:val="22"/>
          <w:szCs w:val="22"/>
          <w:lang w:val="en-US" w:eastAsia="en-GB"/>
        </w:rPr>
        <w:t>the CJEU</w:t>
      </w:r>
      <w:r w:rsidRPr="00EA0CBF">
        <w:rPr>
          <w:rFonts w:ascii="Arial" w:eastAsia="Times New Roman" w:hAnsi="Arial" w:cs="Arial"/>
          <w:color w:val="000000" w:themeColor="text1"/>
          <w:sz w:val="22"/>
          <w:szCs w:val="22"/>
          <w:lang w:val="en-US" w:eastAsia="en-GB"/>
        </w:rPr>
        <w:t xml:space="preserve"> also recalls that since </w:t>
      </w:r>
      <w:r w:rsidRPr="00FA71CC">
        <w:rPr>
          <w:rFonts w:ascii="Arial" w:eastAsia="Times New Roman" w:hAnsi="Arial" w:cs="Arial"/>
          <w:color w:val="000000" w:themeColor="text1"/>
          <w:sz w:val="22"/>
          <w:szCs w:val="22"/>
          <w:lang w:eastAsia="en-GB"/>
        </w:rPr>
        <w:t xml:space="preserve">the prevention of tax evasion, tax avoidance and abuse is an objective recognised and encouraged by the VAT Directive </w:t>
      </w:r>
      <w:r w:rsidRPr="00EA0CBF">
        <w:rPr>
          <w:rFonts w:ascii="Arial" w:eastAsia="Times New Roman" w:hAnsi="Arial" w:cs="Arial"/>
          <w:color w:val="000000" w:themeColor="text1"/>
          <w:sz w:val="22"/>
          <w:szCs w:val="22"/>
          <w:lang w:val="en-US" w:eastAsia="en-GB"/>
        </w:rPr>
        <w:t>it</w:t>
      </w:r>
      <w:r w:rsidRPr="00FA71CC">
        <w:rPr>
          <w:rFonts w:ascii="Arial" w:eastAsia="Times New Roman" w:hAnsi="Arial" w:cs="Arial"/>
          <w:color w:val="000000" w:themeColor="text1"/>
          <w:sz w:val="22"/>
          <w:szCs w:val="22"/>
          <w:lang w:eastAsia="en-GB"/>
        </w:rPr>
        <w:t xml:space="preserve"> is for the national courts and authorities to refuse the right of deduction if it is shown, in the light of objective evidence, that that right is being relied on for fraudulent or abusive ends.</w:t>
      </w:r>
      <w:r w:rsidRPr="00EA0CBF">
        <w:rPr>
          <w:rStyle w:val="FootnoteReference"/>
          <w:rFonts w:ascii="Arial" w:eastAsia="Times New Roman" w:hAnsi="Arial" w:cs="Arial"/>
          <w:color w:val="000000" w:themeColor="text1"/>
          <w:sz w:val="22"/>
          <w:szCs w:val="22"/>
          <w:lang w:eastAsia="en-GB"/>
        </w:rPr>
        <w:footnoteReference w:id="18"/>
      </w:r>
      <w:r w:rsidRPr="00EA0CBF">
        <w:rPr>
          <w:rFonts w:ascii="Arial" w:eastAsia="Times New Roman" w:hAnsi="Arial" w:cs="Arial"/>
          <w:color w:val="000000" w:themeColor="text1"/>
          <w:sz w:val="22"/>
          <w:szCs w:val="22"/>
          <w:lang w:val="en-US" w:eastAsia="en-GB"/>
        </w:rPr>
        <w:t xml:space="preserve"> </w:t>
      </w:r>
      <w:r w:rsidR="00A16EA3">
        <w:rPr>
          <w:rFonts w:ascii="Arial" w:eastAsia="Times New Roman" w:hAnsi="Arial" w:cs="Arial"/>
          <w:color w:val="000000" w:themeColor="text1"/>
          <w:sz w:val="22"/>
          <w:szCs w:val="22"/>
          <w:lang w:val="en-US" w:eastAsia="en-GB"/>
        </w:rPr>
        <w:t>In such case, however</w:t>
      </w:r>
      <w:r w:rsidRPr="00FA71CC">
        <w:rPr>
          <w:rFonts w:ascii="Arial" w:eastAsia="Times New Roman" w:hAnsi="Arial" w:cs="Arial"/>
          <w:color w:val="000000" w:themeColor="text1"/>
          <w:sz w:val="22"/>
          <w:szCs w:val="22"/>
          <w:lang w:eastAsia="en-GB"/>
        </w:rPr>
        <w:t xml:space="preserve">, </w:t>
      </w:r>
      <w:r w:rsidR="00A16EA3" w:rsidRPr="00A16EA3">
        <w:rPr>
          <w:rFonts w:ascii="Arial" w:eastAsia="Times New Roman" w:hAnsi="Arial" w:cs="Arial"/>
          <w:color w:val="000000" w:themeColor="text1"/>
          <w:sz w:val="22"/>
          <w:szCs w:val="22"/>
          <w:lang w:val="en-US" w:eastAsia="en-GB"/>
        </w:rPr>
        <w:t>it belongs to</w:t>
      </w:r>
      <w:r w:rsidRPr="00FA71CC">
        <w:rPr>
          <w:rFonts w:ascii="Arial" w:eastAsia="Times New Roman" w:hAnsi="Arial" w:cs="Arial"/>
          <w:color w:val="000000" w:themeColor="text1"/>
          <w:sz w:val="22"/>
          <w:szCs w:val="22"/>
          <w:lang w:eastAsia="en-GB"/>
        </w:rPr>
        <w:t xml:space="preserve"> the tax authorities to establish</w:t>
      </w:r>
      <w:r w:rsidR="00A16EA3" w:rsidRPr="00A16EA3">
        <w:rPr>
          <w:rFonts w:ascii="Arial" w:eastAsia="Times New Roman" w:hAnsi="Arial" w:cs="Arial"/>
          <w:color w:val="000000" w:themeColor="text1"/>
          <w:sz w:val="22"/>
          <w:szCs w:val="22"/>
          <w:lang w:val="en-US" w:eastAsia="en-GB"/>
        </w:rPr>
        <w:t xml:space="preserve"> </w:t>
      </w:r>
      <w:r w:rsidRPr="00FA71CC">
        <w:rPr>
          <w:rFonts w:ascii="Arial" w:eastAsia="Times New Roman" w:hAnsi="Arial" w:cs="Arial"/>
          <w:color w:val="000000" w:themeColor="text1"/>
          <w:sz w:val="22"/>
          <w:szCs w:val="22"/>
          <w:lang w:eastAsia="en-GB"/>
        </w:rPr>
        <w:t xml:space="preserve">the objective evidence from which it may be concluded that the taxable person committed fraud or an abuse of rights or knew or should have known that the transaction relied on as a basis for the right of deduction </w:t>
      </w:r>
      <w:proofErr w:type="gramStart"/>
      <w:r w:rsidRPr="00FA71CC">
        <w:rPr>
          <w:rFonts w:ascii="Arial" w:eastAsia="Times New Roman" w:hAnsi="Arial" w:cs="Arial"/>
          <w:color w:val="000000" w:themeColor="text1"/>
          <w:sz w:val="22"/>
          <w:szCs w:val="22"/>
          <w:lang w:eastAsia="en-GB"/>
        </w:rPr>
        <w:t>was connected with</w:t>
      </w:r>
      <w:proofErr w:type="gramEnd"/>
      <w:r w:rsidRPr="00FA71CC">
        <w:rPr>
          <w:rFonts w:ascii="Arial" w:eastAsia="Times New Roman" w:hAnsi="Arial" w:cs="Arial"/>
          <w:color w:val="000000" w:themeColor="text1"/>
          <w:sz w:val="22"/>
          <w:szCs w:val="22"/>
          <w:lang w:eastAsia="en-GB"/>
        </w:rPr>
        <w:t xml:space="preserve"> fraud. </w:t>
      </w:r>
      <w:r w:rsidR="00A16EA3" w:rsidRPr="00A16EA3">
        <w:rPr>
          <w:rFonts w:ascii="Arial" w:eastAsia="Times New Roman" w:hAnsi="Arial" w:cs="Arial"/>
          <w:color w:val="000000" w:themeColor="text1"/>
          <w:sz w:val="22"/>
          <w:szCs w:val="22"/>
          <w:lang w:val="en-US" w:eastAsia="en-GB"/>
        </w:rPr>
        <w:t xml:space="preserve">Subsequently, </w:t>
      </w:r>
      <w:proofErr w:type="spellStart"/>
      <w:r w:rsidR="00A16EA3" w:rsidRPr="00A16EA3">
        <w:rPr>
          <w:rFonts w:ascii="Arial" w:eastAsia="Times New Roman" w:hAnsi="Arial" w:cs="Arial"/>
          <w:color w:val="000000" w:themeColor="text1"/>
          <w:sz w:val="22"/>
          <w:szCs w:val="22"/>
          <w:lang w:val="en-US" w:eastAsia="en-GB"/>
        </w:rPr>
        <w:t>i</w:t>
      </w:r>
      <w:proofErr w:type="spellEnd"/>
      <w:r w:rsidRPr="00FA71CC">
        <w:rPr>
          <w:rFonts w:ascii="Arial" w:eastAsia="Times New Roman" w:hAnsi="Arial" w:cs="Arial"/>
          <w:color w:val="000000" w:themeColor="text1"/>
          <w:sz w:val="22"/>
          <w:szCs w:val="22"/>
          <w:lang w:eastAsia="en-GB"/>
        </w:rPr>
        <w:t>t is for the national courts to determine whether the tax authorities concerned have established the existence of such objective evidence</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val="en-US" w:eastAsia="en-GB"/>
        </w:rPr>
        <w:footnoteReference w:id="19"/>
      </w:r>
      <w:r w:rsidR="00A16EA3">
        <w:rPr>
          <w:rFonts w:ascii="Arial" w:eastAsia="Times New Roman" w:hAnsi="Arial" w:cs="Arial"/>
          <w:color w:val="000000" w:themeColor="text1"/>
          <w:sz w:val="22"/>
          <w:szCs w:val="22"/>
          <w:lang w:val="en-US" w:eastAsia="en-GB"/>
        </w:rPr>
        <w:t xml:space="preserve"> </w:t>
      </w:r>
      <w:r w:rsidR="00A16EA3" w:rsidRPr="00A16EA3">
        <w:rPr>
          <w:rFonts w:ascii="Arial" w:eastAsia="Times New Roman" w:hAnsi="Arial" w:cs="Arial"/>
          <w:color w:val="000000" w:themeColor="text1"/>
          <w:sz w:val="22"/>
          <w:szCs w:val="22"/>
          <w:lang w:val="en-US" w:eastAsia="en-GB"/>
        </w:rPr>
        <w:t>In this respect, t</w:t>
      </w:r>
      <w:r w:rsidRPr="00EA0CBF">
        <w:rPr>
          <w:rFonts w:ascii="Arial" w:eastAsia="Times New Roman" w:hAnsi="Arial" w:cs="Arial"/>
          <w:color w:val="000000" w:themeColor="text1"/>
          <w:sz w:val="22"/>
          <w:szCs w:val="22"/>
          <w:lang w:eastAsia="en-GB"/>
        </w:rPr>
        <w:t>he</w:t>
      </w:r>
      <w:r w:rsidRPr="00EA0CBF">
        <w:rPr>
          <w:rFonts w:ascii="Arial" w:eastAsia="Times New Roman" w:hAnsi="Arial" w:cs="Arial"/>
          <w:color w:val="000000" w:themeColor="text1"/>
          <w:sz w:val="22"/>
          <w:szCs w:val="22"/>
          <w:lang w:val="en-US" w:eastAsia="en-GB"/>
        </w:rPr>
        <w:t xml:space="preserve"> CJEU </w:t>
      </w:r>
      <w:r w:rsidR="00A16EA3">
        <w:rPr>
          <w:rFonts w:ascii="Arial" w:eastAsia="Times New Roman" w:hAnsi="Arial" w:cs="Arial"/>
          <w:color w:val="000000" w:themeColor="text1"/>
          <w:sz w:val="22"/>
          <w:szCs w:val="22"/>
          <w:lang w:val="en-US" w:eastAsia="en-GB"/>
        </w:rPr>
        <w:t>decides</w:t>
      </w:r>
      <w:r w:rsidRPr="00EA0CBF">
        <w:rPr>
          <w:rFonts w:ascii="Arial" w:eastAsia="Times New Roman" w:hAnsi="Arial" w:cs="Arial"/>
          <w:color w:val="000000" w:themeColor="text1"/>
          <w:sz w:val="22"/>
          <w:szCs w:val="22"/>
          <w:lang w:val="en-US" w:eastAsia="en-GB"/>
        </w:rPr>
        <w:t xml:space="preserve"> that </w:t>
      </w:r>
      <w:r w:rsidR="00A16EA3" w:rsidRPr="00FA71CC">
        <w:rPr>
          <w:rFonts w:ascii="Arial" w:eastAsia="Times New Roman" w:hAnsi="Arial" w:cs="Arial"/>
          <w:color w:val="000000" w:themeColor="text1"/>
          <w:sz w:val="22"/>
          <w:szCs w:val="22"/>
          <w:lang w:eastAsia="en-GB"/>
        </w:rPr>
        <w:t xml:space="preserve">any intentional act or omission affecting </w:t>
      </w:r>
      <w:r w:rsidR="00A16EA3" w:rsidRPr="00EA0CBF">
        <w:rPr>
          <w:rFonts w:ascii="Arial" w:eastAsia="Times New Roman" w:hAnsi="Arial" w:cs="Arial"/>
          <w:color w:val="000000" w:themeColor="text1"/>
          <w:sz w:val="22"/>
          <w:szCs w:val="22"/>
          <w:lang w:val="en-US" w:eastAsia="en-GB"/>
        </w:rPr>
        <w:t xml:space="preserve">VAT </w:t>
      </w:r>
      <w:r w:rsidR="00A16EA3">
        <w:rPr>
          <w:rFonts w:ascii="Arial" w:eastAsia="Times New Roman" w:hAnsi="Arial" w:cs="Arial"/>
          <w:color w:val="000000" w:themeColor="text1"/>
          <w:sz w:val="22"/>
          <w:szCs w:val="22"/>
          <w:lang w:eastAsia="en-GB"/>
        </w:rPr>
        <w:t>revenu</w:t>
      </w:r>
      <w:r w:rsidR="00A16EA3" w:rsidRPr="00A16EA3">
        <w:rPr>
          <w:rFonts w:ascii="Arial" w:eastAsia="Times New Roman" w:hAnsi="Arial" w:cs="Arial"/>
          <w:color w:val="000000" w:themeColor="text1"/>
          <w:sz w:val="22"/>
          <w:szCs w:val="22"/>
          <w:lang w:val="en-US" w:eastAsia="en-GB"/>
        </w:rPr>
        <w:t>e constitutes</w:t>
      </w:r>
      <w:r w:rsidR="00A16EA3">
        <w:rPr>
          <w:rFonts w:ascii="Arial" w:eastAsia="Times New Roman" w:hAnsi="Arial" w:cs="Arial"/>
          <w:color w:val="000000" w:themeColor="text1"/>
          <w:sz w:val="22"/>
          <w:szCs w:val="22"/>
          <w:lang w:val="en-US" w:eastAsia="en-GB"/>
        </w:rPr>
        <w:t xml:space="preserve"> </w:t>
      </w:r>
      <w:r w:rsidRPr="00FA71CC">
        <w:rPr>
          <w:rFonts w:ascii="Arial" w:eastAsia="Times New Roman" w:hAnsi="Arial" w:cs="Arial"/>
          <w:color w:val="000000" w:themeColor="text1"/>
          <w:sz w:val="22"/>
          <w:szCs w:val="22"/>
          <w:lang w:eastAsia="en-GB"/>
        </w:rPr>
        <w:t>‘fraud affecting the European Communities’ financial interests’, as defined in Article 1 of the</w:t>
      </w:r>
      <w:r w:rsidRPr="00EA0CBF">
        <w:rPr>
          <w:rFonts w:ascii="Arial" w:eastAsia="Times New Roman" w:hAnsi="Arial" w:cs="Arial"/>
          <w:color w:val="000000" w:themeColor="text1"/>
          <w:sz w:val="22"/>
          <w:szCs w:val="22"/>
          <w:lang w:val="en-US" w:eastAsia="en-GB"/>
        </w:rPr>
        <w:t xml:space="preserve"> PFI Convention</w:t>
      </w:r>
      <w:r w:rsidRPr="00FA71CC">
        <w:rPr>
          <w:rFonts w:ascii="Arial" w:eastAsia="Times New Roman" w:hAnsi="Arial" w:cs="Arial"/>
          <w:color w:val="000000" w:themeColor="text1"/>
          <w:sz w:val="22"/>
          <w:szCs w:val="22"/>
          <w:lang w:eastAsia="en-GB"/>
        </w:rPr>
        <w:t>,</w:t>
      </w:r>
      <w:r w:rsidRPr="00EA0CBF">
        <w:rPr>
          <w:rStyle w:val="FootnoteReference"/>
          <w:rFonts w:ascii="Arial" w:eastAsia="Times New Roman" w:hAnsi="Arial" w:cs="Arial"/>
          <w:color w:val="000000" w:themeColor="text1"/>
          <w:sz w:val="22"/>
          <w:szCs w:val="22"/>
          <w:lang w:eastAsia="en-GB"/>
        </w:rPr>
        <w:footnoteReference w:id="20"/>
      </w:r>
      <w:r w:rsidRPr="00FA71CC">
        <w:rPr>
          <w:rFonts w:ascii="Arial" w:eastAsia="Times New Roman" w:hAnsi="Arial" w:cs="Arial"/>
          <w:color w:val="000000" w:themeColor="text1"/>
          <w:sz w:val="22"/>
          <w:szCs w:val="22"/>
          <w:lang w:eastAsia="en-GB"/>
        </w:rPr>
        <w:t xml:space="preserve"> </w:t>
      </w:r>
      <w:r w:rsidR="00A16EA3">
        <w:rPr>
          <w:rFonts w:ascii="Arial" w:eastAsia="Times New Roman" w:hAnsi="Arial" w:cs="Arial"/>
          <w:color w:val="000000" w:themeColor="text1"/>
          <w:sz w:val="22"/>
          <w:szCs w:val="22"/>
          <w:lang w:val="en-US" w:eastAsia="en-GB"/>
        </w:rPr>
        <w:t>since the definition</w:t>
      </w:r>
      <w:r w:rsidRPr="00EA0CBF">
        <w:rPr>
          <w:rFonts w:ascii="Arial" w:eastAsia="Times New Roman" w:hAnsi="Arial" w:cs="Arial"/>
          <w:color w:val="000000" w:themeColor="text1"/>
          <w:sz w:val="22"/>
          <w:szCs w:val="22"/>
          <w:lang w:val="en-US" w:eastAsia="en-GB"/>
        </w:rPr>
        <w:t xml:space="preserve"> </w:t>
      </w:r>
      <w:r w:rsidRPr="00FA71CC">
        <w:rPr>
          <w:rFonts w:ascii="Arial" w:eastAsia="Times New Roman" w:hAnsi="Arial" w:cs="Arial"/>
          <w:color w:val="000000" w:themeColor="text1"/>
          <w:sz w:val="22"/>
          <w:szCs w:val="22"/>
          <w:lang w:eastAsia="en-GB"/>
        </w:rPr>
        <w:t xml:space="preserve">covers, inter alia, </w:t>
      </w:r>
      <w:r w:rsidRPr="00EA0CBF">
        <w:rPr>
          <w:rFonts w:ascii="Arial" w:eastAsia="Times New Roman" w:hAnsi="Arial" w:cs="Arial"/>
          <w:color w:val="000000" w:themeColor="text1"/>
          <w:sz w:val="22"/>
          <w:szCs w:val="22"/>
          <w:lang w:val="en-US" w:eastAsia="en-GB"/>
        </w:rPr>
        <w:t>“</w:t>
      </w:r>
      <w:r w:rsidRPr="00FA71CC">
        <w:rPr>
          <w:rFonts w:ascii="Arial" w:eastAsia="Times New Roman" w:hAnsi="Arial" w:cs="Arial"/>
          <w:i/>
          <w:iCs/>
          <w:color w:val="000000" w:themeColor="text1"/>
          <w:sz w:val="22"/>
          <w:szCs w:val="22"/>
          <w:lang w:eastAsia="en-GB"/>
        </w:rPr>
        <w:t>any intentional act or omission relating to … the use or presentation of false, incorrect or incomplete statements or documents, which has as its effect the illegal diminution of the resources of the general budget of the European Communities or budgets managed by, or on behalf of, the European Communities</w:t>
      </w:r>
      <w:r w:rsidRPr="00FA71CC">
        <w:rPr>
          <w:rFonts w:ascii="Arial" w:eastAsia="Times New Roman" w:hAnsi="Arial" w:cs="Arial"/>
          <w:color w:val="000000" w:themeColor="text1"/>
          <w:sz w:val="22"/>
          <w:szCs w:val="22"/>
          <w:lang w:eastAsia="en-GB"/>
        </w:rPr>
        <w:t>’.</w:t>
      </w:r>
      <w:r w:rsidR="00A16EA3" w:rsidRPr="00A16EA3">
        <w:rPr>
          <w:rStyle w:val="FootnoteReference"/>
          <w:rFonts w:ascii="Arial" w:eastAsia="Times New Roman" w:hAnsi="Arial" w:cs="Arial"/>
          <w:color w:val="000000" w:themeColor="text1"/>
          <w:sz w:val="22"/>
          <w:szCs w:val="22"/>
          <w:lang w:eastAsia="en-GB"/>
        </w:rPr>
        <w:t xml:space="preserve"> </w:t>
      </w:r>
      <w:r w:rsidR="00A16EA3" w:rsidRPr="00EA0CBF">
        <w:rPr>
          <w:rStyle w:val="FootnoteReference"/>
          <w:rFonts w:ascii="Arial" w:eastAsia="Times New Roman" w:hAnsi="Arial" w:cs="Arial"/>
          <w:color w:val="000000" w:themeColor="text1"/>
          <w:sz w:val="22"/>
          <w:szCs w:val="22"/>
          <w:lang w:eastAsia="en-GB"/>
        </w:rPr>
        <w:footnoteReference w:id="21"/>
      </w:r>
      <w:r w:rsidRPr="00FA71CC">
        <w:rPr>
          <w:rFonts w:ascii="Arial" w:eastAsia="Times New Roman" w:hAnsi="Arial" w:cs="Arial"/>
          <w:color w:val="000000" w:themeColor="text1"/>
          <w:sz w:val="22"/>
          <w:szCs w:val="22"/>
          <w:lang w:eastAsia="en-GB"/>
        </w:rPr>
        <w:t xml:space="preserve"> </w:t>
      </w:r>
    </w:p>
    <w:p w14:paraId="121A455B" w14:textId="77777777" w:rsidR="00473AE8" w:rsidRPr="00EA0CBF" w:rsidRDefault="00473AE8" w:rsidP="00473AE8">
      <w:pPr>
        <w:jc w:val="both"/>
        <w:rPr>
          <w:rFonts w:ascii="Arial" w:eastAsia="Times New Roman" w:hAnsi="Arial" w:cs="Arial"/>
          <w:color w:val="000000" w:themeColor="text1"/>
          <w:sz w:val="22"/>
          <w:szCs w:val="22"/>
          <w:lang w:val="en-US" w:eastAsia="en-GB"/>
        </w:rPr>
      </w:pPr>
    </w:p>
    <w:p w14:paraId="14E3789F" w14:textId="49F5DACF" w:rsidR="00473AE8" w:rsidRPr="00EA0CBF" w:rsidRDefault="00473AE8" w:rsidP="00473AE8">
      <w:pPr>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However the </w:t>
      </w:r>
      <w:r w:rsidRPr="00FA71CC">
        <w:rPr>
          <w:rFonts w:ascii="Arial" w:eastAsia="Times New Roman" w:hAnsi="Arial" w:cs="Arial"/>
          <w:color w:val="000000" w:themeColor="text1"/>
          <w:sz w:val="22"/>
          <w:szCs w:val="22"/>
          <w:lang w:eastAsia="en-GB"/>
        </w:rPr>
        <w:t xml:space="preserve">Court </w:t>
      </w:r>
      <w:r w:rsidRPr="00EA0CBF">
        <w:rPr>
          <w:rFonts w:ascii="Arial" w:eastAsia="Times New Roman" w:hAnsi="Arial" w:cs="Arial"/>
          <w:color w:val="000000" w:themeColor="text1"/>
          <w:sz w:val="22"/>
          <w:szCs w:val="22"/>
          <w:lang w:val="en-US" w:eastAsia="en-GB"/>
        </w:rPr>
        <w:t xml:space="preserve">also recalls that </w:t>
      </w:r>
      <w:r w:rsidRPr="00FA71CC">
        <w:rPr>
          <w:rFonts w:ascii="Arial" w:eastAsia="Times New Roman" w:hAnsi="Arial" w:cs="Arial"/>
          <w:color w:val="000000" w:themeColor="text1"/>
          <w:sz w:val="22"/>
          <w:szCs w:val="22"/>
          <w:lang w:eastAsia="en-GB"/>
        </w:rPr>
        <w:t>in so far as the taxable person has duly complied with his or her obligations to declare VAT, the mere failure to pay duly declared VAT cannot constitute VAT fraud, irrespective of whether such a failure is intentional or not.</w:t>
      </w:r>
      <w:r w:rsidRPr="00EA0CBF">
        <w:rPr>
          <w:rStyle w:val="FootnoteReference"/>
          <w:rFonts w:ascii="Arial" w:eastAsia="Times New Roman" w:hAnsi="Arial" w:cs="Arial"/>
          <w:color w:val="000000" w:themeColor="text1"/>
          <w:sz w:val="22"/>
          <w:szCs w:val="22"/>
          <w:lang w:eastAsia="en-GB"/>
        </w:rPr>
        <w:footnoteReference w:id="22"/>
      </w:r>
      <w:r w:rsidRPr="00EA0CBF">
        <w:rPr>
          <w:rFonts w:ascii="Arial" w:eastAsia="Times New Roman" w:hAnsi="Arial" w:cs="Arial"/>
          <w:color w:val="000000" w:themeColor="text1"/>
          <w:sz w:val="22"/>
          <w:szCs w:val="22"/>
          <w:lang w:val="en-US" w:eastAsia="en-GB"/>
        </w:rPr>
        <w:t xml:space="preserve"> </w:t>
      </w:r>
      <w:r w:rsidR="00A16EA3" w:rsidRPr="00A16EA3">
        <w:rPr>
          <w:rFonts w:ascii="Arial" w:eastAsia="Times New Roman" w:hAnsi="Arial" w:cs="Arial"/>
          <w:color w:val="000000" w:themeColor="text1"/>
          <w:sz w:val="22"/>
          <w:szCs w:val="22"/>
          <w:lang w:val="en-US" w:eastAsia="en-GB"/>
        </w:rPr>
        <w:t>Accordingly the CJEU decides that</w:t>
      </w:r>
      <w:r w:rsidRPr="00FA71CC">
        <w:rPr>
          <w:rFonts w:ascii="Arial" w:eastAsia="Times New Roman" w:hAnsi="Arial" w:cs="Arial"/>
          <w:color w:val="000000" w:themeColor="text1"/>
          <w:sz w:val="22"/>
          <w:szCs w:val="22"/>
          <w:lang w:eastAsia="en-GB"/>
        </w:rPr>
        <w:t xml:space="preserve"> a taxable person facing financial difficulties </w:t>
      </w:r>
      <w:r w:rsidRPr="00EA0CBF">
        <w:rPr>
          <w:rFonts w:ascii="Arial" w:eastAsia="Times New Roman" w:hAnsi="Arial" w:cs="Arial"/>
          <w:color w:val="000000" w:themeColor="text1"/>
          <w:sz w:val="22"/>
          <w:szCs w:val="22"/>
          <w:lang w:val="en-US" w:eastAsia="en-GB"/>
        </w:rPr>
        <w:t>who sells</w:t>
      </w:r>
      <w:r w:rsidRPr="00FA71CC">
        <w:rPr>
          <w:rFonts w:ascii="Arial" w:eastAsia="Times New Roman" w:hAnsi="Arial" w:cs="Arial"/>
          <w:color w:val="000000" w:themeColor="text1"/>
          <w:sz w:val="22"/>
          <w:szCs w:val="22"/>
          <w:lang w:eastAsia="en-GB"/>
        </w:rPr>
        <w:t xml:space="preserve"> one of his or her assets in a statutory compulsory sale procedure in order to settle his or her debts, then declares the VAT due on that basis, but subsequently is unable, because of those difficulties, to pay that VAT in whole or in part, cannot be regarded as committing VAT fraud </w:t>
      </w:r>
      <w:r w:rsidRPr="00FA71CC">
        <w:rPr>
          <w:rFonts w:ascii="Arial" w:eastAsia="Times New Roman" w:hAnsi="Arial" w:cs="Arial"/>
          <w:color w:val="000000" w:themeColor="text1"/>
          <w:sz w:val="22"/>
          <w:szCs w:val="22"/>
          <w:u w:val="single"/>
          <w:lang w:eastAsia="en-GB"/>
        </w:rPr>
        <w:t>on that account alone</w:t>
      </w:r>
      <w:r w:rsidRPr="00FA71CC">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 xml:space="preserve">The CJEU </w:t>
      </w:r>
      <w:r w:rsidR="00A16EA3">
        <w:rPr>
          <w:rFonts w:ascii="Arial" w:eastAsia="Times New Roman" w:hAnsi="Arial" w:cs="Arial"/>
          <w:color w:val="000000" w:themeColor="text1"/>
          <w:sz w:val="22"/>
          <w:szCs w:val="22"/>
          <w:lang w:val="en-US" w:eastAsia="en-GB"/>
        </w:rPr>
        <w:t>further</w:t>
      </w:r>
      <w:r w:rsidRPr="00EA0CBF">
        <w:rPr>
          <w:rFonts w:ascii="Arial" w:eastAsia="Times New Roman" w:hAnsi="Arial" w:cs="Arial"/>
          <w:color w:val="000000" w:themeColor="text1"/>
          <w:sz w:val="22"/>
          <w:szCs w:val="22"/>
          <w:lang w:val="en-US" w:eastAsia="en-GB"/>
        </w:rPr>
        <w:t xml:space="preserve"> decides that </w:t>
      </w:r>
      <w:r w:rsidRPr="00FA71CC">
        <w:rPr>
          <w:rFonts w:ascii="Arial" w:eastAsia="Times New Roman" w:hAnsi="Arial" w:cs="Arial"/>
          <w:color w:val="000000" w:themeColor="text1"/>
          <w:sz w:val="22"/>
          <w:szCs w:val="22"/>
          <w:lang w:eastAsia="en-GB"/>
        </w:rPr>
        <w:t xml:space="preserve">the purchaser of such an asset, </w:t>
      </w:r>
      <w:r w:rsidRPr="00FA71CC">
        <w:rPr>
          <w:rFonts w:ascii="Arial" w:eastAsia="Times New Roman" w:hAnsi="Arial" w:cs="Arial"/>
          <w:i/>
          <w:iCs/>
          <w:color w:val="000000" w:themeColor="text1"/>
          <w:sz w:val="22"/>
          <w:szCs w:val="22"/>
          <w:lang w:eastAsia="en-GB"/>
        </w:rPr>
        <w:t>a fortiori</w:t>
      </w:r>
      <w:r w:rsidRPr="00FA71CC">
        <w:rPr>
          <w:rFonts w:ascii="Arial" w:eastAsia="Times New Roman" w:hAnsi="Arial" w:cs="Arial"/>
          <w:color w:val="000000" w:themeColor="text1"/>
          <w:sz w:val="22"/>
          <w:szCs w:val="22"/>
          <w:lang w:eastAsia="en-GB"/>
        </w:rPr>
        <w:t xml:space="preserve">, cannot be criticised </w:t>
      </w:r>
      <w:r w:rsidRPr="00EA0CBF">
        <w:rPr>
          <w:rFonts w:ascii="Arial" w:eastAsia="Times New Roman" w:hAnsi="Arial" w:cs="Arial"/>
          <w:color w:val="000000" w:themeColor="text1"/>
          <w:sz w:val="22"/>
          <w:szCs w:val="22"/>
          <w:lang w:val="en-US" w:eastAsia="en-GB"/>
        </w:rPr>
        <w:t xml:space="preserve">either </w:t>
      </w:r>
      <w:r w:rsidRPr="00FA71CC">
        <w:rPr>
          <w:rFonts w:ascii="Arial" w:eastAsia="Times New Roman" w:hAnsi="Arial" w:cs="Arial"/>
          <w:color w:val="000000" w:themeColor="text1"/>
          <w:sz w:val="22"/>
          <w:szCs w:val="22"/>
          <w:lang w:eastAsia="en-GB"/>
        </w:rPr>
        <w:t>in such circumstances on the basis that he or she knew or should have known that, in acquiring that asset, he or she was participating in a transaction connected with VAT fraud.</w:t>
      </w:r>
      <w:r w:rsidRPr="00EA0CBF">
        <w:rPr>
          <w:rStyle w:val="FootnoteReference"/>
          <w:rFonts w:ascii="Arial" w:eastAsia="Times New Roman" w:hAnsi="Arial" w:cs="Arial"/>
          <w:color w:val="000000" w:themeColor="text1"/>
          <w:sz w:val="22"/>
          <w:szCs w:val="22"/>
          <w:lang w:eastAsia="en-GB"/>
        </w:rPr>
        <w:footnoteReference w:id="23"/>
      </w:r>
    </w:p>
    <w:p w14:paraId="759726F4" w14:textId="77777777" w:rsidR="00473AE8" w:rsidRPr="00EA0CBF" w:rsidRDefault="00473AE8" w:rsidP="00473AE8">
      <w:pPr>
        <w:jc w:val="both"/>
        <w:rPr>
          <w:rFonts w:ascii="Arial" w:eastAsia="Times New Roman" w:hAnsi="Arial" w:cs="Arial"/>
          <w:color w:val="000000" w:themeColor="text1"/>
          <w:sz w:val="22"/>
          <w:szCs w:val="22"/>
          <w:lang w:eastAsia="en-GB"/>
        </w:rPr>
      </w:pPr>
    </w:p>
    <w:p w14:paraId="42BE4B83" w14:textId="3F533AB4" w:rsidR="00473AE8" w:rsidRPr="00EA0CBF" w:rsidRDefault="00473AE8" w:rsidP="00473AE8">
      <w:pPr>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The CJEU also clarifies that HA.EN could apparently not be considered as having committed an abuse of rights as the conditions for an abuse of right to be found were not met.</w:t>
      </w:r>
      <w:r w:rsidRPr="00EA0CBF">
        <w:rPr>
          <w:rStyle w:val="FootnoteReference"/>
          <w:rFonts w:ascii="Arial" w:eastAsia="Times New Roman" w:hAnsi="Arial" w:cs="Arial"/>
          <w:color w:val="000000" w:themeColor="text1"/>
          <w:sz w:val="22"/>
          <w:szCs w:val="22"/>
          <w:lang w:val="en-US" w:eastAsia="en-GB"/>
        </w:rPr>
        <w:footnoteReference w:id="24"/>
      </w:r>
      <w:r w:rsidRPr="00EA0CBF">
        <w:rPr>
          <w:rFonts w:ascii="Arial" w:eastAsia="Times New Roman" w:hAnsi="Arial" w:cs="Arial"/>
          <w:color w:val="000000" w:themeColor="text1"/>
          <w:sz w:val="22"/>
          <w:szCs w:val="22"/>
          <w:lang w:val="en-US" w:eastAsia="en-GB"/>
        </w:rPr>
        <w:t xml:space="preserve">  Regarding the first condition (accrual of a tax advantage contrary to the provisions of the VAT Directive) the CJEU decides that </w:t>
      </w:r>
      <w:r w:rsidRPr="00FA71CC">
        <w:rPr>
          <w:rFonts w:ascii="Arial" w:eastAsia="Times New Roman" w:hAnsi="Arial" w:cs="Arial"/>
          <w:color w:val="000000" w:themeColor="text1"/>
          <w:sz w:val="22"/>
          <w:szCs w:val="22"/>
          <w:lang w:eastAsia="en-GB"/>
        </w:rPr>
        <w:t xml:space="preserve">even assuming that the deduction </w:t>
      </w:r>
      <w:r w:rsidRPr="00EA0CBF">
        <w:rPr>
          <w:rFonts w:ascii="Arial" w:eastAsia="Times New Roman" w:hAnsi="Arial" w:cs="Arial"/>
          <w:color w:val="000000" w:themeColor="text1"/>
          <w:sz w:val="22"/>
          <w:szCs w:val="22"/>
          <w:lang w:val="en-US" w:eastAsia="en-GB"/>
        </w:rPr>
        <w:t xml:space="preserve">by HA.EN </w:t>
      </w:r>
      <w:r w:rsidRPr="00FA71CC">
        <w:rPr>
          <w:rFonts w:ascii="Arial" w:eastAsia="Times New Roman" w:hAnsi="Arial" w:cs="Arial"/>
          <w:color w:val="000000" w:themeColor="text1"/>
          <w:sz w:val="22"/>
          <w:szCs w:val="22"/>
          <w:lang w:eastAsia="en-GB"/>
        </w:rPr>
        <w:t xml:space="preserve">may be </w:t>
      </w:r>
      <w:r w:rsidRPr="00FA71CC">
        <w:rPr>
          <w:rFonts w:ascii="Arial" w:eastAsia="Times New Roman" w:hAnsi="Arial" w:cs="Arial"/>
          <w:color w:val="000000" w:themeColor="text1"/>
          <w:sz w:val="22"/>
          <w:szCs w:val="22"/>
          <w:lang w:eastAsia="en-GB"/>
        </w:rPr>
        <w:lastRenderedPageBreak/>
        <w:t xml:space="preserve">classified as a tax advantage, that advantage cannot be regarded as contrary to the objectives of the VAT Directive. </w:t>
      </w:r>
      <w:r w:rsidRPr="00EA0CBF">
        <w:rPr>
          <w:rFonts w:ascii="Arial" w:eastAsia="Times New Roman" w:hAnsi="Arial" w:cs="Arial"/>
          <w:color w:val="000000" w:themeColor="text1"/>
          <w:sz w:val="22"/>
          <w:szCs w:val="22"/>
          <w:lang w:val="en-US" w:eastAsia="en-GB"/>
        </w:rPr>
        <w:t xml:space="preserve">Here the CJEU refers to the Opinion of </w:t>
      </w:r>
      <w:r w:rsidRPr="00FA71CC">
        <w:rPr>
          <w:rFonts w:ascii="Arial" w:eastAsia="Times New Roman" w:hAnsi="Arial" w:cs="Arial"/>
          <w:color w:val="000000" w:themeColor="text1"/>
          <w:sz w:val="22"/>
          <w:szCs w:val="22"/>
          <w:lang w:eastAsia="en-GB"/>
        </w:rPr>
        <w:t xml:space="preserve">Advocate General </w:t>
      </w:r>
      <w:proofErr w:type="spellStart"/>
      <w:r w:rsidRPr="00EA0CBF">
        <w:rPr>
          <w:rFonts w:ascii="Arial" w:eastAsia="Times New Roman" w:hAnsi="Arial" w:cs="Arial"/>
          <w:color w:val="000000" w:themeColor="text1"/>
          <w:sz w:val="22"/>
          <w:szCs w:val="22"/>
          <w:lang w:val="en-US" w:eastAsia="en-GB"/>
        </w:rPr>
        <w:t>Kokott</w:t>
      </w:r>
      <w:proofErr w:type="spellEnd"/>
      <w:r w:rsidRPr="00EA0CBF">
        <w:rPr>
          <w:rFonts w:ascii="Arial" w:eastAsia="Times New Roman" w:hAnsi="Arial" w:cs="Arial"/>
          <w:color w:val="000000" w:themeColor="text1"/>
          <w:sz w:val="22"/>
          <w:szCs w:val="22"/>
          <w:lang w:val="en-US" w:eastAsia="en-GB"/>
        </w:rPr>
        <w:t xml:space="preserve"> (in particular </w:t>
      </w:r>
      <w:r w:rsidRPr="00FA71CC">
        <w:rPr>
          <w:rFonts w:ascii="Arial" w:eastAsia="Times New Roman" w:hAnsi="Arial" w:cs="Arial"/>
          <w:color w:val="000000" w:themeColor="text1"/>
          <w:sz w:val="22"/>
          <w:szCs w:val="22"/>
          <w:lang w:eastAsia="en-GB"/>
        </w:rPr>
        <w:t>points 40 to 44 of her Opinion</w:t>
      </w:r>
      <w:r w:rsidRPr="00EA0CBF">
        <w:rPr>
          <w:rFonts w:ascii="Arial" w:eastAsia="Times New Roman" w:hAnsi="Arial" w:cs="Arial"/>
          <w:color w:val="000000" w:themeColor="text1"/>
          <w:sz w:val="22"/>
          <w:szCs w:val="22"/>
          <w:lang w:val="en-US" w:eastAsia="en-GB"/>
        </w:rPr>
        <w:t>)</w:t>
      </w:r>
      <w:r w:rsidRPr="00FA71CC">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 xml:space="preserve">and decides that since the VAT Directive provides that the Member States can apply the reverse charge mechanism to </w:t>
      </w:r>
      <w:r w:rsidRPr="00FA71CC">
        <w:rPr>
          <w:rFonts w:ascii="Arial" w:eastAsia="Times New Roman" w:hAnsi="Arial" w:cs="Arial"/>
          <w:color w:val="000000" w:themeColor="text1"/>
          <w:sz w:val="22"/>
          <w:szCs w:val="22"/>
          <w:lang w:eastAsia="en-GB"/>
        </w:rPr>
        <w:t>the supply of immovable property sold by a judgment debtor in a compulsory sale procedure</w:t>
      </w:r>
      <w:r w:rsidRPr="00EA0CBF">
        <w:rPr>
          <w:rStyle w:val="FootnoteReference"/>
          <w:rFonts w:ascii="Arial" w:eastAsia="Times New Roman" w:hAnsi="Arial" w:cs="Arial"/>
          <w:color w:val="000000" w:themeColor="text1"/>
          <w:sz w:val="22"/>
          <w:szCs w:val="22"/>
          <w:lang w:eastAsia="en-GB"/>
        </w:rPr>
        <w:footnoteReference w:id="25"/>
      </w:r>
      <w:r w:rsidRPr="00EA0CBF">
        <w:rPr>
          <w:rFonts w:ascii="Arial" w:eastAsia="Times New Roman" w:hAnsi="Arial" w:cs="Arial"/>
          <w:color w:val="000000" w:themeColor="text1"/>
          <w:sz w:val="22"/>
          <w:szCs w:val="22"/>
          <w:lang w:val="en-US" w:eastAsia="en-GB"/>
        </w:rPr>
        <w:t xml:space="preserve"> (</w:t>
      </w:r>
      <w:r w:rsidR="003E0EC0">
        <w:rPr>
          <w:rFonts w:ascii="Arial" w:eastAsia="Times New Roman" w:hAnsi="Arial" w:cs="Arial"/>
          <w:color w:val="000000" w:themeColor="text1"/>
          <w:sz w:val="22"/>
          <w:szCs w:val="22"/>
          <w:lang w:val="en-US" w:eastAsia="en-GB"/>
        </w:rPr>
        <w:t>this</w:t>
      </w:r>
      <w:r w:rsidRPr="00EA0CBF">
        <w:rPr>
          <w:rFonts w:ascii="Arial" w:eastAsia="Times New Roman" w:hAnsi="Arial" w:cs="Arial"/>
          <w:color w:val="000000" w:themeColor="text1"/>
          <w:sz w:val="22"/>
          <w:szCs w:val="22"/>
          <w:lang w:val="en-US" w:eastAsia="en-GB"/>
        </w:rPr>
        <w:t xml:space="preserve"> is thus an option</w:t>
      </w:r>
      <w:r w:rsidR="003E0EC0">
        <w:rPr>
          <w:rFonts w:ascii="Arial" w:eastAsia="Times New Roman" w:hAnsi="Arial" w:cs="Arial"/>
          <w:color w:val="000000" w:themeColor="text1"/>
          <w:sz w:val="22"/>
          <w:szCs w:val="22"/>
          <w:lang w:val="en-US" w:eastAsia="en-GB"/>
        </w:rPr>
        <w:t xml:space="preserve"> under the VAT Directive</w:t>
      </w:r>
      <w:r w:rsidRPr="00EA0CBF">
        <w:rPr>
          <w:rFonts w:ascii="Arial" w:eastAsia="Times New Roman" w:hAnsi="Arial" w:cs="Arial"/>
          <w:color w:val="000000" w:themeColor="text1"/>
          <w:sz w:val="22"/>
          <w:szCs w:val="22"/>
          <w:lang w:val="en-US" w:eastAsia="en-GB"/>
        </w:rPr>
        <w:t>, which Lithuania decided not to use)</w:t>
      </w:r>
      <w:r w:rsidRPr="00FA71CC">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 xml:space="preserve">this </w:t>
      </w:r>
      <w:r w:rsidRPr="00FA71CC">
        <w:rPr>
          <w:rFonts w:ascii="Arial" w:eastAsia="Times New Roman" w:hAnsi="Arial" w:cs="Arial"/>
          <w:color w:val="000000" w:themeColor="text1"/>
          <w:sz w:val="22"/>
          <w:szCs w:val="22"/>
          <w:lang w:eastAsia="en-GB"/>
        </w:rPr>
        <w:t>shows that the EU legislature did not regard deduction of the VAT paid by the purchaser of immovable property in a compulsory sale procedure as contrary to the objectives of the VAT Directive.</w:t>
      </w:r>
      <w:r w:rsidRPr="00EA0CBF">
        <w:rPr>
          <w:rFonts w:ascii="Arial" w:eastAsia="Times New Roman" w:hAnsi="Arial" w:cs="Arial"/>
          <w:color w:val="000000" w:themeColor="text1"/>
          <w:sz w:val="22"/>
          <w:szCs w:val="22"/>
          <w:lang w:val="en-US" w:eastAsia="en-GB"/>
        </w:rPr>
        <w:t xml:space="preserve"> </w:t>
      </w:r>
    </w:p>
    <w:p w14:paraId="1963B796" w14:textId="77777777" w:rsidR="00473AE8" w:rsidRPr="00EA0CBF" w:rsidRDefault="00473AE8" w:rsidP="00473AE8">
      <w:pPr>
        <w:jc w:val="both"/>
        <w:rPr>
          <w:rFonts w:ascii="Arial" w:eastAsia="Times New Roman" w:hAnsi="Arial" w:cs="Arial"/>
          <w:color w:val="000000" w:themeColor="text1"/>
          <w:sz w:val="22"/>
          <w:szCs w:val="22"/>
          <w:lang w:val="en-US" w:eastAsia="en-GB"/>
        </w:rPr>
      </w:pPr>
    </w:p>
    <w:p w14:paraId="2186A48D" w14:textId="51059F61" w:rsidR="00473AE8" w:rsidRPr="00FA71CC" w:rsidRDefault="00473AE8" w:rsidP="00473AE8">
      <w:pPr>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The CJEU then acknowledges that in ALTI,</w:t>
      </w:r>
      <w:r w:rsidRPr="00EA0CBF">
        <w:rPr>
          <w:rStyle w:val="FootnoteReference"/>
          <w:rFonts w:ascii="Arial" w:eastAsia="Times New Roman" w:hAnsi="Arial" w:cs="Arial"/>
          <w:color w:val="000000" w:themeColor="text1"/>
          <w:sz w:val="22"/>
          <w:szCs w:val="22"/>
          <w:lang w:val="en-US" w:eastAsia="en-GB"/>
        </w:rPr>
        <w:footnoteReference w:id="26"/>
      </w:r>
      <w:r w:rsidRPr="00EA0CBF">
        <w:rPr>
          <w:rFonts w:ascii="Arial" w:eastAsia="Times New Roman" w:hAnsi="Arial" w:cs="Arial"/>
          <w:color w:val="000000" w:themeColor="text1"/>
          <w:sz w:val="22"/>
          <w:szCs w:val="22"/>
          <w:lang w:val="en-US" w:eastAsia="en-GB"/>
        </w:rPr>
        <w:t xml:space="preserve"> it was decided that </w:t>
      </w:r>
      <w:r w:rsidRPr="00FA71CC">
        <w:rPr>
          <w:rFonts w:ascii="Arial" w:eastAsia="Times New Roman" w:hAnsi="Arial" w:cs="Arial"/>
          <w:color w:val="000000" w:themeColor="text1"/>
          <w:sz w:val="22"/>
          <w:szCs w:val="22"/>
          <w:lang w:eastAsia="en-GB"/>
        </w:rPr>
        <w:t>the VAT Directive does not preclude national legislation pursuant to which the other party to a contract with a person liable for payment for VAT in respect of whom it has been established that he or she knew or should have known that that person liable for payment would not pay that VAT, while exercising him or herself the right to deduct input tax, is deemed to be a debtor jointly and severally liable for the unpaid VAT and increases thereto.</w:t>
      </w:r>
      <w:r w:rsidRPr="00EA0CBF">
        <w:rPr>
          <w:rFonts w:ascii="Arial" w:eastAsia="Times New Roman" w:hAnsi="Arial" w:cs="Arial"/>
          <w:color w:val="000000" w:themeColor="text1"/>
          <w:sz w:val="22"/>
          <w:szCs w:val="22"/>
          <w:lang w:val="en-US" w:eastAsia="en-GB"/>
        </w:rPr>
        <w:t xml:space="preserve"> However, the CJEU agrees with AG </w:t>
      </w:r>
      <w:proofErr w:type="spellStart"/>
      <w:r w:rsidRPr="00EA0CBF">
        <w:rPr>
          <w:rFonts w:ascii="Arial" w:eastAsia="Times New Roman" w:hAnsi="Arial" w:cs="Arial"/>
          <w:color w:val="000000" w:themeColor="text1"/>
          <w:sz w:val="22"/>
          <w:szCs w:val="22"/>
          <w:lang w:val="en-US" w:eastAsia="en-GB"/>
        </w:rPr>
        <w:t>Kokott</w:t>
      </w:r>
      <w:proofErr w:type="spellEnd"/>
      <w:r w:rsidRPr="00EA0CBF">
        <w:rPr>
          <w:rStyle w:val="FootnoteReference"/>
          <w:rFonts w:ascii="Arial" w:eastAsia="Times New Roman" w:hAnsi="Arial" w:cs="Arial"/>
          <w:color w:val="000000" w:themeColor="text1"/>
          <w:sz w:val="22"/>
          <w:szCs w:val="22"/>
          <w:lang w:val="en-US" w:eastAsia="en-GB"/>
        </w:rPr>
        <w:footnoteReference w:id="27"/>
      </w:r>
      <w:r w:rsidRPr="00EA0CBF">
        <w:rPr>
          <w:rFonts w:ascii="Arial" w:eastAsia="Times New Roman" w:hAnsi="Arial" w:cs="Arial"/>
          <w:color w:val="000000" w:themeColor="text1"/>
          <w:sz w:val="22"/>
          <w:szCs w:val="22"/>
          <w:lang w:val="en-US" w:eastAsia="en-GB"/>
        </w:rPr>
        <w:t xml:space="preserve"> that </w:t>
      </w:r>
      <w:r w:rsidRPr="00FA71CC">
        <w:rPr>
          <w:rFonts w:ascii="Arial" w:eastAsia="Times New Roman" w:hAnsi="Arial" w:cs="Arial"/>
          <w:color w:val="000000" w:themeColor="text1"/>
          <w:sz w:val="22"/>
          <w:szCs w:val="22"/>
          <w:lang w:eastAsia="en-GB"/>
        </w:rPr>
        <w:t xml:space="preserve">the situation of a taxable person who purchases immovable property at the end of a statutory compulsory sale procedure, under the supervision of the public authorities, is not comparable to the situation of the other party to the contract with the principal VAT debtor that was at issue in the case which gave rise to that judgment. An unlawful intention on the part of a debtor whose asset is sold by way of enforcement not to pay VAT cannot be inferred merely from the financial difficulties that he or she faces. Accordingly, the view cannot be taken </w:t>
      </w:r>
      <w:r w:rsidRPr="00FA71CC">
        <w:rPr>
          <w:rFonts w:ascii="Arial" w:eastAsia="Times New Roman" w:hAnsi="Arial" w:cs="Arial"/>
          <w:color w:val="000000" w:themeColor="text1"/>
          <w:sz w:val="22"/>
          <w:szCs w:val="22"/>
          <w:u w:val="single"/>
          <w:lang w:eastAsia="en-GB"/>
        </w:rPr>
        <w:t>on that basis alone</w:t>
      </w:r>
      <w:r w:rsidRPr="00FA71CC">
        <w:rPr>
          <w:rFonts w:ascii="Arial" w:eastAsia="Times New Roman" w:hAnsi="Arial" w:cs="Arial"/>
          <w:color w:val="000000" w:themeColor="text1"/>
          <w:sz w:val="22"/>
          <w:szCs w:val="22"/>
          <w:lang w:eastAsia="en-GB"/>
        </w:rPr>
        <w:t xml:space="preserve"> that, in carrying out a commercial transaction with that debtor, the purchaser of the asset commits an abuse of rights.</w:t>
      </w:r>
    </w:p>
    <w:p w14:paraId="45636B65" w14:textId="77777777" w:rsidR="00473AE8" w:rsidRPr="00EA0CBF" w:rsidRDefault="00473AE8" w:rsidP="00473AE8">
      <w:pPr>
        <w:jc w:val="both"/>
        <w:rPr>
          <w:rFonts w:ascii="Arial" w:eastAsia="Times New Roman" w:hAnsi="Arial" w:cs="Arial"/>
          <w:color w:val="000000" w:themeColor="text1"/>
          <w:sz w:val="22"/>
          <w:szCs w:val="22"/>
          <w:lang w:val="en-US" w:eastAsia="en-GB"/>
        </w:rPr>
      </w:pPr>
    </w:p>
    <w:p w14:paraId="121BE80C" w14:textId="77777777" w:rsidR="00473AE8" w:rsidRPr="00EA0CBF" w:rsidRDefault="00473AE8" w:rsidP="00473AE8">
      <w:pPr>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Regarding the</w:t>
      </w:r>
      <w:r w:rsidRPr="00FA71CC">
        <w:rPr>
          <w:rFonts w:ascii="Arial" w:eastAsia="Times New Roman" w:hAnsi="Arial" w:cs="Arial"/>
          <w:color w:val="000000" w:themeColor="text1"/>
          <w:sz w:val="22"/>
          <w:szCs w:val="22"/>
          <w:lang w:eastAsia="en-GB"/>
        </w:rPr>
        <w:t xml:space="preserve"> second condition for an abuse of rights, </w:t>
      </w:r>
      <w:r w:rsidRPr="00EA0CBF">
        <w:rPr>
          <w:rFonts w:ascii="Arial" w:eastAsia="Times New Roman" w:hAnsi="Arial" w:cs="Arial"/>
          <w:color w:val="000000" w:themeColor="text1"/>
          <w:sz w:val="22"/>
          <w:szCs w:val="22"/>
          <w:lang w:val="en-US" w:eastAsia="en-GB"/>
        </w:rPr>
        <w:t xml:space="preserve">(i.e. </w:t>
      </w:r>
      <w:r w:rsidRPr="00FA71CC">
        <w:rPr>
          <w:rFonts w:ascii="Arial" w:eastAsia="Times New Roman" w:hAnsi="Arial" w:cs="Arial"/>
          <w:color w:val="000000" w:themeColor="text1"/>
          <w:sz w:val="22"/>
          <w:szCs w:val="22"/>
          <w:lang w:eastAsia="en-GB"/>
        </w:rPr>
        <w:t xml:space="preserve">the essential aim of the transaction </w:t>
      </w:r>
      <w:r w:rsidRPr="00EA0CBF">
        <w:rPr>
          <w:rFonts w:ascii="Arial" w:eastAsia="Times New Roman" w:hAnsi="Arial" w:cs="Arial"/>
          <w:color w:val="000000" w:themeColor="text1"/>
          <w:sz w:val="22"/>
          <w:szCs w:val="22"/>
          <w:lang w:val="en-US" w:eastAsia="en-GB"/>
        </w:rPr>
        <w:t>should be</w:t>
      </w:r>
      <w:r w:rsidRPr="00FA71CC">
        <w:rPr>
          <w:rFonts w:ascii="Arial" w:eastAsia="Times New Roman" w:hAnsi="Arial" w:cs="Arial"/>
          <w:color w:val="000000" w:themeColor="text1"/>
          <w:sz w:val="22"/>
          <w:szCs w:val="22"/>
          <w:lang w:eastAsia="en-GB"/>
        </w:rPr>
        <w:t xml:space="preserve"> solely to obtain a tax advantage</w:t>
      </w:r>
      <w:r w:rsidRPr="00EA0CBF">
        <w:rPr>
          <w:rFonts w:ascii="Arial" w:eastAsia="Times New Roman" w:hAnsi="Arial" w:cs="Arial"/>
          <w:color w:val="000000" w:themeColor="text1"/>
          <w:sz w:val="22"/>
          <w:szCs w:val="22"/>
          <w:lang w:val="en-US" w:eastAsia="en-GB"/>
        </w:rPr>
        <w:t xml:space="preserve">), the CJEU decides that </w:t>
      </w:r>
      <w:r w:rsidRPr="00FA71CC">
        <w:rPr>
          <w:rFonts w:ascii="Arial" w:eastAsia="Times New Roman" w:hAnsi="Arial" w:cs="Arial"/>
          <w:color w:val="000000" w:themeColor="text1"/>
          <w:sz w:val="22"/>
          <w:szCs w:val="22"/>
          <w:lang w:eastAsia="en-GB"/>
        </w:rPr>
        <w:t xml:space="preserve">the fundamental reason for which </w:t>
      </w:r>
      <w:r w:rsidRPr="00EA0CBF">
        <w:rPr>
          <w:rFonts w:ascii="Arial" w:eastAsia="Times New Roman" w:hAnsi="Arial" w:cs="Arial"/>
          <w:color w:val="000000" w:themeColor="text1"/>
          <w:sz w:val="22"/>
          <w:szCs w:val="22"/>
          <w:lang w:val="en-US" w:eastAsia="en-GB"/>
        </w:rPr>
        <w:t>HA.EN</w:t>
      </w:r>
      <w:r w:rsidRPr="00FA71CC">
        <w:rPr>
          <w:rFonts w:ascii="Arial" w:eastAsia="Times New Roman" w:hAnsi="Arial" w:cs="Arial"/>
          <w:color w:val="000000" w:themeColor="text1"/>
          <w:sz w:val="22"/>
          <w:szCs w:val="22"/>
          <w:lang w:eastAsia="en-GB"/>
        </w:rPr>
        <w:t xml:space="preserve"> has taken over immovable property over </w:t>
      </w:r>
      <w:r w:rsidRPr="00EA0CBF">
        <w:rPr>
          <w:rFonts w:ascii="Arial" w:eastAsia="Times New Roman" w:hAnsi="Arial" w:cs="Arial"/>
          <w:color w:val="000000" w:themeColor="text1"/>
          <w:sz w:val="22"/>
          <w:szCs w:val="22"/>
          <w:lang w:val="en-US" w:eastAsia="en-GB"/>
        </w:rPr>
        <w:t xml:space="preserve">in this case </w:t>
      </w:r>
      <w:r w:rsidRPr="00FA71CC">
        <w:rPr>
          <w:rFonts w:ascii="Arial" w:eastAsia="Times New Roman" w:hAnsi="Arial" w:cs="Arial"/>
          <w:color w:val="000000" w:themeColor="text1"/>
          <w:sz w:val="22"/>
          <w:szCs w:val="22"/>
          <w:lang w:eastAsia="en-GB"/>
        </w:rPr>
        <w:t xml:space="preserve">may be not in order to obtain some tax advantage, but </w:t>
      </w:r>
      <w:r w:rsidRPr="00EA0CBF">
        <w:rPr>
          <w:rFonts w:ascii="Arial" w:eastAsia="Times New Roman" w:hAnsi="Arial" w:cs="Arial"/>
          <w:color w:val="000000" w:themeColor="text1"/>
          <w:sz w:val="22"/>
          <w:szCs w:val="22"/>
          <w:lang w:val="en-US" w:eastAsia="en-GB"/>
        </w:rPr>
        <w:t>rather their</w:t>
      </w:r>
      <w:r w:rsidRPr="00FA71CC">
        <w:rPr>
          <w:rFonts w:ascii="Arial" w:eastAsia="Times New Roman" w:hAnsi="Arial" w:cs="Arial"/>
          <w:color w:val="000000" w:themeColor="text1"/>
          <w:sz w:val="22"/>
          <w:szCs w:val="22"/>
          <w:lang w:eastAsia="en-GB"/>
        </w:rPr>
        <w:t xml:space="preserve"> wish to recover all or part of </w:t>
      </w:r>
      <w:r w:rsidRPr="00EA0CBF">
        <w:rPr>
          <w:rFonts w:ascii="Arial" w:eastAsia="Times New Roman" w:hAnsi="Arial" w:cs="Arial"/>
          <w:color w:val="000000" w:themeColor="text1"/>
          <w:sz w:val="22"/>
          <w:szCs w:val="22"/>
          <w:lang w:val="en-US" w:eastAsia="en-GB"/>
        </w:rPr>
        <w:t>their</w:t>
      </w:r>
      <w:r w:rsidRPr="00FA71CC">
        <w:rPr>
          <w:rFonts w:ascii="Arial" w:eastAsia="Times New Roman" w:hAnsi="Arial" w:cs="Arial"/>
          <w:color w:val="000000" w:themeColor="text1"/>
          <w:sz w:val="22"/>
          <w:szCs w:val="22"/>
          <w:lang w:eastAsia="en-GB"/>
        </w:rPr>
        <w:t xml:space="preserve"> debt from a debtor in administration, </w:t>
      </w:r>
      <w:r w:rsidRPr="00EA0CBF">
        <w:rPr>
          <w:rFonts w:ascii="Arial" w:eastAsia="Times New Roman" w:hAnsi="Arial" w:cs="Arial"/>
          <w:color w:val="000000" w:themeColor="text1"/>
          <w:sz w:val="22"/>
          <w:szCs w:val="22"/>
          <w:lang w:val="en-US" w:eastAsia="en-GB"/>
        </w:rPr>
        <w:t>based on the</w:t>
      </w:r>
      <w:r w:rsidRPr="00FA71CC">
        <w:rPr>
          <w:rFonts w:ascii="Arial" w:eastAsia="Times New Roman" w:hAnsi="Arial" w:cs="Arial"/>
          <w:color w:val="000000" w:themeColor="text1"/>
          <w:sz w:val="22"/>
          <w:szCs w:val="22"/>
          <w:lang w:eastAsia="en-GB"/>
        </w:rPr>
        <w:t xml:space="preserve"> legal means available</w:t>
      </w:r>
      <w:r w:rsidRPr="00EA0CBF">
        <w:rPr>
          <w:rFonts w:ascii="Arial" w:eastAsia="Times New Roman" w:hAnsi="Arial" w:cs="Arial"/>
          <w:color w:val="000000" w:themeColor="text1"/>
          <w:sz w:val="22"/>
          <w:szCs w:val="22"/>
          <w:lang w:val="en-US" w:eastAsia="en-GB"/>
        </w:rPr>
        <w:t xml:space="preserve"> to them</w:t>
      </w:r>
      <w:r w:rsidRPr="00FA71CC">
        <w:rPr>
          <w:rFonts w:ascii="Arial" w:eastAsia="Times New Roman" w:hAnsi="Arial" w:cs="Arial"/>
          <w:color w:val="000000" w:themeColor="text1"/>
          <w:sz w:val="22"/>
          <w:szCs w:val="22"/>
          <w:lang w:eastAsia="en-GB"/>
        </w:rPr>
        <w:t>.</w:t>
      </w:r>
      <w:r w:rsidRPr="00EA0CBF">
        <w:rPr>
          <w:rFonts w:ascii="Arial" w:eastAsia="Times New Roman" w:hAnsi="Arial" w:cs="Arial"/>
          <w:color w:val="000000" w:themeColor="text1"/>
          <w:sz w:val="22"/>
          <w:szCs w:val="22"/>
          <w:lang w:val="en-US" w:eastAsia="en-GB"/>
        </w:rPr>
        <w:t xml:space="preserve"> The CJEU decides that s</w:t>
      </w:r>
      <w:r w:rsidRPr="00FA71CC">
        <w:rPr>
          <w:rFonts w:ascii="Arial" w:eastAsia="Times New Roman" w:hAnsi="Arial" w:cs="Arial"/>
          <w:color w:val="000000" w:themeColor="text1"/>
          <w:sz w:val="22"/>
          <w:szCs w:val="22"/>
          <w:lang w:eastAsia="en-GB"/>
        </w:rPr>
        <w:t>uch a transaction cannot be equated to a wholly artificial arrangement that does not reflect economic reality and is set up with the sole aim of obtaining a tax advantage.</w:t>
      </w:r>
      <w:r w:rsidRPr="00EA0CBF">
        <w:rPr>
          <w:rStyle w:val="FootnoteReference"/>
          <w:rFonts w:ascii="Arial" w:eastAsia="Times New Roman" w:hAnsi="Arial" w:cs="Arial"/>
          <w:color w:val="000000" w:themeColor="text1"/>
          <w:sz w:val="22"/>
          <w:szCs w:val="22"/>
          <w:lang w:eastAsia="en-GB"/>
        </w:rPr>
        <w:footnoteReference w:id="28"/>
      </w:r>
      <w:r w:rsidRPr="00EA0CBF">
        <w:rPr>
          <w:rFonts w:ascii="Arial" w:eastAsia="Times New Roman" w:hAnsi="Arial" w:cs="Arial"/>
          <w:color w:val="000000" w:themeColor="text1"/>
          <w:sz w:val="22"/>
          <w:szCs w:val="22"/>
          <w:lang w:val="en-US" w:eastAsia="en-GB"/>
        </w:rPr>
        <w:t xml:space="preserve"> The CJEU adds that t</w:t>
      </w:r>
      <w:r w:rsidRPr="00FA71CC">
        <w:rPr>
          <w:rFonts w:ascii="Arial" w:eastAsia="Times New Roman" w:hAnsi="Arial" w:cs="Arial"/>
          <w:color w:val="000000" w:themeColor="text1"/>
          <w:sz w:val="22"/>
          <w:szCs w:val="22"/>
          <w:lang w:eastAsia="en-GB"/>
        </w:rPr>
        <w:t>he fact that the purchaser is aware of the vendor’s financial difficulties, his or her potential insolvency or, as in the present instance, the initiation of administration proceedings, and of the possible impact of such circumstances on payment of the VAT relating to the transaction into the public purse, seems to constitute a circumstance inherent in compulsory sale procedures and cannot in itself be sufficient to establish that the transaction at issue is an abuse and, therefore, to justify denial of the right of deduction.</w:t>
      </w:r>
      <w:r w:rsidRPr="00EA0CBF">
        <w:rPr>
          <w:rStyle w:val="FootnoteReference"/>
          <w:rFonts w:ascii="Arial" w:eastAsia="Times New Roman" w:hAnsi="Arial" w:cs="Arial"/>
          <w:color w:val="000000" w:themeColor="text1"/>
          <w:sz w:val="22"/>
          <w:szCs w:val="22"/>
          <w:lang w:eastAsia="en-GB"/>
        </w:rPr>
        <w:footnoteReference w:id="29"/>
      </w:r>
    </w:p>
    <w:p w14:paraId="53A1CC7B" w14:textId="77777777" w:rsidR="00473AE8" w:rsidRPr="00EA0CBF" w:rsidRDefault="00473AE8" w:rsidP="00473AE8">
      <w:pPr>
        <w:jc w:val="both"/>
        <w:rPr>
          <w:rFonts w:ascii="Arial" w:eastAsia="Times New Roman" w:hAnsi="Arial" w:cs="Arial"/>
          <w:color w:val="000000" w:themeColor="text1"/>
          <w:sz w:val="22"/>
          <w:szCs w:val="22"/>
          <w:lang w:eastAsia="en-GB"/>
        </w:rPr>
      </w:pPr>
    </w:p>
    <w:p w14:paraId="012E6666" w14:textId="73C8D3C5" w:rsidR="00473AE8" w:rsidRPr="00FA71CC" w:rsidRDefault="00473AE8" w:rsidP="00473AE8">
      <w:pPr>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eastAsia="en-GB"/>
        </w:rPr>
        <w:t>In</w:t>
      </w:r>
      <w:r w:rsidRPr="00EA0CBF">
        <w:rPr>
          <w:rFonts w:ascii="Arial" w:eastAsia="Times New Roman" w:hAnsi="Arial" w:cs="Arial"/>
          <w:color w:val="000000" w:themeColor="text1"/>
          <w:sz w:val="22"/>
          <w:szCs w:val="22"/>
          <w:lang w:val="en-US" w:eastAsia="en-GB"/>
        </w:rPr>
        <w:t xml:space="preserve"> other words the CJEU decides that Member States may not consider that </w:t>
      </w:r>
      <w:r w:rsidRPr="00FA71CC">
        <w:rPr>
          <w:rFonts w:ascii="Arial" w:eastAsia="Times New Roman" w:hAnsi="Arial" w:cs="Arial"/>
          <w:color w:val="000000" w:themeColor="text1"/>
          <w:sz w:val="22"/>
          <w:szCs w:val="22"/>
          <w:u w:val="single"/>
          <w:lang w:eastAsia="en-GB"/>
        </w:rPr>
        <w:t>the mere fact</w:t>
      </w:r>
      <w:r w:rsidRPr="00FA71CC">
        <w:rPr>
          <w:rFonts w:ascii="Arial" w:eastAsia="Times New Roman" w:hAnsi="Arial" w:cs="Arial"/>
          <w:color w:val="000000" w:themeColor="text1"/>
          <w:sz w:val="22"/>
          <w:szCs w:val="22"/>
          <w:lang w:eastAsia="en-GB"/>
        </w:rPr>
        <w:t xml:space="preserve"> the purchaser knew or should have known that the vendor had financial difficulties and that that could result in the vendor not paying VAT into the public purse means that the purchaser committed an abuse of rights, and therefore deny him or her the right to deduct input VAT.</w:t>
      </w:r>
      <w:r w:rsidRPr="00EA0CBF">
        <w:rPr>
          <w:rFonts w:ascii="Arial" w:eastAsia="Times New Roman" w:hAnsi="Arial" w:cs="Arial"/>
          <w:color w:val="000000" w:themeColor="text1"/>
          <w:sz w:val="22"/>
          <w:szCs w:val="22"/>
          <w:lang w:val="en-US" w:eastAsia="en-GB"/>
        </w:rPr>
        <w:t xml:space="preserve"> The CJEU finds that this would be </w:t>
      </w:r>
      <w:r w:rsidRPr="00FA71CC">
        <w:rPr>
          <w:rFonts w:ascii="Arial" w:eastAsia="Times New Roman" w:hAnsi="Arial" w:cs="Arial"/>
          <w:color w:val="000000" w:themeColor="text1"/>
          <w:sz w:val="22"/>
          <w:szCs w:val="22"/>
          <w:lang w:eastAsia="en-GB"/>
        </w:rPr>
        <w:t xml:space="preserve">contrary to the principle of fiscal neutrality </w:t>
      </w:r>
      <w:r w:rsidRPr="00EA0CBF">
        <w:rPr>
          <w:rFonts w:ascii="Arial" w:eastAsia="Times New Roman" w:hAnsi="Arial" w:cs="Arial"/>
          <w:color w:val="000000" w:themeColor="text1"/>
          <w:sz w:val="22"/>
          <w:szCs w:val="22"/>
          <w:lang w:val="en-US" w:eastAsia="en-GB"/>
        </w:rPr>
        <w:t>as following the denial of the right to deduct HA.EN would</w:t>
      </w:r>
      <w:r w:rsidRPr="00FA71CC">
        <w:rPr>
          <w:rFonts w:ascii="Arial" w:eastAsia="Times New Roman" w:hAnsi="Arial" w:cs="Arial"/>
          <w:color w:val="000000" w:themeColor="text1"/>
          <w:sz w:val="22"/>
          <w:szCs w:val="22"/>
          <w:lang w:eastAsia="en-GB"/>
        </w:rPr>
        <w:t xml:space="preserve"> effectively bear the burden of that tax</w:t>
      </w:r>
      <w:r w:rsidRPr="00EA0CBF">
        <w:rPr>
          <w:rStyle w:val="FootnoteReference"/>
          <w:rFonts w:ascii="Arial" w:eastAsia="Times New Roman" w:hAnsi="Arial" w:cs="Arial"/>
          <w:color w:val="000000" w:themeColor="text1"/>
          <w:sz w:val="22"/>
          <w:szCs w:val="22"/>
          <w:lang w:val="en-US" w:eastAsia="en-GB"/>
        </w:rPr>
        <w:footnoteReference w:id="30"/>
      </w:r>
      <w:r w:rsidRPr="00EA0CBF">
        <w:rPr>
          <w:rFonts w:ascii="Arial" w:eastAsia="Times New Roman" w:hAnsi="Arial" w:cs="Arial"/>
          <w:color w:val="000000" w:themeColor="text1"/>
          <w:sz w:val="22"/>
          <w:szCs w:val="22"/>
          <w:lang w:val="en-US" w:eastAsia="en-GB"/>
        </w:rPr>
        <w:t xml:space="preserve"> and would moreover </w:t>
      </w:r>
      <w:r w:rsidRPr="00FA71CC">
        <w:rPr>
          <w:rFonts w:ascii="Arial" w:eastAsia="Times New Roman" w:hAnsi="Arial" w:cs="Arial"/>
          <w:color w:val="000000" w:themeColor="text1"/>
          <w:sz w:val="22"/>
          <w:szCs w:val="22"/>
          <w:lang w:eastAsia="en-GB"/>
        </w:rPr>
        <w:t xml:space="preserve">makes such purchasers bear the risk that the vendor’s insolvency entails for actual payment of the VAT </w:t>
      </w:r>
      <w:r w:rsidR="005D5DDB" w:rsidRPr="005D5DDB">
        <w:rPr>
          <w:rFonts w:ascii="Arial" w:eastAsia="Times New Roman" w:hAnsi="Arial" w:cs="Arial"/>
          <w:color w:val="000000" w:themeColor="text1"/>
          <w:sz w:val="22"/>
          <w:szCs w:val="22"/>
          <w:lang w:val="en-US" w:eastAsia="en-GB"/>
        </w:rPr>
        <w:t>to</w:t>
      </w:r>
      <w:r w:rsidR="005D5DDB">
        <w:rPr>
          <w:rFonts w:ascii="Arial" w:eastAsia="Times New Roman" w:hAnsi="Arial" w:cs="Arial"/>
          <w:color w:val="000000" w:themeColor="text1"/>
          <w:sz w:val="22"/>
          <w:szCs w:val="22"/>
          <w:lang w:val="en-US" w:eastAsia="en-GB"/>
        </w:rPr>
        <w:t xml:space="preserve"> </w:t>
      </w:r>
      <w:r w:rsidR="005D5DDB" w:rsidRPr="005D5DDB">
        <w:rPr>
          <w:rFonts w:ascii="Arial" w:eastAsia="Times New Roman" w:hAnsi="Arial" w:cs="Arial"/>
          <w:color w:val="000000" w:themeColor="text1"/>
          <w:sz w:val="22"/>
          <w:szCs w:val="22"/>
          <w:lang w:val="en-US" w:eastAsia="en-GB"/>
        </w:rPr>
        <w:t>t</w:t>
      </w:r>
      <w:r w:rsidR="005D5DDB">
        <w:rPr>
          <w:rFonts w:ascii="Arial" w:eastAsia="Times New Roman" w:hAnsi="Arial" w:cs="Arial"/>
          <w:color w:val="000000" w:themeColor="text1"/>
          <w:sz w:val="22"/>
          <w:szCs w:val="22"/>
          <w:lang w:val="en-US" w:eastAsia="en-GB"/>
        </w:rPr>
        <w:t>h</w:t>
      </w:r>
      <w:r w:rsidR="005D5DDB" w:rsidRPr="005D5DDB">
        <w:rPr>
          <w:rFonts w:ascii="Arial" w:eastAsia="Times New Roman" w:hAnsi="Arial" w:cs="Arial"/>
          <w:color w:val="000000" w:themeColor="text1"/>
          <w:sz w:val="22"/>
          <w:szCs w:val="22"/>
          <w:lang w:val="en-US" w:eastAsia="en-GB"/>
        </w:rPr>
        <w:t>e Treasury</w:t>
      </w:r>
      <w:r w:rsidRPr="00FA71CC">
        <w:rPr>
          <w:rFonts w:ascii="Arial" w:eastAsia="Times New Roman" w:hAnsi="Arial" w:cs="Arial"/>
          <w:color w:val="000000" w:themeColor="text1"/>
          <w:sz w:val="22"/>
          <w:szCs w:val="22"/>
          <w:lang w:eastAsia="en-GB"/>
        </w:rPr>
        <w:t xml:space="preserve">, a risk which is, however, in principle for the </w:t>
      </w:r>
      <w:r w:rsidR="005D5DDB" w:rsidRPr="005D5DDB">
        <w:rPr>
          <w:rFonts w:ascii="Arial" w:eastAsia="Times New Roman" w:hAnsi="Arial" w:cs="Arial"/>
          <w:color w:val="000000" w:themeColor="text1"/>
          <w:sz w:val="22"/>
          <w:szCs w:val="22"/>
          <w:lang w:val="en-US" w:eastAsia="en-GB"/>
        </w:rPr>
        <w:t>Treasury</w:t>
      </w:r>
      <w:r w:rsidRPr="00FA71CC">
        <w:rPr>
          <w:rFonts w:ascii="Arial" w:eastAsia="Times New Roman" w:hAnsi="Arial" w:cs="Arial"/>
          <w:color w:val="000000" w:themeColor="text1"/>
          <w:sz w:val="22"/>
          <w:szCs w:val="22"/>
          <w:lang w:eastAsia="en-GB"/>
        </w:rPr>
        <w:t xml:space="preserve"> to </w:t>
      </w:r>
      <w:r w:rsidRPr="00FA71CC">
        <w:rPr>
          <w:rFonts w:ascii="Arial" w:eastAsia="Times New Roman" w:hAnsi="Arial" w:cs="Arial"/>
          <w:color w:val="000000" w:themeColor="text1"/>
          <w:sz w:val="22"/>
          <w:szCs w:val="22"/>
          <w:lang w:eastAsia="en-GB"/>
        </w:rPr>
        <w:lastRenderedPageBreak/>
        <w:t>take on.</w:t>
      </w:r>
      <w:r w:rsidRPr="00EA0CBF">
        <w:rPr>
          <w:rStyle w:val="FootnoteReference"/>
          <w:rFonts w:ascii="Arial" w:eastAsia="Times New Roman" w:hAnsi="Arial" w:cs="Arial"/>
          <w:color w:val="000000" w:themeColor="text1"/>
          <w:sz w:val="22"/>
          <w:szCs w:val="22"/>
          <w:lang w:eastAsia="en-GB"/>
        </w:rPr>
        <w:footnoteReference w:id="31"/>
      </w:r>
      <w:r w:rsidRPr="00EA0CBF">
        <w:rPr>
          <w:rFonts w:ascii="Arial" w:eastAsia="Times New Roman" w:hAnsi="Arial" w:cs="Arial"/>
          <w:color w:val="000000" w:themeColor="text1"/>
          <w:sz w:val="22"/>
          <w:szCs w:val="22"/>
          <w:lang w:val="en-US" w:eastAsia="en-GB"/>
        </w:rPr>
        <w:t xml:space="preserve"> The Court also agrees with AG</w:t>
      </w:r>
      <w:r w:rsidR="003E0EC0">
        <w:rPr>
          <w:rFonts w:ascii="Arial" w:eastAsia="Times New Roman" w:hAnsi="Arial" w:cs="Arial"/>
          <w:color w:val="000000" w:themeColor="text1"/>
          <w:sz w:val="22"/>
          <w:szCs w:val="22"/>
          <w:lang w:val="en-US" w:eastAsia="en-GB"/>
        </w:rPr>
        <w:t xml:space="preserve"> </w:t>
      </w:r>
      <w:proofErr w:type="spellStart"/>
      <w:r w:rsidR="003E0EC0">
        <w:rPr>
          <w:rFonts w:ascii="Arial" w:eastAsia="Times New Roman" w:hAnsi="Arial" w:cs="Arial"/>
          <w:color w:val="000000" w:themeColor="text1"/>
          <w:sz w:val="22"/>
          <w:szCs w:val="22"/>
          <w:lang w:val="en-US" w:eastAsia="en-GB"/>
        </w:rPr>
        <w:t>Kokott</w:t>
      </w:r>
      <w:proofErr w:type="spellEnd"/>
      <w:r w:rsidRPr="00EA0CBF">
        <w:rPr>
          <w:rStyle w:val="FootnoteReference"/>
          <w:rFonts w:ascii="Arial" w:eastAsia="Times New Roman" w:hAnsi="Arial" w:cs="Arial"/>
          <w:color w:val="000000" w:themeColor="text1"/>
          <w:sz w:val="22"/>
          <w:szCs w:val="22"/>
          <w:lang w:val="en-US" w:eastAsia="en-GB"/>
        </w:rPr>
        <w:footnoteReference w:id="32"/>
      </w:r>
      <w:r w:rsidRPr="00FA71CC">
        <w:rPr>
          <w:rFonts w:ascii="Arial" w:eastAsia="Times New Roman" w:hAnsi="Arial" w:cs="Arial"/>
          <w:color w:val="000000" w:themeColor="text1"/>
          <w:sz w:val="22"/>
          <w:szCs w:val="22"/>
          <w:lang w:eastAsia="en-GB"/>
        </w:rPr>
        <w:t xml:space="preserve"> that depriv</w:t>
      </w:r>
      <w:proofErr w:type="spellStart"/>
      <w:r w:rsidR="005D5DDB" w:rsidRPr="005D5DDB">
        <w:rPr>
          <w:rFonts w:ascii="Arial" w:eastAsia="Times New Roman" w:hAnsi="Arial" w:cs="Arial"/>
          <w:color w:val="000000" w:themeColor="text1"/>
          <w:sz w:val="22"/>
          <w:szCs w:val="22"/>
          <w:lang w:val="en-US" w:eastAsia="en-GB"/>
        </w:rPr>
        <w:t>ing</w:t>
      </w:r>
      <w:proofErr w:type="spellEnd"/>
      <w:r w:rsidRPr="00FA71CC">
        <w:rPr>
          <w:rFonts w:ascii="Arial" w:eastAsia="Times New Roman" w:hAnsi="Arial" w:cs="Arial"/>
          <w:color w:val="000000" w:themeColor="text1"/>
          <w:sz w:val="22"/>
          <w:szCs w:val="22"/>
          <w:lang w:eastAsia="en-GB"/>
        </w:rPr>
        <w:t xml:space="preserve"> taxable persons who have acquired immovable property in a compulsory sale procedure of their right of deduction could also contribute to restricting the circle of potential purchasers. Therefore, it </w:t>
      </w:r>
      <w:r w:rsidR="003E0EC0" w:rsidRPr="003E0EC0">
        <w:rPr>
          <w:rFonts w:ascii="Arial" w:eastAsia="Times New Roman" w:hAnsi="Arial" w:cs="Arial"/>
          <w:color w:val="000000" w:themeColor="text1"/>
          <w:sz w:val="22"/>
          <w:szCs w:val="22"/>
          <w:lang w:val="en-US" w:eastAsia="en-GB"/>
        </w:rPr>
        <w:t xml:space="preserve">would </w:t>
      </w:r>
      <w:r w:rsidRPr="00FA71CC">
        <w:rPr>
          <w:rFonts w:ascii="Arial" w:eastAsia="Times New Roman" w:hAnsi="Arial" w:cs="Arial"/>
          <w:color w:val="000000" w:themeColor="text1"/>
          <w:sz w:val="22"/>
          <w:szCs w:val="22"/>
          <w:lang w:eastAsia="en-GB"/>
        </w:rPr>
        <w:t xml:space="preserve">run counter to the objective pursued by that type of procedure, namely the optimal realisation of the debtor’s assets in order to satisfy his or her creditors to the greatest possible extent. It </w:t>
      </w:r>
      <w:r w:rsidR="005D5DDB" w:rsidRPr="005D5DDB">
        <w:rPr>
          <w:rFonts w:ascii="Arial" w:eastAsia="Times New Roman" w:hAnsi="Arial" w:cs="Arial"/>
          <w:color w:val="000000" w:themeColor="text1"/>
          <w:sz w:val="22"/>
          <w:szCs w:val="22"/>
          <w:lang w:val="en-US" w:eastAsia="en-GB"/>
        </w:rPr>
        <w:t xml:space="preserve">would </w:t>
      </w:r>
      <w:r w:rsidRPr="00FA71CC">
        <w:rPr>
          <w:rFonts w:ascii="Arial" w:eastAsia="Times New Roman" w:hAnsi="Arial" w:cs="Arial"/>
          <w:color w:val="000000" w:themeColor="text1"/>
          <w:sz w:val="22"/>
          <w:szCs w:val="22"/>
          <w:lang w:eastAsia="en-GB"/>
        </w:rPr>
        <w:t>also tend to isolate economic operators faced with financial difficulties and to hamper their ability to carry out transactions, in a way which is not consistent with the principle of fiscal neutrality, as that principle precludes distinctions between taxable persons on the basis of their financial situation.</w:t>
      </w:r>
    </w:p>
    <w:p w14:paraId="6C1B171E" w14:textId="77777777" w:rsidR="00473AE8" w:rsidRPr="00FA71CC"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 xml:space="preserve">The CJEU also (again) recalls that reverse charge could have been applied here, and that </w:t>
      </w:r>
      <w:r w:rsidRPr="00FA71CC">
        <w:rPr>
          <w:rFonts w:ascii="Arial" w:eastAsia="Times New Roman" w:hAnsi="Arial" w:cs="Arial"/>
          <w:color w:val="000000" w:themeColor="text1"/>
          <w:sz w:val="22"/>
          <w:szCs w:val="22"/>
          <w:lang w:eastAsia="en-GB"/>
        </w:rPr>
        <w:t>Lithuania chose not to make use of the option</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eastAsia="en-GB"/>
        </w:rPr>
        <w:footnoteReference w:id="33"/>
      </w:r>
    </w:p>
    <w:p w14:paraId="6652BF5A" w14:textId="77777777"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Based on the above the CJEU decides that:</w:t>
      </w:r>
    </w:p>
    <w:p w14:paraId="0F83C2D4" w14:textId="77777777" w:rsidR="00473AE8" w:rsidRPr="00EA0CBF" w:rsidRDefault="00473AE8" w:rsidP="00473AE8">
      <w:pPr>
        <w:spacing w:before="100" w:beforeAutospacing="1" w:after="240"/>
        <w:ind w:left="36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val="en-US" w:eastAsia="en-GB"/>
        </w:rPr>
        <w:t>“</w:t>
      </w:r>
      <w:r w:rsidRPr="00FA71CC">
        <w:rPr>
          <w:rFonts w:ascii="Arial" w:eastAsia="Times New Roman" w:hAnsi="Arial" w:cs="Arial"/>
          <w:color w:val="000000" w:themeColor="text1"/>
          <w:sz w:val="18"/>
          <w:szCs w:val="18"/>
          <w:lang w:eastAsia="en-GB"/>
        </w:rPr>
        <w:t>Article 168(a) of the VAT Directive, read in conjunction with the principle of fiscal neutrality, must be interpreted as precluding a national practice under which, in the context of the sale of an item of immovable property between taxable persons, the purchaser is denied the right to deduct input VAT merely because he or she knew or should have known that the vendor was in financial difficulty, or even insolvent, and that that circumstance could result in the vendor not paying or not being able to pay VAT into the public purse</w:t>
      </w:r>
      <w:r w:rsidRPr="00EA0CBF">
        <w:rPr>
          <w:rFonts w:ascii="Arial" w:eastAsia="Times New Roman" w:hAnsi="Arial" w:cs="Arial"/>
          <w:color w:val="000000" w:themeColor="text1"/>
          <w:sz w:val="18"/>
          <w:szCs w:val="18"/>
          <w:lang w:val="en-US" w:eastAsia="en-GB"/>
        </w:rPr>
        <w:t>”</w:t>
      </w:r>
      <w:r w:rsidRPr="00FA71CC">
        <w:rPr>
          <w:rFonts w:ascii="Arial" w:eastAsia="Times New Roman" w:hAnsi="Arial" w:cs="Arial"/>
          <w:color w:val="000000" w:themeColor="text1"/>
          <w:sz w:val="18"/>
          <w:szCs w:val="18"/>
          <w:lang w:eastAsia="en-GB"/>
        </w:rPr>
        <w:t>.</w:t>
      </w:r>
    </w:p>
    <w:p w14:paraId="4CD5FE68" w14:textId="77777777" w:rsidR="00473AE8" w:rsidRPr="00EA0CBF" w:rsidRDefault="00473AE8" w:rsidP="00473AE8">
      <w:pPr>
        <w:jc w:val="both"/>
        <w:rPr>
          <w:rFonts w:ascii="Arial" w:eastAsia="Times New Roman" w:hAnsi="Arial" w:cs="Arial"/>
          <w:b/>
          <w:bCs/>
          <w:color w:val="000000" w:themeColor="text1"/>
          <w:sz w:val="22"/>
          <w:szCs w:val="22"/>
          <w:shd w:val="clear" w:color="auto" w:fill="FFFFFF"/>
          <w:lang w:val="en-US" w:eastAsia="en-GB"/>
        </w:rPr>
      </w:pPr>
    </w:p>
    <w:p w14:paraId="488DA8E2"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92FB3">
        <w:rPr>
          <w:rFonts w:ascii="Arial" w:eastAsia="Times New Roman" w:hAnsi="Arial" w:cs="Arial"/>
          <w:b/>
          <w:bCs/>
          <w:color w:val="FF0000"/>
          <w:sz w:val="22"/>
          <w:szCs w:val="22"/>
          <w:shd w:val="clear" w:color="auto" w:fill="FFFFFF"/>
          <w:lang w:val="en-US" w:eastAsia="en-GB"/>
        </w:rPr>
        <w:t xml:space="preserve">Preliminary </w:t>
      </w:r>
      <w:r w:rsidRPr="00EA0CBF">
        <w:rPr>
          <w:rFonts w:ascii="Arial" w:eastAsia="Times New Roman" w:hAnsi="Arial" w:cs="Arial"/>
          <w:b/>
          <w:bCs/>
          <w:color w:val="000000" w:themeColor="text1"/>
          <w:sz w:val="22"/>
          <w:szCs w:val="22"/>
          <w:shd w:val="clear" w:color="auto" w:fill="FFFFFF"/>
          <w:lang w:val="en-US" w:eastAsia="en-GB"/>
        </w:rPr>
        <w:t>comments (to be discussed with panel members)</w:t>
      </w:r>
    </w:p>
    <w:p w14:paraId="7D94BC6A" w14:textId="77777777" w:rsidR="00473AE8" w:rsidRPr="00EA0CBF" w:rsidRDefault="00473AE8" w:rsidP="00473AE8">
      <w:pPr>
        <w:jc w:val="both"/>
        <w:rPr>
          <w:rFonts w:ascii="Arial" w:eastAsia="Times New Roman" w:hAnsi="Arial" w:cs="Arial"/>
          <w:color w:val="000000" w:themeColor="text1"/>
          <w:sz w:val="22"/>
          <w:szCs w:val="22"/>
          <w:shd w:val="clear" w:color="auto" w:fill="FFFFFF"/>
          <w:lang w:val="en-US" w:eastAsia="en-GB"/>
        </w:rPr>
      </w:pPr>
    </w:p>
    <w:p w14:paraId="4E0D384D" w14:textId="7323E8A5" w:rsidR="00473AE8" w:rsidRPr="00EA0CBF" w:rsidRDefault="00473AE8" w:rsidP="00473AE8">
      <w:pPr>
        <w:jc w:val="both"/>
        <w:rPr>
          <w:rFonts w:ascii="Arial" w:eastAsia="Times New Roman" w:hAnsi="Arial" w:cs="Arial"/>
          <w:color w:val="000000" w:themeColor="text1"/>
          <w:sz w:val="22"/>
          <w:szCs w:val="22"/>
          <w:shd w:val="clear" w:color="auto" w:fill="FFFFFF"/>
          <w:lang w:val="en-US" w:eastAsia="en-GB"/>
        </w:rPr>
      </w:pPr>
      <w:r w:rsidRPr="00EA0CBF">
        <w:rPr>
          <w:rFonts w:ascii="Arial" w:eastAsia="Times New Roman" w:hAnsi="Arial" w:cs="Arial"/>
          <w:color w:val="000000" w:themeColor="text1"/>
          <w:sz w:val="22"/>
          <w:szCs w:val="22"/>
          <w:shd w:val="clear" w:color="auto" w:fill="FFFFFF"/>
          <w:lang w:val="en-US" w:eastAsia="en-GB"/>
        </w:rPr>
        <w:t xml:space="preserve">This decision is a most welcome clarification that purchasing goods or services from a taxable person facing financial difficulties does not </w:t>
      </w:r>
      <w:r w:rsidRPr="00EA0CBF">
        <w:rPr>
          <w:rFonts w:ascii="Arial" w:eastAsia="Times New Roman" w:hAnsi="Arial" w:cs="Arial"/>
          <w:i/>
          <w:iCs/>
          <w:color w:val="000000" w:themeColor="text1"/>
          <w:sz w:val="22"/>
          <w:szCs w:val="22"/>
          <w:shd w:val="clear" w:color="auto" w:fill="FFFFFF"/>
          <w:lang w:val="en-US" w:eastAsia="en-GB"/>
        </w:rPr>
        <w:t>automatically</w:t>
      </w:r>
      <w:r w:rsidRPr="00EA0CBF">
        <w:rPr>
          <w:rFonts w:ascii="Arial" w:eastAsia="Times New Roman" w:hAnsi="Arial" w:cs="Arial"/>
          <w:color w:val="000000" w:themeColor="text1"/>
          <w:sz w:val="22"/>
          <w:szCs w:val="22"/>
          <w:shd w:val="clear" w:color="auto" w:fill="FFFFFF"/>
          <w:lang w:val="en-US" w:eastAsia="en-GB"/>
        </w:rPr>
        <w:t xml:space="preserve"> amount to</w:t>
      </w:r>
      <w:r w:rsidR="003E0EC0">
        <w:rPr>
          <w:rFonts w:ascii="Arial" w:eastAsia="Times New Roman" w:hAnsi="Arial" w:cs="Arial"/>
          <w:color w:val="000000" w:themeColor="text1"/>
          <w:sz w:val="22"/>
          <w:szCs w:val="22"/>
          <w:shd w:val="clear" w:color="auto" w:fill="FFFFFF"/>
          <w:lang w:val="en-US" w:eastAsia="en-GB"/>
        </w:rPr>
        <w:t xml:space="preserve"> committing </w:t>
      </w:r>
      <w:r w:rsidRPr="00EA0CBF">
        <w:rPr>
          <w:rFonts w:ascii="Arial" w:eastAsia="Times New Roman" w:hAnsi="Arial" w:cs="Arial"/>
          <w:color w:val="000000" w:themeColor="text1"/>
          <w:sz w:val="22"/>
          <w:szCs w:val="22"/>
          <w:shd w:val="clear" w:color="auto" w:fill="FFFFFF"/>
          <w:lang w:val="en-US" w:eastAsia="en-GB"/>
        </w:rPr>
        <w:t xml:space="preserve">“passive tax fraud” or even to </w:t>
      </w:r>
      <w:r w:rsidR="00624B79" w:rsidRPr="00EA0CBF">
        <w:rPr>
          <w:rFonts w:ascii="Arial" w:eastAsia="Times New Roman" w:hAnsi="Arial" w:cs="Arial"/>
          <w:color w:val="000000" w:themeColor="text1"/>
          <w:sz w:val="22"/>
          <w:szCs w:val="22"/>
          <w:shd w:val="clear" w:color="auto" w:fill="FFFFFF"/>
          <w:lang w:val="en-US" w:eastAsia="en-GB"/>
        </w:rPr>
        <w:t>an</w:t>
      </w:r>
      <w:r w:rsidRPr="00EA0CBF">
        <w:rPr>
          <w:rFonts w:ascii="Arial" w:eastAsia="Times New Roman" w:hAnsi="Arial" w:cs="Arial"/>
          <w:color w:val="000000" w:themeColor="text1"/>
          <w:sz w:val="22"/>
          <w:szCs w:val="22"/>
          <w:shd w:val="clear" w:color="auto" w:fill="FFFFFF"/>
          <w:lang w:val="en-US" w:eastAsia="en-GB"/>
        </w:rPr>
        <w:t xml:space="preserve"> abus</w:t>
      </w:r>
      <w:r w:rsidR="00624B79" w:rsidRPr="00EA0CBF">
        <w:rPr>
          <w:rFonts w:ascii="Arial" w:eastAsia="Times New Roman" w:hAnsi="Arial" w:cs="Arial"/>
          <w:color w:val="000000" w:themeColor="text1"/>
          <w:sz w:val="22"/>
          <w:szCs w:val="22"/>
          <w:shd w:val="clear" w:color="auto" w:fill="FFFFFF"/>
          <w:lang w:val="en-US" w:eastAsia="en-GB"/>
        </w:rPr>
        <w:t>ive practice</w:t>
      </w:r>
      <w:r w:rsidRPr="00EA0CBF">
        <w:rPr>
          <w:rFonts w:ascii="Arial" w:eastAsia="Times New Roman" w:hAnsi="Arial" w:cs="Arial"/>
          <w:color w:val="000000" w:themeColor="text1"/>
          <w:sz w:val="22"/>
          <w:szCs w:val="22"/>
          <w:shd w:val="clear" w:color="auto" w:fill="FFFFFF"/>
          <w:lang w:val="en-US" w:eastAsia="en-GB"/>
        </w:rPr>
        <w:t xml:space="preserve"> as defined in the CJEU case law. </w:t>
      </w:r>
      <w:r w:rsidR="00A16EA3">
        <w:rPr>
          <w:rFonts w:ascii="Arial" w:eastAsia="Times New Roman" w:hAnsi="Arial" w:cs="Arial"/>
          <w:color w:val="000000" w:themeColor="text1"/>
          <w:sz w:val="22"/>
          <w:szCs w:val="22"/>
          <w:shd w:val="clear" w:color="auto" w:fill="FFFFFF"/>
          <w:lang w:val="en-US" w:eastAsia="en-GB"/>
        </w:rPr>
        <w:t>It should, however, be highlighted that this case</w:t>
      </w:r>
      <w:r w:rsidRPr="00EA0CBF">
        <w:rPr>
          <w:rFonts w:ascii="Arial" w:eastAsia="Times New Roman" w:hAnsi="Arial" w:cs="Arial"/>
          <w:color w:val="000000" w:themeColor="text1"/>
          <w:sz w:val="22"/>
          <w:szCs w:val="22"/>
          <w:shd w:val="clear" w:color="auto" w:fill="FFFFFF"/>
          <w:lang w:val="en-US" w:eastAsia="en-GB"/>
        </w:rPr>
        <w:t xml:space="preserve"> concerns a situation where the purchase took place in the context of a </w:t>
      </w:r>
      <w:r w:rsidRPr="00FA71CC">
        <w:rPr>
          <w:rFonts w:ascii="Arial" w:eastAsia="Times New Roman" w:hAnsi="Arial" w:cs="Arial"/>
          <w:color w:val="000000" w:themeColor="text1"/>
          <w:sz w:val="22"/>
          <w:szCs w:val="22"/>
          <w:lang w:eastAsia="en-GB"/>
        </w:rPr>
        <w:t>compulsory sale procedure under the supervision of the public authorities</w:t>
      </w:r>
      <w:r w:rsidRPr="00EA0CBF">
        <w:rPr>
          <w:rFonts w:ascii="Arial" w:eastAsia="Times New Roman" w:hAnsi="Arial" w:cs="Arial"/>
          <w:color w:val="000000" w:themeColor="text1"/>
          <w:sz w:val="22"/>
          <w:szCs w:val="22"/>
          <w:lang w:val="en-US" w:eastAsia="en-GB"/>
        </w:rPr>
        <w:t xml:space="preserve">. In other situations (not under the supervision of public authorities) CJEU also made clear that the </w:t>
      </w:r>
      <w:r w:rsidRPr="00EA0CBF">
        <w:rPr>
          <w:rFonts w:ascii="Arial" w:eastAsia="Times New Roman" w:hAnsi="Arial" w:cs="Arial"/>
          <w:i/>
          <w:iCs/>
          <w:color w:val="000000" w:themeColor="text1"/>
          <w:sz w:val="22"/>
          <w:szCs w:val="22"/>
          <w:lang w:val="en-US" w:eastAsia="en-GB"/>
        </w:rPr>
        <w:t>mere</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i/>
          <w:iCs/>
          <w:color w:val="000000" w:themeColor="text1"/>
          <w:sz w:val="22"/>
          <w:szCs w:val="22"/>
          <w:lang w:val="en-US" w:eastAsia="en-GB"/>
        </w:rPr>
        <w:t>fact</w:t>
      </w:r>
      <w:r w:rsidRPr="00EA0CBF">
        <w:rPr>
          <w:rFonts w:ascii="Arial" w:eastAsia="Times New Roman" w:hAnsi="Arial" w:cs="Arial"/>
          <w:color w:val="000000" w:themeColor="text1"/>
          <w:sz w:val="22"/>
          <w:szCs w:val="22"/>
          <w:lang w:val="en-US" w:eastAsia="en-GB"/>
        </w:rPr>
        <w:t xml:space="preserve"> that the vendor was facing difficulties is not sufficient to deny the purchase his or her right to deduct. However, </w:t>
      </w:r>
      <w:r w:rsidR="005D5DDB">
        <w:rPr>
          <w:rFonts w:ascii="Arial" w:eastAsia="Times New Roman" w:hAnsi="Arial" w:cs="Arial"/>
          <w:color w:val="000000" w:themeColor="text1"/>
          <w:sz w:val="22"/>
          <w:szCs w:val="22"/>
          <w:lang w:val="en-US" w:eastAsia="en-GB"/>
        </w:rPr>
        <w:t xml:space="preserve">the decision does not say that </w:t>
      </w:r>
      <w:r w:rsidRPr="00EA0CBF">
        <w:rPr>
          <w:rFonts w:ascii="Arial" w:eastAsia="Times New Roman" w:hAnsi="Arial" w:cs="Arial"/>
          <w:color w:val="000000" w:themeColor="text1"/>
          <w:sz w:val="22"/>
          <w:szCs w:val="22"/>
          <w:lang w:val="en-US" w:eastAsia="en-GB"/>
        </w:rPr>
        <w:t xml:space="preserve">the tax authorities </w:t>
      </w:r>
      <w:r w:rsidR="005D5DDB">
        <w:rPr>
          <w:rFonts w:ascii="Arial" w:eastAsia="Times New Roman" w:hAnsi="Arial" w:cs="Arial"/>
          <w:color w:val="000000" w:themeColor="text1"/>
          <w:sz w:val="22"/>
          <w:szCs w:val="22"/>
          <w:lang w:val="en-US" w:eastAsia="en-GB"/>
        </w:rPr>
        <w:t>could not do so</w:t>
      </w:r>
      <w:r w:rsidRPr="00EA0CBF">
        <w:rPr>
          <w:rFonts w:ascii="Arial" w:eastAsia="Times New Roman" w:hAnsi="Arial" w:cs="Arial"/>
          <w:color w:val="000000" w:themeColor="text1"/>
          <w:sz w:val="22"/>
          <w:szCs w:val="22"/>
          <w:lang w:val="en-US" w:eastAsia="en-GB"/>
        </w:rPr>
        <w:t xml:space="preserve"> if they show that the purchaser knew or should have known about </w:t>
      </w:r>
      <w:r w:rsidR="00C51F33" w:rsidRPr="00EA0CBF">
        <w:rPr>
          <w:rFonts w:ascii="Arial" w:eastAsia="Times New Roman" w:hAnsi="Arial" w:cs="Arial"/>
          <w:i/>
          <w:iCs/>
          <w:color w:val="000000" w:themeColor="text1"/>
          <w:sz w:val="22"/>
          <w:szCs w:val="22"/>
          <w:lang w:val="en-US" w:eastAsia="en-GB"/>
        </w:rPr>
        <w:t>the</w:t>
      </w:r>
      <w:r w:rsidRPr="00EA0CBF">
        <w:rPr>
          <w:rFonts w:ascii="Arial" w:eastAsia="Times New Roman" w:hAnsi="Arial" w:cs="Arial"/>
          <w:i/>
          <w:iCs/>
          <w:color w:val="000000" w:themeColor="text1"/>
          <w:sz w:val="22"/>
          <w:szCs w:val="22"/>
          <w:lang w:val="en-US" w:eastAsia="en-GB"/>
        </w:rPr>
        <w:t xml:space="preserve"> unlawful intention</w:t>
      </w:r>
      <w:r w:rsidRPr="00EA0CBF">
        <w:rPr>
          <w:rFonts w:ascii="Arial" w:eastAsia="Times New Roman" w:hAnsi="Arial" w:cs="Arial"/>
          <w:color w:val="000000" w:themeColor="text1"/>
          <w:sz w:val="22"/>
          <w:szCs w:val="22"/>
          <w:lang w:val="en-US" w:eastAsia="en-GB"/>
        </w:rPr>
        <w:t xml:space="preserve"> of the vendor not to pay the VAT to the Treasury</w:t>
      </w:r>
      <w:r w:rsidR="00C51F33" w:rsidRPr="00EA0CBF">
        <w:rPr>
          <w:rFonts w:ascii="Arial" w:eastAsia="Times New Roman" w:hAnsi="Arial" w:cs="Arial"/>
          <w:color w:val="000000" w:themeColor="text1"/>
          <w:sz w:val="22"/>
          <w:szCs w:val="22"/>
          <w:lang w:val="en-US" w:eastAsia="en-GB"/>
        </w:rPr>
        <w:t xml:space="preserve"> (whatever this </w:t>
      </w:r>
      <w:proofErr w:type="gramStart"/>
      <w:r w:rsidR="00C51F33" w:rsidRPr="00EA0CBF">
        <w:rPr>
          <w:rFonts w:ascii="Arial" w:eastAsia="Times New Roman" w:hAnsi="Arial" w:cs="Arial"/>
          <w:color w:val="000000" w:themeColor="text1"/>
          <w:sz w:val="22"/>
          <w:szCs w:val="22"/>
          <w:lang w:val="en-US" w:eastAsia="en-GB"/>
        </w:rPr>
        <w:t>means</w:t>
      </w:r>
      <w:r w:rsidR="00B64732" w:rsidRPr="00EA0CBF">
        <w:rPr>
          <w:rFonts w:ascii="Arial" w:eastAsia="Times New Roman" w:hAnsi="Arial" w:cs="Arial"/>
          <w:color w:val="000000" w:themeColor="text1"/>
          <w:sz w:val="22"/>
          <w:szCs w:val="22"/>
          <w:lang w:val="en-US" w:eastAsia="en-GB"/>
        </w:rPr>
        <w:t>,</w:t>
      </w:r>
      <w:r w:rsidR="00C51F33" w:rsidRPr="00EA0CBF">
        <w:rPr>
          <w:rFonts w:ascii="Arial" w:eastAsia="Times New Roman" w:hAnsi="Arial" w:cs="Arial"/>
          <w:color w:val="000000" w:themeColor="text1"/>
          <w:sz w:val="22"/>
          <w:szCs w:val="22"/>
          <w:lang w:val="en-US" w:eastAsia="en-GB"/>
        </w:rPr>
        <w:t xml:space="preserve"> and</w:t>
      </w:r>
      <w:proofErr w:type="gramEnd"/>
      <w:r w:rsidR="00C51F33" w:rsidRPr="00EA0CBF">
        <w:rPr>
          <w:rFonts w:ascii="Arial" w:eastAsia="Times New Roman" w:hAnsi="Arial" w:cs="Arial"/>
          <w:color w:val="000000" w:themeColor="text1"/>
          <w:sz w:val="22"/>
          <w:szCs w:val="22"/>
          <w:lang w:val="en-US" w:eastAsia="en-GB"/>
        </w:rPr>
        <w:t xml:space="preserve"> keeping in mind the difficulties that his “knew or should have known” test raises in practice)</w:t>
      </w:r>
      <w:r w:rsidRPr="00EA0CBF">
        <w:rPr>
          <w:rFonts w:ascii="Arial" w:eastAsia="Times New Roman" w:hAnsi="Arial" w:cs="Arial"/>
          <w:color w:val="000000" w:themeColor="text1"/>
          <w:sz w:val="22"/>
          <w:szCs w:val="22"/>
          <w:lang w:val="en-US" w:eastAsia="en-GB"/>
        </w:rPr>
        <w:t xml:space="preserve">.  </w:t>
      </w:r>
    </w:p>
    <w:p w14:paraId="6C35BD4F" w14:textId="77777777" w:rsidR="00473AE8" w:rsidRPr="00EA0CBF" w:rsidRDefault="00473AE8" w:rsidP="00473AE8">
      <w:pPr>
        <w:jc w:val="both"/>
        <w:rPr>
          <w:rFonts w:ascii="Arial" w:eastAsia="Times New Roman" w:hAnsi="Arial" w:cs="Arial"/>
          <w:color w:val="000000" w:themeColor="text1"/>
          <w:sz w:val="22"/>
          <w:szCs w:val="22"/>
          <w:shd w:val="clear" w:color="auto" w:fill="FFFFFF"/>
          <w:lang w:val="en-US" w:eastAsia="en-GB"/>
        </w:rPr>
      </w:pPr>
    </w:p>
    <w:p w14:paraId="3C606A76" w14:textId="4B42B8D7" w:rsidR="00473AE8" w:rsidRPr="00EA0CBF" w:rsidRDefault="00473AE8" w:rsidP="00473AE8">
      <w:p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shd w:val="clear" w:color="auto" w:fill="FFFFFF"/>
          <w:lang w:val="en-US" w:eastAsia="en-GB"/>
        </w:rPr>
        <w:t xml:space="preserve">There is also an interesting question that was not addressed by the Court: the question whether there is a right to deduct an amount of VAT that was not formerly paid to a vendor. In the case at stake indeed, the acquisition of the immovable property </w:t>
      </w:r>
      <w:r w:rsidRPr="00EA0CBF">
        <w:rPr>
          <w:rFonts w:ascii="Arial" w:hAnsi="Arial" w:cs="Arial"/>
          <w:color w:val="000000" w:themeColor="text1"/>
          <w:sz w:val="22"/>
          <w:szCs w:val="22"/>
        </w:rPr>
        <w:t>extinguish</w:t>
      </w:r>
      <w:r w:rsidRPr="00EA0CBF">
        <w:rPr>
          <w:rFonts w:ascii="Arial" w:hAnsi="Arial" w:cs="Arial"/>
          <w:color w:val="000000" w:themeColor="text1"/>
          <w:sz w:val="22"/>
          <w:szCs w:val="22"/>
          <w:lang w:val="en-US"/>
        </w:rPr>
        <w:t>ed</w:t>
      </w:r>
      <w:r w:rsidRPr="00EA0CBF">
        <w:rPr>
          <w:rFonts w:ascii="Arial" w:hAnsi="Arial" w:cs="Arial"/>
          <w:color w:val="000000" w:themeColor="text1"/>
          <w:sz w:val="22"/>
          <w:szCs w:val="22"/>
        </w:rPr>
        <w:t xml:space="preserve"> a part of HA.EN.’s claims</w:t>
      </w:r>
      <w:r w:rsidRPr="00EA0CBF">
        <w:rPr>
          <w:rFonts w:ascii="Arial" w:hAnsi="Arial" w:cs="Arial"/>
          <w:color w:val="000000" w:themeColor="text1"/>
          <w:sz w:val="22"/>
          <w:szCs w:val="22"/>
          <w:lang w:val="en-US"/>
        </w:rPr>
        <w:t xml:space="preserve"> against UAB. In her Opinion, AG </w:t>
      </w:r>
      <w:proofErr w:type="spellStart"/>
      <w:r w:rsidRPr="00EA0CBF">
        <w:rPr>
          <w:rFonts w:ascii="Arial" w:hAnsi="Arial" w:cs="Arial"/>
          <w:color w:val="000000" w:themeColor="text1"/>
          <w:sz w:val="22"/>
          <w:szCs w:val="22"/>
          <w:lang w:val="en-US"/>
        </w:rPr>
        <w:t>Kokott</w:t>
      </w:r>
      <w:proofErr w:type="spellEnd"/>
      <w:r w:rsidRPr="00EA0CBF">
        <w:rPr>
          <w:rFonts w:ascii="Arial" w:hAnsi="Arial" w:cs="Arial"/>
          <w:color w:val="000000" w:themeColor="text1"/>
          <w:sz w:val="22"/>
          <w:szCs w:val="22"/>
          <w:lang w:val="en-US"/>
        </w:rPr>
        <w:t xml:space="preserve"> rightly wonders whether in this situation the </w:t>
      </w:r>
      <w:r w:rsidR="00DA1718" w:rsidRPr="00DA1718">
        <w:rPr>
          <w:rFonts w:ascii="Arial" w:eastAsia="Times New Roman" w:hAnsi="Arial" w:cs="Arial"/>
          <w:color w:val="000000" w:themeColor="text1"/>
          <w:sz w:val="22"/>
          <w:szCs w:val="22"/>
          <w:lang w:eastAsia="en-GB"/>
        </w:rPr>
        <w:t>conditions to deduct are met in the first place.</w:t>
      </w:r>
      <w:r w:rsidRPr="00EA0CBF">
        <w:rPr>
          <w:rFonts w:ascii="Arial" w:eastAsia="Times New Roman" w:hAnsi="Arial" w:cs="Arial"/>
          <w:color w:val="000000" w:themeColor="text1"/>
          <w:sz w:val="22"/>
          <w:szCs w:val="22"/>
          <w:lang w:val="en-US" w:eastAsia="en-GB"/>
        </w:rPr>
        <w:t xml:space="preserve"> Without providing an answer to that question, the AG opined that </w:t>
      </w:r>
      <w:r w:rsidRPr="00EA0CBF">
        <w:rPr>
          <w:rFonts w:ascii="Arial" w:eastAsia="Times New Roman" w:hAnsi="Arial" w:cs="Arial"/>
          <w:color w:val="000000" w:themeColor="text1"/>
          <w:sz w:val="22"/>
          <w:szCs w:val="22"/>
          <w:shd w:val="clear" w:color="auto" w:fill="FFFFFF"/>
          <w:lang w:val="en-US" w:eastAsia="en-GB"/>
        </w:rPr>
        <w:t>a</w:t>
      </w:r>
      <w:r w:rsidR="00DA1718" w:rsidRPr="00DA1718">
        <w:rPr>
          <w:rFonts w:ascii="Arial" w:eastAsia="Times New Roman" w:hAnsi="Arial" w:cs="Arial"/>
          <w:color w:val="000000" w:themeColor="text1"/>
          <w:sz w:val="22"/>
          <w:szCs w:val="22"/>
          <w:lang w:eastAsia="en-GB"/>
        </w:rPr>
        <w:t xml:space="preserve"> distinction might have to be made between the net sales price and the VAT</w:t>
      </w:r>
      <w:r w:rsidR="00624B79" w:rsidRPr="00EA0CBF">
        <w:rPr>
          <w:rFonts w:ascii="Arial" w:eastAsia="Times New Roman" w:hAnsi="Arial" w:cs="Arial"/>
          <w:color w:val="000000" w:themeColor="text1"/>
          <w:sz w:val="22"/>
          <w:szCs w:val="22"/>
          <w:lang w:val="en-US" w:eastAsia="en-GB"/>
        </w:rPr>
        <w:t>,</w:t>
      </w:r>
      <w:r w:rsidR="00DA1718" w:rsidRPr="00DA1718">
        <w:rPr>
          <w:rFonts w:ascii="Arial" w:eastAsia="Times New Roman" w:hAnsi="Arial" w:cs="Arial"/>
          <w:color w:val="000000" w:themeColor="text1"/>
          <w:sz w:val="22"/>
          <w:szCs w:val="22"/>
          <w:lang w:eastAsia="en-GB"/>
        </w:rPr>
        <w:t xml:space="preserve"> as in her opinion: it is “</w:t>
      </w:r>
      <w:r w:rsidR="00DA1718" w:rsidRPr="00DA1718">
        <w:rPr>
          <w:rFonts w:ascii="Arial" w:eastAsia="Times New Roman" w:hAnsi="Arial" w:cs="Arial"/>
          <w:i/>
          <w:iCs/>
          <w:color w:val="000000" w:themeColor="text1"/>
          <w:sz w:val="22"/>
          <w:szCs w:val="22"/>
          <w:lang w:eastAsia="en-GB"/>
        </w:rPr>
        <w:t>o</w:t>
      </w:r>
      <w:proofErr w:type="spellStart"/>
      <w:r w:rsidR="00DA1718" w:rsidRPr="00DA1718">
        <w:rPr>
          <w:rFonts w:ascii="Arial" w:eastAsia="Times New Roman" w:hAnsi="Arial" w:cs="Arial"/>
          <w:i/>
          <w:iCs/>
          <w:color w:val="000000" w:themeColor="text1"/>
          <w:sz w:val="22"/>
          <w:szCs w:val="22"/>
          <w:lang w:val="en-GB" w:eastAsia="en-GB"/>
        </w:rPr>
        <w:t>nly</w:t>
      </w:r>
      <w:proofErr w:type="spellEnd"/>
      <w:r w:rsidR="00DA1718" w:rsidRPr="00DA1718">
        <w:rPr>
          <w:rFonts w:ascii="Arial" w:eastAsia="Times New Roman" w:hAnsi="Arial" w:cs="Arial"/>
          <w:i/>
          <w:iCs/>
          <w:color w:val="000000" w:themeColor="text1"/>
          <w:sz w:val="22"/>
          <w:szCs w:val="22"/>
          <w:lang w:val="en-GB" w:eastAsia="en-GB"/>
        </w:rPr>
        <w:t xml:space="preserve"> the net amount that is always available for the payment of the supplier’s debt with the recipient of the supply</w:t>
      </w:r>
      <w:r w:rsidR="00DA1718" w:rsidRPr="00DA1718">
        <w:rPr>
          <w:rFonts w:ascii="Arial" w:eastAsia="Times New Roman" w:hAnsi="Arial" w:cs="Arial"/>
          <w:color w:val="000000" w:themeColor="text1"/>
          <w:sz w:val="22"/>
          <w:szCs w:val="22"/>
          <w:lang w:val="en-GB" w:eastAsia="en-GB"/>
        </w:rPr>
        <w:t>”.</w:t>
      </w:r>
      <w:r w:rsidRPr="00EA0CBF">
        <w:rPr>
          <w:rFonts w:ascii="Arial" w:eastAsia="Times New Roman" w:hAnsi="Arial" w:cs="Arial"/>
          <w:color w:val="000000" w:themeColor="text1"/>
          <w:sz w:val="22"/>
          <w:szCs w:val="22"/>
          <w:lang w:val="en-GB" w:eastAsia="en-GB"/>
        </w:rPr>
        <w:t xml:space="preserve"> In other words, AG </w:t>
      </w:r>
      <w:proofErr w:type="spellStart"/>
      <w:r w:rsidRPr="00EA0CBF">
        <w:rPr>
          <w:rFonts w:ascii="Arial" w:eastAsia="Times New Roman" w:hAnsi="Arial" w:cs="Arial"/>
          <w:color w:val="000000" w:themeColor="text1"/>
          <w:sz w:val="22"/>
          <w:szCs w:val="22"/>
          <w:lang w:val="en-GB" w:eastAsia="en-GB"/>
        </w:rPr>
        <w:t>Kokott</w:t>
      </w:r>
      <w:proofErr w:type="spellEnd"/>
      <w:r w:rsidRPr="00EA0CBF">
        <w:rPr>
          <w:rFonts w:ascii="Arial" w:eastAsia="Times New Roman" w:hAnsi="Arial" w:cs="Arial"/>
          <w:color w:val="000000" w:themeColor="text1"/>
          <w:sz w:val="22"/>
          <w:szCs w:val="22"/>
          <w:lang w:val="en-GB" w:eastAsia="en-GB"/>
        </w:rPr>
        <w:t xml:space="preserve"> suggests that the VAT should have been paid by </w:t>
      </w:r>
      <w:proofErr w:type="gramStart"/>
      <w:r w:rsidRPr="00EA0CBF">
        <w:rPr>
          <w:rFonts w:ascii="Arial" w:eastAsia="Times New Roman" w:hAnsi="Arial" w:cs="Arial"/>
          <w:color w:val="000000" w:themeColor="text1"/>
          <w:sz w:val="22"/>
          <w:szCs w:val="22"/>
          <w:lang w:val="en-GB" w:eastAsia="en-GB"/>
        </w:rPr>
        <w:t>HA.EN</w:t>
      </w:r>
      <w:proofErr w:type="gramEnd"/>
      <w:r w:rsidRPr="00EA0CBF">
        <w:rPr>
          <w:rFonts w:ascii="Arial" w:eastAsia="Times New Roman" w:hAnsi="Arial" w:cs="Arial"/>
          <w:color w:val="000000" w:themeColor="text1"/>
          <w:sz w:val="22"/>
          <w:szCs w:val="22"/>
          <w:lang w:val="en-GB" w:eastAsia="en-GB"/>
        </w:rPr>
        <w:t xml:space="preserve"> to UAB with a “real payment” (and not by way of compensation), in order to be deductible. </w:t>
      </w:r>
      <w:r w:rsidR="005D5DDB">
        <w:rPr>
          <w:rFonts w:ascii="Arial" w:eastAsia="Times New Roman" w:hAnsi="Arial" w:cs="Arial"/>
          <w:color w:val="000000" w:themeColor="text1"/>
          <w:sz w:val="22"/>
          <w:szCs w:val="22"/>
          <w:lang w:val="en-GB" w:eastAsia="en-GB"/>
        </w:rPr>
        <w:t>I</w:t>
      </w:r>
      <w:r w:rsidRPr="00EA0CBF">
        <w:rPr>
          <w:rFonts w:ascii="Arial" w:eastAsia="Times New Roman" w:hAnsi="Arial" w:cs="Arial"/>
          <w:color w:val="000000" w:themeColor="text1"/>
          <w:sz w:val="22"/>
          <w:szCs w:val="22"/>
          <w:lang w:val="en-GB" w:eastAsia="en-GB"/>
        </w:rPr>
        <w:t xml:space="preserve">t is </w:t>
      </w:r>
      <w:r w:rsidR="00B02A01">
        <w:rPr>
          <w:rFonts w:ascii="Arial" w:eastAsia="Times New Roman" w:hAnsi="Arial" w:cs="Arial"/>
          <w:color w:val="000000" w:themeColor="text1"/>
          <w:sz w:val="22"/>
          <w:szCs w:val="22"/>
          <w:lang w:val="en-GB" w:eastAsia="en-GB"/>
        </w:rPr>
        <w:t>regrettable</w:t>
      </w:r>
      <w:r w:rsidRPr="00EA0CBF">
        <w:rPr>
          <w:rFonts w:ascii="Arial" w:eastAsia="Times New Roman" w:hAnsi="Arial" w:cs="Arial"/>
          <w:color w:val="000000" w:themeColor="text1"/>
          <w:sz w:val="22"/>
          <w:szCs w:val="22"/>
          <w:lang w:val="en-GB" w:eastAsia="en-GB"/>
        </w:rPr>
        <w:t xml:space="preserve"> that the CJEU did not clarify the matter. </w:t>
      </w:r>
    </w:p>
    <w:p w14:paraId="2EA7F91B" w14:textId="56C9109E" w:rsidR="00D35187" w:rsidRDefault="00D35187" w:rsidP="00473AE8">
      <w:pPr>
        <w:jc w:val="both"/>
        <w:rPr>
          <w:rFonts w:ascii="Arial" w:eastAsia="Times New Roman" w:hAnsi="Arial" w:cs="Arial"/>
          <w:color w:val="000000" w:themeColor="text1"/>
          <w:sz w:val="22"/>
          <w:szCs w:val="22"/>
          <w:lang w:val="en-GB" w:eastAsia="en-GB"/>
        </w:rPr>
      </w:pPr>
    </w:p>
    <w:p w14:paraId="7A8F64A5" w14:textId="77777777" w:rsidR="005D5DDB" w:rsidRPr="00DA1718" w:rsidRDefault="005D5DDB" w:rsidP="00473AE8">
      <w:pPr>
        <w:jc w:val="both"/>
        <w:rPr>
          <w:rFonts w:ascii="Arial" w:eastAsia="Times New Roman" w:hAnsi="Arial" w:cs="Arial"/>
          <w:color w:val="000000" w:themeColor="text1"/>
          <w:sz w:val="22"/>
          <w:szCs w:val="22"/>
          <w:lang w:val="en-GB" w:eastAsia="en-GB"/>
        </w:rPr>
      </w:pPr>
    </w:p>
    <w:p w14:paraId="1C1974E5" w14:textId="77777777" w:rsidR="00473AE8" w:rsidRPr="00EA0CBF" w:rsidRDefault="00473AE8" w:rsidP="00473AE8">
      <w:pPr>
        <w:pStyle w:val="ListParagraph"/>
        <w:ind w:left="360"/>
        <w:jc w:val="both"/>
        <w:rPr>
          <w:rFonts w:ascii="Arial" w:eastAsia="Times New Roman" w:hAnsi="Arial" w:cs="Arial"/>
          <w:b/>
          <w:bCs/>
          <w:color w:val="000000" w:themeColor="text1"/>
          <w:sz w:val="22"/>
          <w:szCs w:val="22"/>
          <w:shd w:val="clear" w:color="auto" w:fill="FFFFFF"/>
          <w:lang w:val="en-US" w:eastAsia="en-GB"/>
        </w:rPr>
      </w:pPr>
    </w:p>
    <w:p w14:paraId="52389DC9" w14:textId="7822F370" w:rsidR="001B7C4D" w:rsidRPr="00EA0CBF" w:rsidRDefault="001B7C4D" w:rsidP="006E45F3">
      <w:pPr>
        <w:pStyle w:val="ListParagraph"/>
        <w:numPr>
          <w:ilvl w:val="0"/>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lang w:val="en-US" w:eastAsia="en-GB"/>
        </w:rPr>
        <w:lastRenderedPageBreak/>
        <w:t>C-334/20</w:t>
      </w:r>
      <w:r w:rsidRPr="00EA0CBF">
        <w:rPr>
          <w:rFonts w:ascii="Arial" w:eastAsia="Times New Roman" w:hAnsi="Arial" w:cs="Arial"/>
          <w:b/>
          <w:bCs/>
          <w:color w:val="000000" w:themeColor="text1"/>
          <w:sz w:val="22"/>
          <w:szCs w:val="22"/>
          <w:shd w:val="clear" w:color="auto" w:fill="FFFFFF"/>
          <w:lang w:val="en-US" w:eastAsia="en-GB"/>
        </w:rPr>
        <w:t> </w:t>
      </w:r>
      <w:proofErr w:type="spellStart"/>
      <w:r w:rsidRPr="00EA0CBF">
        <w:rPr>
          <w:rFonts w:ascii="Arial" w:eastAsia="Times New Roman" w:hAnsi="Arial" w:cs="Arial"/>
          <w:b/>
          <w:bCs/>
          <w:color w:val="000000" w:themeColor="text1"/>
          <w:sz w:val="22"/>
          <w:szCs w:val="22"/>
          <w:shd w:val="clear" w:color="auto" w:fill="FFFFFF"/>
          <w:lang w:val="en-US" w:eastAsia="en-GB"/>
        </w:rPr>
        <w:t>Amper</w:t>
      </w:r>
      <w:proofErr w:type="spellEnd"/>
      <w:r w:rsidRPr="00EA0CBF">
        <w:rPr>
          <w:rFonts w:ascii="Arial" w:eastAsia="Times New Roman" w:hAnsi="Arial" w:cs="Arial"/>
          <w:b/>
          <w:bCs/>
          <w:color w:val="000000" w:themeColor="text1"/>
          <w:sz w:val="22"/>
          <w:szCs w:val="22"/>
          <w:shd w:val="clear" w:color="auto" w:fill="FFFFFF"/>
          <w:lang w:val="en-US" w:eastAsia="en-GB"/>
        </w:rPr>
        <w:t xml:space="preserve"> Metal</w:t>
      </w:r>
      <w:r w:rsidR="00E37ACC" w:rsidRPr="00EA0CBF">
        <w:rPr>
          <w:rStyle w:val="FootnoteReference"/>
          <w:rFonts w:ascii="Arial" w:eastAsia="Times New Roman" w:hAnsi="Arial" w:cs="Arial"/>
          <w:b/>
          <w:bCs/>
          <w:color w:val="000000" w:themeColor="text1"/>
          <w:sz w:val="22"/>
          <w:szCs w:val="22"/>
          <w:shd w:val="clear" w:color="auto" w:fill="FFFFFF"/>
          <w:lang w:val="en-US" w:eastAsia="en-GB"/>
        </w:rPr>
        <w:footnoteReference w:id="34"/>
      </w:r>
      <w:r w:rsidRPr="00EA0CBF">
        <w:rPr>
          <w:rFonts w:ascii="Arial" w:eastAsia="Times New Roman" w:hAnsi="Arial" w:cs="Arial"/>
          <w:b/>
          <w:bCs/>
          <w:color w:val="000000" w:themeColor="text1"/>
          <w:sz w:val="22"/>
          <w:szCs w:val="22"/>
          <w:shd w:val="clear" w:color="auto" w:fill="FFFFFF"/>
          <w:lang w:val="en-US" w:eastAsia="en-GB"/>
        </w:rPr>
        <w:t> </w:t>
      </w:r>
    </w:p>
    <w:p w14:paraId="475BB57E" w14:textId="77777777" w:rsidR="00CF7C2C" w:rsidRPr="00EA0CBF" w:rsidRDefault="00CF7C2C" w:rsidP="006E45F3">
      <w:pPr>
        <w:pStyle w:val="ListParagraph"/>
        <w:ind w:left="360"/>
        <w:jc w:val="both"/>
        <w:rPr>
          <w:rFonts w:ascii="Arial" w:eastAsia="Times New Roman" w:hAnsi="Arial" w:cs="Arial"/>
          <w:b/>
          <w:bCs/>
          <w:color w:val="000000" w:themeColor="text1"/>
          <w:sz w:val="22"/>
          <w:szCs w:val="22"/>
          <w:shd w:val="clear" w:color="auto" w:fill="FFFFFF"/>
          <w:lang w:val="en-US" w:eastAsia="en-GB"/>
        </w:rPr>
      </w:pPr>
    </w:p>
    <w:p w14:paraId="1B2362F6" w14:textId="0B266CBE" w:rsidR="001B7C4D" w:rsidRPr="00EA0CBF" w:rsidRDefault="001B7C4D" w:rsidP="006E45F3">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Facts</w:t>
      </w:r>
      <w:r w:rsidR="00CF7C2C" w:rsidRPr="00EA0CBF">
        <w:rPr>
          <w:rFonts w:ascii="Arial" w:eastAsia="Times New Roman" w:hAnsi="Arial" w:cs="Arial"/>
          <w:b/>
          <w:bCs/>
          <w:color w:val="000000" w:themeColor="text1"/>
          <w:sz w:val="22"/>
          <w:szCs w:val="22"/>
          <w:shd w:val="clear" w:color="auto" w:fill="FFFFFF"/>
          <w:lang w:val="en-US" w:eastAsia="en-GB"/>
        </w:rPr>
        <w:t xml:space="preserve"> and question raised</w:t>
      </w:r>
    </w:p>
    <w:p w14:paraId="7998043A" w14:textId="349EBBC7" w:rsidR="001B7C4D" w:rsidRPr="00EA0CBF" w:rsidRDefault="001B7C4D" w:rsidP="006E45F3">
      <w:pPr>
        <w:jc w:val="both"/>
        <w:rPr>
          <w:rFonts w:ascii="Arial" w:eastAsia="Times New Roman" w:hAnsi="Arial" w:cs="Arial"/>
          <w:color w:val="000000" w:themeColor="text1"/>
          <w:sz w:val="22"/>
          <w:szCs w:val="22"/>
          <w:shd w:val="clear" w:color="auto" w:fill="FFFFFF"/>
          <w:lang w:val="en-US" w:eastAsia="en-GB"/>
        </w:rPr>
      </w:pPr>
    </w:p>
    <w:p w14:paraId="5070A868" w14:textId="142C7C4E" w:rsidR="0028359A" w:rsidRPr="00EA0CBF" w:rsidRDefault="001B7C4D" w:rsidP="006E45F3">
      <w:pPr>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In 2014,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purchased advertising services </w:t>
      </w:r>
      <w:r w:rsidR="0028359A" w:rsidRPr="00EA0CBF">
        <w:rPr>
          <w:rFonts w:ascii="Arial" w:hAnsi="Arial" w:cs="Arial"/>
          <w:color w:val="000000" w:themeColor="text1"/>
          <w:sz w:val="22"/>
          <w:szCs w:val="22"/>
          <w:lang w:val="en-US"/>
        </w:rPr>
        <w:t xml:space="preserve">consisting in </w:t>
      </w:r>
      <w:r w:rsidR="00055A9A" w:rsidRPr="00EA0CBF">
        <w:rPr>
          <w:rFonts w:ascii="Arial" w:hAnsi="Arial" w:cs="Arial"/>
          <w:color w:val="000000" w:themeColor="text1"/>
          <w:sz w:val="22"/>
          <w:szCs w:val="22"/>
          <w:lang w:val="en-US"/>
        </w:rPr>
        <w:t>placing</w:t>
      </w:r>
      <w:r w:rsidR="00CF7C2C"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lang w:val="en-US"/>
        </w:rPr>
        <w:t xml:space="preserve">stickers bearing the name of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to cars at a motor racing championship </w:t>
      </w:r>
      <w:r w:rsidR="0028359A" w:rsidRPr="00EA0CBF">
        <w:rPr>
          <w:rFonts w:ascii="Arial" w:hAnsi="Arial" w:cs="Arial"/>
          <w:color w:val="000000" w:themeColor="text1"/>
          <w:sz w:val="22"/>
          <w:szCs w:val="22"/>
          <w:lang w:val="en-US"/>
        </w:rPr>
        <w:t xml:space="preserve">taking place </w:t>
      </w:r>
      <w:r w:rsidRPr="00EA0CBF">
        <w:rPr>
          <w:rFonts w:ascii="Arial" w:hAnsi="Arial" w:cs="Arial"/>
          <w:color w:val="000000" w:themeColor="text1"/>
          <w:sz w:val="22"/>
          <w:szCs w:val="22"/>
          <w:lang w:val="en-US"/>
        </w:rPr>
        <w:t xml:space="preserve">in Hungary. Twelve invoices were issued in 2014 in respect of those services, for a total amount of HUF 48 000 000 (approximately EUR 133 230), to which was added VAT.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deducted the VAT paid for those services. However</w:t>
      </w:r>
      <w:r w:rsidR="0028359A"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the Hungarian tax authorities rejected that deduction and imposed penalties and fines for late payment. They took the view that the costs relating to the advertising services concerned did not constitute a charge linked to taxed </w:t>
      </w:r>
      <w:r w:rsidR="007A775F"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income-generating transactions</w:t>
      </w:r>
      <w:r w:rsidR="007A775F"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for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and that the VAT paid by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was therefore not deductible. T</w:t>
      </w:r>
      <w:r w:rsidR="0028359A" w:rsidRPr="00EA0CBF">
        <w:rPr>
          <w:rFonts w:ascii="Arial" w:hAnsi="Arial" w:cs="Arial"/>
          <w:color w:val="000000" w:themeColor="text1"/>
          <w:sz w:val="22"/>
          <w:szCs w:val="22"/>
          <w:lang w:val="en-US"/>
        </w:rPr>
        <w:t>o reach their decision, t</w:t>
      </w:r>
      <w:r w:rsidRPr="00EA0CBF">
        <w:rPr>
          <w:rFonts w:ascii="Arial" w:hAnsi="Arial" w:cs="Arial"/>
          <w:color w:val="000000" w:themeColor="text1"/>
          <w:sz w:val="22"/>
          <w:szCs w:val="22"/>
          <w:lang w:val="en-US"/>
        </w:rPr>
        <w:t>he tax authorit</w:t>
      </w:r>
      <w:r w:rsidR="0028359A" w:rsidRPr="00EA0CBF">
        <w:rPr>
          <w:rFonts w:ascii="Arial" w:hAnsi="Arial" w:cs="Arial"/>
          <w:color w:val="000000" w:themeColor="text1"/>
          <w:sz w:val="22"/>
          <w:szCs w:val="22"/>
          <w:lang w:val="en-US"/>
        </w:rPr>
        <w:t>ies</w:t>
      </w:r>
      <w:r w:rsidRPr="00EA0CBF">
        <w:rPr>
          <w:rFonts w:ascii="Arial" w:hAnsi="Arial" w:cs="Arial"/>
          <w:color w:val="000000" w:themeColor="text1"/>
          <w:sz w:val="22"/>
          <w:szCs w:val="22"/>
          <w:lang w:val="en-US"/>
        </w:rPr>
        <w:t xml:space="preserve"> relied on the opinions of judicial experts, according to which th</w:t>
      </w:r>
      <w:r w:rsidR="0028359A" w:rsidRPr="00EA0CBF">
        <w:rPr>
          <w:rFonts w:ascii="Arial" w:hAnsi="Arial" w:cs="Arial"/>
          <w:color w:val="000000" w:themeColor="text1"/>
          <w:sz w:val="22"/>
          <w:szCs w:val="22"/>
          <w:lang w:val="en-US"/>
        </w:rPr>
        <w:t>e</w:t>
      </w:r>
      <w:r w:rsidRPr="00EA0CBF">
        <w:rPr>
          <w:rFonts w:ascii="Arial" w:hAnsi="Arial" w:cs="Arial"/>
          <w:color w:val="000000" w:themeColor="text1"/>
          <w:sz w:val="22"/>
          <w:szCs w:val="22"/>
          <w:lang w:val="en-US"/>
        </w:rPr>
        <w:t xml:space="preserve"> advertising services </w:t>
      </w:r>
      <w:r w:rsidR="0028359A" w:rsidRPr="00EA0CBF">
        <w:rPr>
          <w:rFonts w:ascii="Arial" w:hAnsi="Arial" w:cs="Arial"/>
          <w:color w:val="000000" w:themeColor="text1"/>
          <w:sz w:val="22"/>
          <w:szCs w:val="22"/>
          <w:lang w:val="en-US"/>
        </w:rPr>
        <w:t xml:space="preserve">acquired by </w:t>
      </w:r>
      <w:proofErr w:type="spellStart"/>
      <w:r w:rsidR="0028359A" w:rsidRPr="00EA0CBF">
        <w:rPr>
          <w:rFonts w:ascii="Arial" w:hAnsi="Arial" w:cs="Arial"/>
          <w:color w:val="000000" w:themeColor="text1"/>
          <w:sz w:val="22"/>
          <w:szCs w:val="22"/>
          <w:lang w:val="en-US"/>
        </w:rPr>
        <w:t>Amper</w:t>
      </w:r>
      <w:proofErr w:type="spellEnd"/>
      <w:r w:rsidR="0028359A" w:rsidRPr="00EA0CBF">
        <w:rPr>
          <w:rFonts w:ascii="Arial" w:hAnsi="Arial" w:cs="Arial"/>
          <w:color w:val="000000" w:themeColor="text1"/>
          <w:sz w:val="22"/>
          <w:szCs w:val="22"/>
          <w:lang w:val="en-US"/>
        </w:rPr>
        <w:t xml:space="preserve"> Metal </w:t>
      </w:r>
      <w:r w:rsidRPr="00EA0CBF">
        <w:rPr>
          <w:rFonts w:ascii="Arial" w:hAnsi="Arial" w:cs="Arial"/>
          <w:color w:val="000000" w:themeColor="text1"/>
          <w:sz w:val="22"/>
          <w:szCs w:val="22"/>
          <w:lang w:val="en-US"/>
        </w:rPr>
        <w:t xml:space="preserve">were too expensive and were in fact of no use to </w:t>
      </w:r>
      <w:r w:rsidR="0028359A" w:rsidRPr="00EA0CBF">
        <w:rPr>
          <w:rFonts w:ascii="Arial" w:hAnsi="Arial" w:cs="Arial"/>
          <w:color w:val="000000" w:themeColor="text1"/>
          <w:sz w:val="22"/>
          <w:szCs w:val="22"/>
          <w:lang w:val="en-US"/>
        </w:rPr>
        <w:t>it</w:t>
      </w:r>
      <w:r w:rsidRPr="00EA0CBF">
        <w:rPr>
          <w:rFonts w:ascii="Arial" w:hAnsi="Arial" w:cs="Arial"/>
          <w:color w:val="000000" w:themeColor="text1"/>
          <w:sz w:val="22"/>
          <w:szCs w:val="22"/>
          <w:lang w:val="en-US"/>
        </w:rPr>
        <w:t xml:space="preserve">, </w:t>
      </w:r>
      <w:proofErr w:type="gramStart"/>
      <w:r w:rsidRPr="00EA0CBF">
        <w:rPr>
          <w:rFonts w:ascii="Arial" w:hAnsi="Arial" w:cs="Arial"/>
          <w:color w:val="000000" w:themeColor="text1"/>
          <w:sz w:val="22"/>
          <w:szCs w:val="22"/>
          <w:lang w:val="en-US"/>
        </w:rPr>
        <w:t xml:space="preserve">in particular </w:t>
      </w:r>
      <w:r w:rsidR="0028359A" w:rsidRPr="00EA0CBF">
        <w:rPr>
          <w:rFonts w:ascii="Arial" w:hAnsi="Arial" w:cs="Arial"/>
          <w:color w:val="000000" w:themeColor="text1"/>
          <w:sz w:val="22"/>
          <w:szCs w:val="22"/>
          <w:lang w:val="en-US"/>
        </w:rPr>
        <w:t>since</w:t>
      </w:r>
      <w:proofErr w:type="gramEnd"/>
      <w:r w:rsidR="0028359A" w:rsidRPr="00EA0CBF">
        <w:rPr>
          <w:rFonts w:ascii="Arial" w:hAnsi="Arial" w:cs="Arial"/>
          <w:color w:val="000000" w:themeColor="text1"/>
          <w:sz w:val="22"/>
          <w:szCs w:val="22"/>
          <w:lang w:val="en-US"/>
        </w:rPr>
        <w:t xml:space="preserve"> their customer base was composed of </w:t>
      </w:r>
      <w:r w:rsidRPr="00EA0CBF">
        <w:rPr>
          <w:rFonts w:ascii="Arial" w:hAnsi="Arial" w:cs="Arial"/>
          <w:color w:val="000000" w:themeColor="text1"/>
          <w:sz w:val="22"/>
          <w:szCs w:val="22"/>
          <w:lang w:val="en-US"/>
        </w:rPr>
        <w:t>paper factories, hot-lamination workshops and other industrial plants, which were not likely to have their commercial decisions influenced by self-adhesive stickers on racing cars. The tax authorit</w:t>
      </w:r>
      <w:r w:rsidR="0028359A" w:rsidRPr="00EA0CBF">
        <w:rPr>
          <w:rFonts w:ascii="Arial" w:hAnsi="Arial" w:cs="Arial"/>
          <w:color w:val="000000" w:themeColor="text1"/>
          <w:sz w:val="22"/>
          <w:szCs w:val="22"/>
          <w:lang w:val="en-US"/>
        </w:rPr>
        <w:t xml:space="preserve">ies also </w:t>
      </w:r>
      <w:r w:rsidRPr="00EA0CBF">
        <w:rPr>
          <w:rFonts w:ascii="Arial" w:hAnsi="Arial" w:cs="Arial"/>
          <w:color w:val="000000" w:themeColor="text1"/>
          <w:sz w:val="22"/>
          <w:szCs w:val="22"/>
          <w:lang w:val="en-US"/>
        </w:rPr>
        <w:t>stated</w:t>
      </w:r>
      <w:r w:rsidR="00AD03DF"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lang w:val="en-US"/>
        </w:rPr>
        <w:t xml:space="preserve">that the advertising services contract did not meet the requirements of ‘reasonable management’ within the meaning of </w:t>
      </w:r>
      <w:r w:rsidR="00CF7C2C" w:rsidRPr="00EA0CBF">
        <w:rPr>
          <w:rFonts w:ascii="Arial" w:hAnsi="Arial" w:cs="Arial"/>
          <w:color w:val="000000" w:themeColor="text1"/>
          <w:sz w:val="22"/>
          <w:szCs w:val="22"/>
          <w:lang w:val="en-US"/>
        </w:rPr>
        <w:t>Hungarian</w:t>
      </w:r>
      <w:r w:rsidRPr="00EA0CBF">
        <w:rPr>
          <w:rFonts w:ascii="Arial" w:hAnsi="Arial" w:cs="Arial"/>
          <w:color w:val="000000" w:themeColor="text1"/>
          <w:sz w:val="22"/>
          <w:szCs w:val="22"/>
          <w:lang w:val="en-US"/>
        </w:rPr>
        <w:t xml:space="preserve"> Law on Corporation Tax.</w:t>
      </w:r>
      <w:r w:rsidR="00CF7C2C" w:rsidRPr="00EA0CBF">
        <w:rPr>
          <w:rFonts w:ascii="Arial" w:hAnsi="Arial" w:cs="Arial"/>
          <w:color w:val="000000" w:themeColor="text1"/>
          <w:sz w:val="22"/>
          <w:szCs w:val="22"/>
          <w:lang w:val="en-US"/>
        </w:rPr>
        <w:t xml:space="preserve"> </w:t>
      </w:r>
    </w:p>
    <w:p w14:paraId="7DD0B253" w14:textId="4A562764" w:rsidR="0028359A" w:rsidRPr="00EA0CBF" w:rsidRDefault="0028359A" w:rsidP="006E45F3">
      <w:pPr>
        <w:jc w:val="both"/>
        <w:rPr>
          <w:rFonts w:ascii="Arial" w:hAnsi="Arial" w:cs="Arial"/>
          <w:color w:val="000000" w:themeColor="text1"/>
          <w:sz w:val="22"/>
          <w:szCs w:val="22"/>
          <w:lang w:val="en-US"/>
        </w:rPr>
      </w:pPr>
    </w:p>
    <w:p w14:paraId="5529531F" w14:textId="7D138568" w:rsidR="001B7C4D" w:rsidRPr="00EA0CBF" w:rsidRDefault="0028359A" w:rsidP="0028359A">
      <w:pPr>
        <w:jc w:val="both"/>
        <w:rPr>
          <w:rFonts w:ascii="Arial" w:hAnsi="Arial" w:cs="Arial"/>
          <w:color w:val="000000" w:themeColor="text1"/>
          <w:sz w:val="22"/>
          <w:szCs w:val="22"/>
          <w:lang w:val="en-US"/>
        </w:rPr>
      </w:pP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 challenged the decision of the tax authorities before the first and second instance tax authorit</w:t>
      </w:r>
      <w:r w:rsidR="005D25DC" w:rsidRPr="00EA0CBF">
        <w:rPr>
          <w:rFonts w:ascii="Arial" w:hAnsi="Arial" w:cs="Arial"/>
          <w:color w:val="000000" w:themeColor="text1"/>
          <w:sz w:val="22"/>
          <w:szCs w:val="22"/>
          <w:lang w:val="en-US"/>
        </w:rPr>
        <w:t>ies</w:t>
      </w:r>
      <w:r w:rsidRPr="00EA0CBF">
        <w:rPr>
          <w:rFonts w:ascii="Arial" w:hAnsi="Arial" w:cs="Arial"/>
          <w:color w:val="000000" w:themeColor="text1"/>
          <w:sz w:val="22"/>
          <w:szCs w:val="22"/>
          <w:lang w:val="en-US"/>
        </w:rPr>
        <w:t>, without success. The matter was then brought</w:t>
      </w:r>
      <w:r w:rsidR="00CF7C2C" w:rsidRPr="00EA0CBF">
        <w:rPr>
          <w:rFonts w:ascii="Arial" w:hAnsi="Arial" w:cs="Arial"/>
          <w:color w:val="000000" w:themeColor="text1"/>
          <w:sz w:val="22"/>
          <w:szCs w:val="22"/>
          <w:lang w:val="en-US"/>
        </w:rPr>
        <w:t xml:space="preserve"> before the referring court </w:t>
      </w:r>
      <w:r w:rsidRPr="00EA0CBF">
        <w:rPr>
          <w:rFonts w:ascii="Arial" w:hAnsi="Arial" w:cs="Arial"/>
          <w:color w:val="000000" w:themeColor="text1"/>
          <w:sz w:val="22"/>
          <w:szCs w:val="22"/>
          <w:lang w:val="en-US"/>
        </w:rPr>
        <w:t>who</w:t>
      </w:r>
      <w:r w:rsidR="00AD03DF" w:rsidRPr="00EA0CBF">
        <w:rPr>
          <w:rFonts w:ascii="Arial" w:hAnsi="Arial" w:cs="Arial"/>
          <w:color w:val="000000" w:themeColor="text1"/>
          <w:sz w:val="22"/>
          <w:szCs w:val="22"/>
          <w:lang w:val="en-US"/>
        </w:rPr>
        <w:t xml:space="preserve"> raised the following question to the CJEU</w:t>
      </w:r>
      <w:r w:rsidR="00CF7C2C" w:rsidRPr="00EA0CBF">
        <w:rPr>
          <w:rFonts w:ascii="Arial" w:hAnsi="Arial" w:cs="Arial"/>
          <w:color w:val="000000" w:themeColor="text1"/>
          <w:sz w:val="22"/>
          <w:szCs w:val="22"/>
          <w:lang w:val="en-US"/>
        </w:rPr>
        <w:t>:</w:t>
      </w:r>
    </w:p>
    <w:p w14:paraId="5362D6BC" w14:textId="77777777" w:rsidR="00CF7C2C" w:rsidRPr="00EA0CBF" w:rsidRDefault="00CF7C2C" w:rsidP="006E45F3">
      <w:pPr>
        <w:jc w:val="both"/>
        <w:rPr>
          <w:rFonts w:ascii="Arial" w:hAnsi="Arial" w:cs="Arial"/>
          <w:color w:val="000000" w:themeColor="text1"/>
          <w:sz w:val="22"/>
          <w:szCs w:val="22"/>
          <w:lang w:val="en-US"/>
        </w:rPr>
      </w:pPr>
    </w:p>
    <w:p w14:paraId="169770A8" w14:textId="77777777" w:rsidR="00CF7C2C" w:rsidRPr="00EA0CBF" w:rsidRDefault="00CF7C2C" w:rsidP="006E45F3">
      <w:pPr>
        <w:pStyle w:val="c09marge0avecretrait"/>
        <w:spacing w:before="0" w:beforeAutospacing="0" w:after="240" w:afterAutospacing="0"/>
        <w:ind w:left="1134" w:hanging="567"/>
        <w:jc w:val="both"/>
        <w:rPr>
          <w:rFonts w:ascii="Arial" w:hAnsi="Arial" w:cs="Arial"/>
          <w:color w:val="000000" w:themeColor="text1"/>
          <w:sz w:val="18"/>
          <w:szCs w:val="18"/>
        </w:rPr>
      </w:pPr>
      <w:r w:rsidRPr="00EA0CBF">
        <w:rPr>
          <w:rFonts w:ascii="Arial" w:hAnsi="Arial" w:cs="Arial"/>
          <w:color w:val="000000" w:themeColor="text1"/>
          <w:sz w:val="18"/>
          <w:szCs w:val="18"/>
        </w:rPr>
        <w:t>‘(1)      Must, or may, [the first sentence of] Article 168(a) of [the VAT Directive] be interpreted as meaning that, under the said provision, in view of its use of the expression “are used”, the right to deduct VAT cannot be refused in respect of a transaction that falls within the scope of the VAT Directive on the ground that, in the opinion of the tax authorities, the service provided by the person issuing the invoice in the course of a transaction between independent parties is not “beneficial” to the taxable activities of the recipient of the invoice, in that:</w:t>
      </w:r>
    </w:p>
    <w:p w14:paraId="4AC98B30" w14:textId="77777777" w:rsidR="00CF7C2C" w:rsidRPr="00EA0CBF" w:rsidRDefault="00CF7C2C" w:rsidP="006E45F3">
      <w:pPr>
        <w:pStyle w:val="c12marge1avectiretlong"/>
        <w:spacing w:after="240" w:afterAutospacing="0"/>
        <w:ind w:left="1701" w:hanging="567"/>
        <w:jc w:val="both"/>
        <w:rPr>
          <w:rFonts w:ascii="Arial" w:hAnsi="Arial" w:cs="Arial"/>
          <w:color w:val="000000" w:themeColor="text1"/>
          <w:sz w:val="18"/>
          <w:szCs w:val="18"/>
        </w:rPr>
      </w:pPr>
      <w:r w:rsidRPr="00EA0CBF">
        <w:rPr>
          <w:rFonts w:ascii="Arial" w:hAnsi="Arial" w:cs="Arial"/>
          <w:color w:val="000000" w:themeColor="text1"/>
          <w:sz w:val="18"/>
          <w:szCs w:val="18"/>
        </w:rPr>
        <w:t>–        the value of the service (advertising) provided by the person issuing the invoice is disproportionate to the benefit (sales revenue/increase in sales revenue) which the service generates for the recipient; or</w:t>
      </w:r>
    </w:p>
    <w:p w14:paraId="30ED8615" w14:textId="77777777" w:rsidR="00CF7C2C" w:rsidRPr="00EA0CBF" w:rsidRDefault="00CF7C2C" w:rsidP="006E45F3">
      <w:pPr>
        <w:pStyle w:val="c12marge1avectiretlong"/>
        <w:spacing w:after="240" w:afterAutospacing="0"/>
        <w:ind w:left="1701" w:hanging="567"/>
        <w:jc w:val="both"/>
        <w:rPr>
          <w:rFonts w:ascii="Arial" w:hAnsi="Arial" w:cs="Arial"/>
          <w:color w:val="000000" w:themeColor="text1"/>
          <w:sz w:val="18"/>
          <w:szCs w:val="18"/>
        </w:rPr>
      </w:pPr>
      <w:r w:rsidRPr="00EA0CBF">
        <w:rPr>
          <w:rFonts w:ascii="Arial" w:hAnsi="Arial" w:cs="Arial"/>
          <w:color w:val="000000" w:themeColor="text1"/>
          <w:sz w:val="18"/>
          <w:szCs w:val="18"/>
        </w:rPr>
        <w:t>–        the said service (advertising) has not generated any sales revenue for the recipient?</w:t>
      </w:r>
    </w:p>
    <w:p w14:paraId="233D9EB6" w14:textId="77777777" w:rsidR="00CF7C2C" w:rsidRPr="00EA0CBF" w:rsidRDefault="00CF7C2C" w:rsidP="006E45F3">
      <w:pPr>
        <w:pStyle w:val="c09marge0avecretrait"/>
        <w:spacing w:before="0" w:beforeAutospacing="0" w:after="240" w:afterAutospacing="0"/>
        <w:ind w:left="1134" w:hanging="567"/>
        <w:jc w:val="both"/>
        <w:rPr>
          <w:rFonts w:ascii="Arial" w:hAnsi="Arial" w:cs="Arial"/>
          <w:color w:val="000000" w:themeColor="text1"/>
          <w:sz w:val="18"/>
          <w:szCs w:val="18"/>
        </w:rPr>
      </w:pPr>
      <w:r w:rsidRPr="00EA0CBF">
        <w:rPr>
          <w:rFonts w:ascii="Arial" w:hAnsi="Arial" w:cs="Arial"/>
          <w:color w:val="000000" w:themeColor="text1"/>
          <w:sz w:val="18"/>
          <w:szCs w:val="18"/>
        </w:rPr>
        <w:t>(2)      Must, or may, [the first sentence of] Article 168(a) of the VAT Directive be interpreted as meaning that, under this provision, the right to deduct VAT may be refused in respect of a transaction that falls within the scope of the VAT Directive on the ground that, in the opinion of the tax authorities, the service provided by the person issuing the invoice in the course of a transaction between independent parties is for a disproportionate sum, because the service (advertising) is expensive and the price is excessive in comparison with another service or services?’</w:t>
      </w:r>
    </w:p>
    <w:p w14:paraId="15032AF3" w14:textId="6D84F90F" w:rsidR="00CF7C2C" w:rsidRPr="00EA0CBF" w:rsidRDefault="00CF7C2C" w:rsidP="006E45F3">
      <w:pPr>
        <w:pStyle w:val="ListParagraph"/>
        <w:numPr>
          <w:ilvl w:val="1"/>
          <w:numId w:val="1"/>
        </w:numPr>
        <w:jc w:val="both"/>
        <w:rPr>
          <w:rFonts w:ascii="Arial" w:hAnsi="Arial" w:cs="Arial"/>
          <w:b/>
          <w:bCs/>
          <w:color w:val="000000" w:themeColor="text1"/>
          <w:sz w:val="22"/>
          <w:szCs w:val="22"/>
          <w:lang w:val="en-US"/>
        </w:rPr>
      </w:pPr>
      <w:r w:rsidRPr="00EA0CBF">
        <w:rPr>
          <w:rFonts w:ascii="Arial" w:hAnsi="Arial" w:cs="Arial"/>
          <w:b/>
          <w:bCs/>
          <w:color w:val="000000" w:themeColor="text1"/>
          <w:sz w:val="22"/>
          <w:szCs w:val="22"/>
          <w:lang w:val="en-US"/>
        </w:rPr>
        <w:t xml:space="preserve">Court decision </w:t>
      </w:r>
      <w:r w:rsidR="00B64732" w:rsidRPr="00EA0CBF">
        <w:rPr>
          <w:rFonts w:ascii="Arial" w:hAnsi="Arial" w:cs="Arial"/>
          <w:b/>
          <w:bCs/>
          <w:color w:val="000000" w:themeColor="text1"/>
          <w:sz w:val="22"/>
          <w:szCs w:val="22"/>
          <w:lang w:val="en-US"/>
        </w:rPr>
        <w:t>(no AG Opinion)</w:t>
      </w:r>
    </w:p>
    <w:p w14:paraId="1541A608" w14:textId="34A2BC8C" w:rsidR="00CF7C2C" w:rsidRPr="00EA0CBF" w:rsidRDefault="0028359A" w:rsidP="006E45F3">
      <w:pPr>
        <w:pStyle w:val="c01pointnumerotealtn"/>
        <w:spacing w:after="240" w:afterAutospacing="0"/>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As a key </w:t>
      </w:r>
      <w:r w:rsidRPr="00EA0CBF">
        <w:rPr>
          <w:rFonts w:ascii="Arial" w:hAnsi="Arial" w:cs="Arial"/>
          <w:i/>
          <w:iCs/>
          <w:color w:val="000000" w:themeColor="text1"/>
          <w:sz w:val="22"/>
          <w:szCs w:val="22"/>
          <w:lang w:val="en-US"/>
        </w:rPr>
        <w:t>substantive</w:t>
      </w:r>
      <w:r w:rsidRPr="00EA0CBF">
        <w:rPr>
          <w:rFonts w:ascii="Arial" w:hAnsi="Arial" w:cs="Arial"/>
          <w:color w:val="000000" w:themeColor="text1"/>
          <w:sz w:val="22"/>
          <w:szCs w:val="22"/>
          <w:lang w:val="en-US"/>
        </w:rPr>
        <w:t xml:space="preserve"> condition, </w:t>
      </w:r>
      <w:r w:rsidR="007A775F" w:rsidRPr="00EA0CBF">
        <w:rPr>
          <w:rFonts w:ascii="Arial" w:hAnsi="Arial" w:cs="Arial"/>
          <w:color w:val="000000" w:themeColor="text1"/>
          <w:sz w:val="22"/>
          <w:szCs w:val="22"/>
          <w:lang w:val="en-US"/>
        </w:rPr>
        <w:t xml:space="preserve">Article 168 of the VAT Directive requires that goods and services be “used for the purpose of taxed transactions” </w:t>
      </w:r>
      <w:proofErr w:type="gramStart"/>
      <w:r w:rsidR="007A775F" w:rsidRPr="00EA0CBF">
        <w:rPr>
          <w:rFonts w:ascii="Arial" w:hAnsi="Arial" w:cs="Arial"/>
          <w:color w:val="000000" w:themeColor="text1"/>
          <w:sz w:val="22"/>
          <w:szCs w:val="22"/>
          <w:lang w:val="en-US"/>
        </w:rPr>
        <w:t>in order for</w:t>
      </w:r>
      <w:proofErr w:type="gramEnd"/>
      <w:r w:rsidR="007A775F" w:rsidRPr="00EA0CBF">
        <w:rPr>
          <w:rFonts w:ascii="Arial" w:hAnsi="Arial" w:cs="Arial"/>
          <w:color w:val="000000" w:themeColor="text1"/>
          <w:sz w:val="22"/>
          <w:szCs w:val="22"/>
          <w:lang w:val="en-US"/>
        </w:rPr>
        <w:t xml:space="preserve"> the VAT incurred on these goods and services to be deductible. </w:t>
      </w:r>
      <w:r w:rsidRPr="00EA0CBF">
        <w:rPr>
          <w:rFonts w:ascii="Arial" w:hAnsi="Arial" w:cs="Arial"/>
          <w:color w:val="000000" w:themeColor="text1"/>
          <w:sz w:val="22"/>
          <w:szCs w:val="22"/>
          <w:lang w:val="en-US"/>
        </w:rPr>
        <w:t>In this case</w:t>
      </w:r>
      <w:r w:rsidR="005D25DC"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t</w:t>
      </w:r>
      <w:r w:rsidR="00CF7C2C" w:rsidRPr="00EA0CBF">
        <w:rPr>
          <w:rFonts w:ascii="Arial" w:hAnsi="Arial" w:cs="Arial"/>
          <w:color w:val="000000" w:themeColor="text1"/>
          <w:sz w:val="22"/>
          <w:szCs w:val="22"/>
        </w:rPr>
        <w:t xml:space="preserve">he referring court </w:t>
      </w:r>
      <w:r w:rsidR="00AD03DF" w:rsidRPr="00EA0CBF">
        <w:rPr>
          <w:rFonts w:ascii="Arial" w:hAnsi="Arial" w:cs="Arial"/>
          <w:color w:val="000000" w:themeColor="text1"/>
          <w:sz w:val="22"/>
          <w:szCs w:val="22"/>
          <w:lang w:val="en-US"/>
        </w:rPr>
        <w:t xml:space="preserve">in essence </w:t>
      </w:r>
      <w:r w:rsidR="007A775F" w:rsidRPr="00EA0CBF">
        <w:rPr>
          <w:rFonts w:ascii="Arial" w:hAnsi="Arial" w:cs="Arial"/>
          <w:color w:val="000000" w:themeColor="text1"/>
          <w:sz w:val="22"/>
          <w:szCs w:val="22"/>
          <w:lang w:val="en-US"/>
        </w:rPr>
        <w:t>asked</w:t>
      </w:r>
      <w:r w:rsidR="00CF7C2C" w:rsidRPr="00EA0CBF">
        <w:rPr>
          <w:rFonts w:ascii="Arial" w:hAnsi="Arial" w:cs="Arial"/>
          <w:color w:val="000000" w:themeColor="text1"/>
          <w:sz w:val="22"/>
          <w:szCs w:val="22"/>
        </w:rPr>
        <w:t xml:space="preserve"> whether</w:t>
      </w:r>
      <w:r w:rsidR="007A775F" w:rsidRPr="00EA0CBF">
        <w:rPr>
          <w:rFonts w:ascii="Arial" w:hAnsi="Arial" w:cs="Arial"/>
          <w:color w:val="000000" w:themeColor="text1"/>
          <w:sz w:val="22"/>
          <w:szCs w:val="22"/>
          <w:lang w:val="en-US"/>
        </w:rPr>
        <w:t>, in view of</w:t>
      </w:r>
      <w:r w:rsidR="00CF7C2C" w:rsidRPr="00EA0CBF">
        <w:rPr>
          <w:rFonts w:ascii="Arial" w:hAnsi="Arial" w:cs="Arial"/>
          <w:color w:val="000000" w:themeColor="text1"/>
          <w:sz w:val="22"/>
          <w:szCs w:val="22"/>
        </w:rPr>
        <w:t xml:space="preserve"> </w:t>
      </w:r>
      <w:r w:rsidR="007A775F" w:rsidRPr="00EA0CBF">
        <w:rPr>
          <w:rFonts w:ascii="Arial" w:hAnsi="Arial" w:cs="Arial"/>
          <w:color w:val="000000" w:themeColor="text1"/>
          <w:sz w:val="22"/>
          <w:szCs w:val="22"/>
          <w:lang w:val="en-US"/>
        </w:rPr>
        <w:t>(</w:t>
      </w:r>
      <w:proofErr w:type="spellStart"/>
      <w:r w:rsidR="007A775F" w:rsidRPr="00EA0CBF">
        <w:rPr>
          <w:rFonts w:ascii="Arial" w:hAnsi="Arial" w:cs="Arial"/>
          <w:color w:val="000000" w:themeColor="text1"/>
          <w:sz w:val="22"/>
          <w:szCs w:val="22"/>
          <w:lang w:val="en-US"/>
        </w:rPr>
        <w:t>i</w:t>
      </w:r>
      <w:proofErr w:type="spellEnd"/>
      <w:r w:rsidR="007A775F" w:rsidRPr="00EA0CBF">
        <w:rPr>
          <w:rFonts w:ascii="Arial" w:hAnsi="Arial" w:cs="Arial"/>
          <w:color w:val="000000" w:themeColor="text1"/>
          <w:sz w:val="22"/>
          <w:szCs w:val="22"/>
          <w:lang w:val="en-US"/>
        </w:rPr>
        <w:t xml:space="preserve">) </w:t>
      </w:r>
      <w:r w:rsidR="00CF7C2C" w:rsidRPr="00EA0CBF">
        <w:rPr>
          <w:rFonts w:ascii="Arial" w:hAnsi="Arial" w:cs="Arial"/>
          <w:color w:val="000000" w:themeColor="text1"/>
          <w:sz w:val="22"/>
          <w:szCs w:val="22"/>
        </w:rPr>
        <w:t xml:space="preserve">the </w:t>
      </w:r>
      <w:r w:rsidR="007A775F" w:rsidRPr="00EA0CBF">
        <w:rPr>
          <w:rFonts w:ascii="Arial" w:hAnsi="Arial" w:cs="Arial"/>
          <w:color w:val="000000" w:themeColor="text1"/>
          <w:sz w:val="22"/>
          <w:szCs w:val="22"/>
          <w:lang w:val="en-US"/>
        </w:rPr>
        <w:t>“</w:t>
      </w:r>
      <w:r w:rsidR="00CF7C2C" w:rsidRPr="00EA0CBF">
        <w:rPr>
          <w:rFonts w:ascii="Arial" w:hAnsi="Arial" w:cs="Arial"/>
          <w:color w:val="000000" w:themeColor="text1"/>
          <w:sz w:val="22"/>
          <w:szCs w:val="22"/>
        </w:rPr>
        <w:t>excessive</w:t>
      </w:r>
      <w:r w:rsidR="007A775F" w:rsidRPr="00EA0CBF">
        <w:rPr>
          <w:rFonts w:ascii="Arial" w:hAnsi="Arial" w:cs="Arial"/>
          <w:color w:val="000000" w:themeColor="text1"/>
          <w:sz w:val="22"/>
          <w:szCs w:val="22"/>
          <w:lang w:val="en-US"/>
        </w:rPr>
        <w:t>”</w:t>
      </w:r>
      <w:r w:rsidR="00CF7C2C" w:rsidRPr="00EA0CBF">
        <w:rPr>
          <w:rFonts w:ascii="Arial" w:hAnsi="Arial" w:cs="Arial"/>
          <w:color w:val="000000" w:themeColor="text1"/>
          <w:sz w:val="22"/>
          <w:szCs w:val="22"/>
        </w:rPr>
        <w:t xml:space="preserve"> nature of the price invoiced for the </w:t>
      </w:r>
      <w:r w:rsidR="007A775F" w:rsidRPr="00EA0CBF">
        <w:rPr>
          <w:rFonts w:ascii="Arial" w:hAnsi="Arial" w:cs="Arial"/>
          <w:color w:val="000000" w:themeColor="text1"/>
          <w:sz w:val="22"/>
          <w:szCs w:val="22"/>
          <w:lang w:val="en-US"/>
        </w:rPr>
        <w:t xml:space="preserve">advertising </w:t>
      </w:r>
      <w:r w:rsidR="00CF7C2C" w:rsidRPr="00EA0CBF">
        <w:rPr>
          <w:rFonts w:ascii="Arial" w:hAnsi="Arial" w:cs="Arial"/>
          <w:color w:val="000000" w:themeColor="text1"/>
          <w:sz w:val="22"/>
          <w:szCs w:val="22"/>
        </w:rPr>
        <w:t xml:space="preserve">services </w:t>
      </w:r>
      <w:r w:rsidR="007A775F" w:rsidRPr="00EA0CBF">
        <w:rPr>
          <w:rFonts w:ascii="Arial" w:hAnsi="Arial" w:cs="Arial"/>
          <w:color w:val="000000" w:themeColor="text1"/>
          <w:sz w:val="22"/>
          <w:szCs w:val="22"/>
          <w:lang w:val="en-US"/>
        </w:rPr>
        <w:t>and (ii)</w:t>
      </w:r>
      <w:r w:rsidR="00CF7C2C" w:rsidRPr="00EA0CBF">
        <w:rPr>
          <w:rFonts w:ascii="Arial" w:hAnsi="Arial" w:cs="Arial"/>
          <w:color w:val="000000" w:themeColor="text1"/>
          <w:sz w:val="22"/>
          <w:szCs w:val="22"/>
        </w:rPr>
        <w:t xml:space="preserve"> </w:t>
      </w:r>
      <w:r w:rsidR="007A775F" w:rsidRPr="00EA0CBF">
        <w:rPr>
          <w:rFonts w:ascii="Arial" w:hAnsi="Arial" w:cs="Arial"/>
          <w:color w:val="000000" w:themeColor="text1"/>
          <w:sz w:val="22"/>
          <w:szCs w:val="22"/>
          <w:lang w:val="en-US"/>
        </w:rPr>
        <w:t xml:space="preserve">of </w:t>
      </w:r>
      <w:r w:rsidR="00CF7C2C" w:rsidRPr="00EA0CBF">
        <w:rPr>
          <w:rFonts w:ascii="Arial" w:hAnsi="Arial" w:cs="Arial"/>
          <w:color w:val="000000" w:themeColor="text1"/>
          <w:sz w:val="22"/>
          <w:szCs w:val="22"/>
        </w:rPr>
        <w:t xml:space="preserve">the fact that those services did not generate any increase in </w:t>
      </w:r>
      <w:r w:rsidR="005D25DC" w:rsidRPr="00EA0CBF">
        <w:rPr>
          <w:rFonts w:ascii="Arial" w:hAnsi="Arial" w:cs="Arial"/>
          <w:color w:val="000000" w:themeColor="text1"/>
          <w:sz w:val="22"/>
          <w:szCs w:val="22"/>
          <w:lang w:val="en-US"/>
        </w:rPr>
        <w:t>the taxable person</w:t>
      </w:r>
      <w:r w:rsidR="007A775F" w:rsidRPr="00EA0CBF">
        <w:rPr>
          <w:rFonts w:ascii="Arial" w:hAnsi="Arial" w:cs="Arial"/>
          <w:color w:val="000000" w:themeColor="text1"/>
          <w:sz w:val="22"/>
          <w:szCs w:val="22"/>
          <w:lang w:val="en-US"/>
        </w:rPr>
        <w:t>’s</w:t>
      </w:r>
      <w:r w:rsidR="00CF7C2C" w:rsidRPr="00EA0CBF">
        <w:rPr>
          <w:rFonts w:ascii="Arial" w:hAnsi="Arial" w:cs="Arial"/>
          <w:color w:val="000000" w:themeColor="text1"/>
          <w:sz w:val="22"/>
          <w:szCs w:val="22"/>
        </w:rPr>
        <w:t xml:space="preserve"> turnover</w:t>
      </w:r>
      <w:r w:rsidR="007A775F" w:rsidRPr="00EA0CBF">
        <w:rPr>
          <w:rFonts w:ascii="Arial" w:hAnsi="Arial" w:cs="Arial"/>
          <w:color w:val="000000" w:themeColor="text1"/>
          <w:sz w:val="22"/>
          <w:szCs w:val="22"/>
          <w:lang w:val="en-US"/>
        </w:rPr>
        <w:t>, the</w:t>
      </w:r>
      <w:r w:rsidR="007A775F" w:rsidRPr="00EA0CBF">
        <w:rPr>
          <w:rFonts w:ascii="Arial" w:hAnsi="Arial" w:cs="Arial"/>
          <w:color w:val="000000" w:themeColor="text1"/>
          <w:sz w:val="22"/>
          <w:szCs w:val="22"/>
        </w:rPr>
        <w:t xml:space="preserve"> VAT </w:t>
      </w:r>
      <w:r w:rsidR="007A775F" w:rsidRPr="00EA0CBF">
        <w:rPr>
          <w:rFonts w:ascii="Arial" w:hAnsi="Arial" w:cs="Arial"/>
          <w:color w:val="000000" w:themeColor="text1"/>
          <w:sz w:val="22"/>
          <w:szCs w:val="22"/>
          <w:lang w:val="en-US"/>
        </w:rPr>
        <w:t xml:space="preserve">incurred </w:t>
      </w:r>
      <w:r w:rsidR="007A775F" w:rsidRPr="00EA0CBF">
        <w:rPr>
          <w:rFonts w:ascii="Arial" w:hAnsi="Arial" w:cs="Arial"/>
          <w:color w:val="000000" w:themeColor="text1"/>
          <w:sz w:val="22"/>
          <w:szCs w:val="22"/>
        </w:rPr>
        <w:t>in respect of those services</w:t>
      </w:r>
      <w:r w:rsidR="007A775F" w:rsidRPr="00EA0CBF">
        <w:rPr>
          <w:rFonts w:ascii="Arial" w:hAnsi="Arial" w:cs="Arial"/>
          <w:color w:val="000000" w:themeColor="text1"/>
          <w:sz w:val="22"/>
          <w:szCs w:val="22"/>
          <w:lang w:val="en-US"/>
        </w:rPr>
        <w:t xml:space="preserve"> should</w:t>
      </w:r>
      <w:r w:rsidR="00AD03DF" w:rsidRPr="00EA0CBF">
        <w:rPr>
          <w:rFonts w:ascii="Arial" w:hAnsi="Arial" w:cs="Arial"/>
          <w:color w:val="000000" w:themeColor="text1"/>
          <w:sz w:val="22"/>
          <w:szCs w:val="22"/>
          <w:lang w:val="en-US"/>
        </w:rPr>
        <w:t>, pursuant to a correct interpretation of Article 168 of the VAT Directive,</w:t>
      </w:r>
      <w:r w:rsidR="007A775F" w:rsidRPr="00EA0CBF">
        <w:rPr>
          <w:rFonts w:ascii="Arial" w:hAnsi="Arial" w:cs="Arial"/>
          <w:color w:val="000000" w:themeColor="text1"/>
          <w:sz w:val="22"/>
          <w:szCs w:val="22"/>
          <w:lang w:val="en-US"/>
        </w:rPr>
        <w:t xml:space="preserve"> be considered as non</w:t>
      </w:r>
      <w:r w:rsidR="00AD03DF" w:rsidRPr="00EA0CBF">
        <w:rPr>
          <w:rFonts w:ascii="Arial" w:hAnsi="Arial" w:cs="Arial"/>
          <w:color w:val="000000" w:themeColor="text1"/>
          <w:sz w:val="22"/>
          <w:szCs w:val="22"/>
          <w:lang w:val="en-US"/>
        </w:rPr>
        <w:t>-</w:t>
      </w:r>
      <w:r w:rsidR="007A775F" w:rsidRPr="00EA0CBF">
        <w:rPr>
          <w:rFonts w:ascii="Arial" w:hAnsi="Arial" w:cs="Arial"/>
          <w:color w:val="000000" w:themeColor="text1"/>
          <w:sz w:val="22"/>
          <w:szCs w:val="22"/>
          <w:lang w:val="en-US"/>
        </w:rPr>
        <w:t>deductible.</w:t>
      </w:r>
    </w:p>
    <w:p w14:paraId="4F940BCA" w14:textId="48C78BF5" w:rsidR="00CF7C2C" w:rsidRPr="00EA0CBF" w:rsidRDefault="00AD03DF" w:rsidP="006E45F3">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lastRenderedPageBreak/>
        <w:t>To answer</w:t>
      </w:r>
      <w:r w:rsidR="007A775F" w:rsidRPr="00EA0CBF">
        <w:rPr>
          <w:rFonts w:ascii="Arial" w:hAnsi="Arial" w:cs="Arial"/>
          <w:color w:val="000000" w:themeColor="text1"/>
          <w:sz w:val="22"/>
          <w:szCs w:val="22"/>
          <w:lang w:val="en-US"/>
        </w:rPr>
        <w:t xml:space="preserve"> this question t</w:t>
      </w:r>
      <w:r w:rsidR="00013DD2" w:rsidRPr="00EA0CBF">
        <w:rPr>
          <w:rFonts w:ascii="Arial" w:hAnsi="Arial" w:cs="Arial"/>
          <w:color w:val="000000" w:themeColor="text1"/>
          <w:sz w:val="22"/>
          <w:szCs w:val="22"/>
          <w:lang w:val="en-US"/>
        </w:rPr>
        <w:t>he CJEU recall</w:t>
      </w:r>
      <w:r w:rsidR="00EF0701" w:rsidRPr="00EA0CBF">
        <w:rPr>
          <w:rFonts w:ascii="Arial" w:hAnsi="Arial" w:cs="Arial"/>
          <w:color w:val="000000" w:themeColor="text1"/>
          <w:sz w:val="22"/>
          <w:szCs w:val="22"/>
          <w:lang w:val="en-US"/>
        </w:rPr>
        <w:t>s</w:t>
      </w:r>
      <w:r w:rsidRPr="00EA0CBF">
        <w:rPr>
          <w:rFonts w:ascii="Arial" w:hAnsi="Arial" w:cs="Arial"/>
          <w:color w:val="000000" w:themeColor="text1"/>
          <w:sz w:val="22"/>
          <w:szCs w:val="22"/>
          <w:lang w:val="en-US"/>
        </w:rPr>
        <w:t>,</w:t>
      </w:r>
      <w:r w:rsidR="00013DD2" w:rsidRPr="00EA0CBF">
        <w:rPr>
          <w:rFonts w:ascii="Arial" w:hAnsi="Arial" w:cs="Arial"/>
          <w:color w:val="000000" w:themeColor="text1"/>
          <w:sz w:val="22"/>
          <w:szCs w:val="22"/>
          <w:lang w:val="en-US"/>
        </w:rPr>
        <w:t xml:space="preserve"> first, that</w:t>
      </w:r>
      <w:r w:rsidR="00CF7C2C" w:rsidRPr="00EA0CBF">
        <w:rPr>
          <w:rFonts w:ascii="Arial" w:hAnsi="Arial" w:cs="Arial"/>
          <w:color w:val="000000" w:themeColor="text1"/>
          <w:sz w:val="22"/>
          <w:szCs w:val="22"/>
        </w:rPr>
        <w:t xml:space="preserve"> the fact that the price paid for an economic transaction is higher or lower than the cost price</w:t>
      </w:r>
      <w:r w:rsidR="00501686" w:rsidRPr="00EA0CBF">
        <w:rPr>
          <w:rFonts w:ascii="Arial" w:hAnsi="Arial" w:cs="Arial"/>
          <w:color w:val="000000" w:themeColor="text1"/>
          <w:sz w:val="22"/>
          <w:szCs w:val="22"/>
          <w:lang w:val="en-US"/>
        </w:rPr>
        <w:t xml:space="preserve"> </w:t>
      </w:r>
      <w:r w:rsidR="00CF7C2C" w:rsidRPr="00EA0CBF">
        <w:rPr>
          <w:rFonts w:ascii="Arial" w:hAnsi="Arial" w:cs="Arial"/>
          <w:color w:val="000000" w:themeColor="text1"/>
          <w:sz w:val="22"/>
          <w:szCs w:val="22"/>
        </w:rPr>
        <w:t xml:space="preserve">is irrelevant since that circumstance </w:t>
      </w:r>
      <w:r w:rsidRPr="00EA0CBF">
        <w:rPr>
          <w:rFonts w:ascii="Arial" w:hAnsi="Arial" w:cs="Arial"/>
          <w:color w:val="000000" w:themeColor="text1"/>
          <w:sz w:val="22"/>
          <w:szCs w:val="22"/>
          <w:lang w:val="en-US"/>
        </w:rPr>
        <w:t>does not</w:t>
      </w:r>
      <w:r w:rsidR="00CF7C2C" w:rsidRPr="00EA0CBF">
        <w:rPr>
          <w:rFonts w:ascii="Arial" w:hAnsi="Arial" w:cs="Arial"/>
          <w:color w:val="000000" w:themeColor="text1"/>
          <w:sz w:val="22"/>
          <w:szCs w:val="22"/>
        </w:rPr>
        <w:t xml:space="preserve"> affect the direct link between the services supplied or to be supplied and the consideration received or to be received, the amount of which is determined in advance and according to well-established criteria.</w:t>
      </w:r>
      <w:r w:rsidR="00013DD2" w:rsidRPr="00EA0CBF">
        <w:rPr>
          <w:rStyle w:val="FootnoteReference"/>
          <w:rFonts w:ascii="Arial" w:hAnsi="Arial" w:cs="Arial"/>
          <w:color w:val="000000" w:themeColor="text1"/>
          <w:sz w:val="22"/>
          <w:szCs w:val="22"/>
        </w:rPr>
        <w:footnoteReference w:id="35"/>
      </w:r>
      <w:r w:rsidR="00013DD2" w:rsidRPr="00EA0CBF">
        <w:rPr>
          <w:rFonts w:ascii="Arial" w:hAnsi="Arial" w:cs="Arial"/>
          <w:color w:val="000000" w:themeColor="text1"/>
          <w:sz w:val="22"/>
          <w:szCs w:val="22"/>
          <w:lang w:val="en-US"/>
        </w:rPr>
        <w:t xml:space="preserve"> Second, the CJEU also recall</w:t>
      </w:r>
      <w:r w:rsidR="005D5DDB">
        <w:rPr>
          <w:rFonts w:ascii="Arial" w:hAnsi="Arial" w:cs="Arial"/>
          <w:color w:val="000000" w:themeColor="text1"/>
          <w:sz w:val="22"/>
          <w:szCs w:val="22"/>
          <w:lang w:val="en-US"/>
        </w:rPr>
        <w:t>s</w:t>
      </w:r>
      <w:r w:rsidR="00013DD2" w:rsidRPr="00EA0CBF">
        <w:rPr>
          <w:rFonts w:ascii="Arial" w:hAnsi="Arial" w:cs="Arial"/>
          <w:color w:val="000000" w:themeColor="text1"/>
          <w:sz w:val="22"/>
          <w:szCs w:val="22"/>
          <w:lang w:val="en-US"/>
        </w:rPr>
        <w:t xml:space="preserve"> that </w:t>
      </w:r>
      <w:r w:rsidR="00501686" w:rsidRPr="00EA0CBF">
        <w:rPr>
          <w:rFonts w:ascii="Arial" w:hAnsi="Arial" w:cs="Arial"/>
          <w:color w:val="000000" w:themeColor="text1"/>
          <w:sz w:val="22"/>
          <w:szCs w:val="22"/>
          <w:lang w:val="en-US"/>
        </w:rPr>
        <w:t xml:space="preserve">the right to deduct can be exercised in </w:t>
      </w:r>
      <w:r w:rsidR="00CF7C2C" w:rsidRPr="00EA0CBF">
        <w:rPr>
          <w:rFonts w:ascii="Arial" w:hAnsi="Arial" w:cs="Arial"/>
          <w:color w:val="000000" w:themeColor="text1"/>
          <w:sz w:val="22"/>
          <w:szCs w:val="22"/>
        </w:rPr>
        <w:t xml:space="preserve">respect of all the taxes charged on input transactions. </w:t>
      </w:r>
      <w:r w:rsidR="005D25DC" w:rsidRPr="00EA0CBF">
        <w:rPr>
          <w:rFonts w:ascii="Arial" w:hAnsi="Arial" w:cs="Arial"/>
          <w:color w:val="000000" w:themeColor="text1"/>
          <w:sz w:val="22"/>
          <w:szCs w:val="22"/>
          <w:lang w:val="en-US"/>
        </w:rPr>
        <w:t>And t</w:t>
      </w:r>
      <w:r w:rsidR="00CF7C2C" w:rsidRPr="00EA0CBF">
        <w:rPr>
          <w:rFonts w:ascii="Arial" w:hAnsi="Arial" w:cs="Arial"/>
          <w:color w:val="000000" w:themeColor="text1"/>
          <w:sz w:val="22"/>
          <w:szCs w:val="22"/>
        </w:rPr>
        <w:t>he</w:t>
      </w:r>
      <w:r w:rsidR="00501686" w:rsidRPr="00EA0CBF">
        <w:rPr>
          <w:rFonts w:ascii="Arial" w:hAnsi="Arial" w:cs="Arial"/>
          <w:color w:val="000000" w:themeColor="text1"/>
          <w:sz w:val="22"/>
          <w:szCs w:val="22"/>
          <w:lang w:val="en-US"/>
        </w:rPr>
        <w:t>re again</w:t>
      </w:r>
      <w:r w:rsidR="005D25DC" w:rsidRPr="00EA0CBF">
        <w:rPr>
          <w:rFonts w:ascii="Arial" w:hAnsi="Arial" w:cs="Arial"/>
          <w:color w:val="000000" w:themeColor="text1"/>
          <w:sz w:val="22"/>
          <w:szCs w:val="22"/>
          <w:lang w:val="en-US"/>
        </w:rPr>
        <w:t>,</w:t>
      </w:r>
      <w:r w:rsidR="00501686" w:rsidRPr="00EA0CBF">
        <w:rPr>
          <w:rFonts w:ascii="Arial" w:hAnsi="Arial" w:cs="Arial"/>
          <w:color w:val="000000" w:themeColor="text1"/>
          <w:sz w:val="22"/>
          <w:szCs w:val="22"/>
          <w:lang w:val="en-US"/>
        </w:rPr>
        <w:t xml:space="preserve"> the</w:t>
      </w:r>
      <w:r w:rsidR="00CF7C2C" w:rsidRPr="00EA0CBF">
        <w:rPr>
          <w:rFonts w:ascii="Arial" w:hAnsi="Arial" w:cs="Arial"/>
          <w:color w:val="000000" w:themeColor="text1"/>
          <w:sz w:val="22"/>
          <w:szCs w:val="22"/>
        </w:rPr>
        <w:t xml:space="preserve"> taxable amount is the consideration established between the parties and paid to the supplier, and not an objective value, such as the market value or a reference value determined by the tax authorities.</w:t>
      </w:r>
      <w:r w:rsidR="00501686" w:rsidRPr="00EA0CBF">
        <w:rPr>
          <w:rStyle w:val="FootnoteReference"/>
          <w:rFonts w:ascii="Arial" w:hAnsi="Arial" w:cs="Arial"/>
          <w:color w:val="000000" w:themeColor="text1"/>
          <w:sz w:val="22"/>
          <w:szCs w:val="22"/>
        </w:rPr>
        <w:footnoteReference w:id="36"/>
      </w:r>
    </w:p>
    <w:p w14:paraId="5A748CDC" w14:textId="6E0490B0" w:rsidR="006B0551" w:rsidRPr="00EA0CBF" w:rsidRDefault="005D25DC" w:rsidP="006E45F3">
      <w:pPr>
        <w:pStyle w:val="c01pointnumerotealtn"/>
        <w:spacing w:after="240" w:afterAutospacing="0"/>
        <w:jc w:val="both"/>
        <w:rPr>
          <w:rFonts w:ascii="Arial" w:hAnsi="Arial" w:cs="Arial"/>
          <w:color w:val="000000" w:themeColor="text1"/>
          <w:sz w:val="22"/>
          <w:szCs w:val="22"/>
        </w:rPr>
      </w:pPr>
      <w:r w:rsidRPr="00EA0CBF">
        <w:rPr>
          <w:rFonts w:ascii="Arial" w:hAnsi="Arial" w:cs="Arial"/>
          <w:color w:val="000000" w:themeColor="text1"/>
          <w:sz w:val="22"/>
          <w:szCs w:val="22"/>
          <w:lang w:val="en-US"/>
        </w:rPr>
        <w:t>Based on the above</w:t>
      </w:r>
      <w:r w:rsidR="00B6200F"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the</w:t>
      </w:r>
      <w:r w:rsidR="00501686" w:rsidRPr="00EA0CBF">
        <w:rPr>
          <w:rFonts w:ascii="Arial" w:hAnsi="Arial" w:cs="Arial"/>
          <w:color w:val="000000" w:themeColor="text1"/>
          <w:sz w:val="22"/>
          <w:szCs w:val="22"/>
          <w:lang w:val="en-US"/>
        </w:rPr>
        <w:t xml:space="preserve"> CJEU importantly decides that whereas VAT incurred on expenditure that is not strictly business related </w:t>
      </w:r>
      <w:r w:rsidR="00450F7B" w:rsidRPr="00EA0CBF">
        <w:rPr>
          <w:rFonts w:ascii="Arial" w:hAnsi="Arial" w:cs="Arial"/>
          <w:color w:val="000000" w:themeColor="text1"/>
          <w:sz w:val="22"/>
          <w:szCs w:val="22"/>
          <w:lang w:val="en-US"/>
        </w:rPr>
        <w:t xml:space="preserve">(such as entertainment expenditure) </w:t>
      </w:r>
      <w:r w:rsidR="00501686" w:rsidRPr="00EA0CBF">
        <w:rPr>
          <w:rFonts w:ascii="Arial" w:hAnsi="Arial" w:cs="Arial"/>
          <w:color w:val="000000" w:themeColor="text1"/>
          <w:sz w:val="22"/>
          <w:szCs w:val="22"/>
          <w:lang w:val="en-US"/>
        </w:rPr>
        <w:t xml:space="preserve">cannot be deducted, </w:t>
      </w:r>
      <w:r w:rsidR="00CF7C2C" w:rsidRPr="00EA0CBF">
        <w:rPr>
          <w:rFonts w:ascii="Arial" w:hAnsi="Arial" w:cs="Arial"/>
          <w:color w:val="000000" w:themeColor="text1"/>
          <w:sz w:val="22"/>
          <w:szCs w:val="22"/>
        </w:rPr>
        <w:t>neither Article 168(a) nor the first paragraph of Article 176 of the Directive make the exercise of the right to deduct subject to a criterion relating to an increase in the taxable person’s turnover or, more generally, to a criterion of economic profitability of the input transaction.</w:t>
      </w:r>
      <w:r w:rsidR="00501686" w:rsidRPr="00EA0CBF">
        <w:rPr>
          <w:rStyle w:val="FootnoteReference"/>
          <w:rFonts w:ascii="Arial" w:hAnsi="Arial" w:cs="Arial"/>
          <w:color w:val="000000" w:themeColor="text1"/>
          <w:sz w:val="22"/>
          <w:szCs w:val="22"/>
        </w:rPr>
        <w:footnoteReference w:id="37"/>
      </w:r>
      <w:r w:rsidR="00AD03DF" w:rsidRPr="00EA0CBF">
        <w:rPr>
          <w:rFonts w:ascii="Arial" w:hAnsi="Arial" w:cs="Arial"/>
          <w:color w:val="000000" w:themeColor="text1"/>
          <w:sz w:val="22"/>
          <w:szCs w:val="22"/>
          <w:lang w:val="en-US"/>
        </w:rPr>
        <w:t xml:space="preserve"> </w:t>
      </w:r>
      <w:r w:rsidR="00501686" w:rsidRPr="00EA0CBF">
        <w:rPr>
          <w:rFonts w:ascii="Arial" w:hAnsi="Arial" w:cs="Arial"/>
          <w:color w:val="000000" w:themeColor="text1"/>
          <w:sz w:val="22"/>
          <w:szCs w:val="22"/>
          <w:lang w:val="en-US"/>
        </w:rPr>
        <w:t xml:space="preserve">What is needed is a </w:t>
      </w:r>
      <w:r w:rsidR="00CF7C2C" w:rsidRPr="00EA0CBF">
        <w:rPr>
          <w:rFonts w:ascii="Arial" w:hAnsi="Arial" w:cs="Arial"/>
          <w:color w:val="000000" w:themeColor="text1"/>
          <w:sz w:val="22"/>
          <w:szCs w:val="22"/>
        </w:rPr>
        <w:t>direct and immediate link between a particular input transaction and a particular output transaction or transactions giving rise to the right to deduct.</w:t>
      </w:r>
      <w:r w:rsidRPr="00EA0CBF">
        <w:rPr>
          <w:rFonts w:ascii="Arial" w:hAnsi="Arial" w:cs="Arial"/>
          <w:color w:val="000000" w:themeColor="text1"/>
          <w:sz w:val="22"/>
          <w:szCs w:val="22"/>
          <w:lang w:val="en-US"/>
        </w:rPr>
        <w:t xml:space="preserve"> On this question, and referring to previous case law, the CJEU decides that it belongs to the tax authorities to determine, taking </w:t>
      </w:r>
      <w:r w:rsidRPr="00EA0CBF">
        <w:rPr>
          <w:rFonts w:ascii="Arial" w:hAnsi="Arial" w:cs="Arial"/>
          <w:color w:val="000000" w:themeColor="text1"/>
          <w:sz w:val="22"/>
          <w:szCs w:val="22"/>
        </w:rPr>
        <w:t>into consideration all the circumstances surrounding the transactions concerned</w:t>
      </w:r>
      <w:r w:rsidRPr="00EA0CBF">
        <w:rPr>
          <w:rFonts w:ascii="Arial" w:hAnsi="Arial" w:cs="Arial"/>
          <w:color w:val="000000" w:themeColor="text1"/>
          <w:sz w:val="22"/>
          <w:szCs w:val="22"/>
          <w:lang w:val="en-US"/>
        </w:rPr>
        <w:t xml:space="preserve">, whether </w:t>
      </w:r>
      <w:r w:rsidR="00CF7C2C" w:rsidRPr="00EA0CBF">
        <w:rPr>
          <w:rFonts w:ascii="Arial" w:hAnsi="Arial" w:cs="Arial"/>
          <w:color w:val="000000" w:themeColor="text1"/>
          <w:sz w:val="22"/>
          <w:szCs w:val="22"/>
        </w:rPr>
        <w:t xml:space="preserve">the expenditure incurred in acquiring </w:t>
      </w:r>
      <w:r w:rsidRPr="00EA0CBF">
        <w:rPr>
          <w:rFonts w:ascii="Arial" w:hAnsi="Arial" w:cs="Arial"/>
          <w:color w:val="000000" w:themeColor="text1"/>
          <w:sz w:val="22"/>
          <w:szCs w:val="22"/>
          <w:lang w:val="en-US"/>
        </w:rPr>
        <w:t>the advertising</w:t>
      </w:r>
      <w:r w:rsidR="00CF7C2C" w:rsidRPr="00EA0CBF">
        <w:rPr>
          <w:rFonts w:ascii="Arial" w:hAnsi="Arial" w:cs="Arial"/>
          <w:color w:val="000000" w:themeColor="text1"/>
          <w:sz w:val="22"/>
          <w:szCs w:val="22"/>
        </w:rPr>
        <w:t xml:space="preserve"> services </w:t>
      </w:r>
      <w:r w:rsidRPr="00EA0CBF">
        <w:rPr>
          <w:rFonts w:ascii="Arial" w:hAnsi="Arial" w:cs="Arial"/>
          <w:color w:val="000000" w:themeColor="text1"/>
          <w:sz w:val="22"/>
          <w:szCs w:val="22"/>
          <w:lang w:val="en-US"/>
        </w:rPr>
        <w:t xml:space="preserve">at stake </w:t>
      </w:r>
      <w:r w:rsidR="00CF7C2C" w:rsidRPr="00EA0CBF">
        <w:rPr>
          <w:rFonts w:ascii="Arial" w:hAnsi="Arial" w:cs="Arial"/>
          <w:color w:val="000000" w:themeColor="text1"/>
          <w:sz w:val="22"/>
          <w:szCs w:val="22"/>
        </w:rPr>
        <w:t xml:space="preserve">was a component of the cost of the taxed output transactions </w:t>
      </w:r>
      <w:r w:rsidRPr="00EA0CBF">
        <w:rPr>
          <w:rFonts w:ascii="Arial" w:hAnsi="Arial" w:cs="Arial"/>
          <w:color w:val="000000" w:themeColor="text1"/>
          <w:sz w:val="22"/>
          <w:szCs w:val="22"/>
          <w:lang w:val="en-US"/>
        </w:rPr>
        <w:t xml:space="preserve">of </w:t>
      </w:r>
      <w:proofErr w:type="spellStart"/>
      <w:r w:rsidRPr="00EA0CBF">
        <w:rPr>
          <w:rFonts w:ascii="Arial" w:hAnsi="Arial" w:cs="Arial"/>
          <w:color w:val="000000" w:themeColor="text1"/>
          <w:sz w:val="22"/>
          <w:szCs w:val="22"/>
          <w:lang w:val="en-US"/>
        </w:rPr>
        <w:t>Amper</w:t>
      </w:r>
      <w:proofErr w:type="spellEnd"/>
      <w:r w:rsidRPr="00EA0CBF">
        <w:rPr>
          <w:rFonts w:ascii="Arial" w:hAnsi="Arial" w:cs="Arial"/>
          <w:color w:val="000000" w:themeColor="text1"/>
          <w:sz w:val="22"/>
          <w:szCs w:val="22"/>
          <w:lang w:val="en-US"/>
        </w:rPr>
        <w:t xml:space="preserve"> Metal</w:t>
      </w:r>
      <w:r w:rsidR="00382AC0" w:rsidRPr="00EA0CBF">
        <w:rPr>
          <w:rFonts w:ascii="Arial" w:hAnsi="Arial" w:cs="Arial"/>
          <w:color w:val="000000" w:themeColor="text1"/>
          <w:sz w:val="22"/>
          <w:szCs w:val="22"/>
          <w:lang w:val="en-US"/>
        </w:rPr>
        <w:t>,</w:t>
      </w:r>
      <w:r w:rsidR="00501686" w:rsidRPr="00EA0CBF">
        <w:rPr>
          <w:rStyle w:val="FootnoteReference"/>
          <w:rFonts w:ascii="Arial" w:hAnsi="Arial" w:cs="Arial"/>
          <w:color w:val="000000" w:themeColor="text1"/>
          <w:sz w:val="22"/>
          <w:szCs w:val="22"/>
        </w:rPr>
        <w:footnoteReference w:id="38"/>
      </w:r>
      <w:r w:rsidR="00382AC0" w:rsidRPr="00EA0CBF">
        <w:rPr>
          <w:rFonts w:ascii="Arial" w:hAnsi="Arial" w:cs="Arial"/>
          <w:color w:val="000000" w:themeColor="text1"/>
          <w:sz w:val="22"/>
          <w:szCs w:val="22"/>
          <w:lang w:val="en-US"/>
        </w:rPr>
        <w:t xml:space="preserve"> or was</w:t>
      </w:r>
      <w:r w:rsidR="00382AC0" w:rsidRPr="00EA0CBF">
        <w:rPr>
          <w:rFonts w:ascii="Arial" w:hAnsi="Arial" w:cs="Arial"/>
          <w:color w:val="000000" w:themeColor="text1"/>
          <w:sz w:val="22"/>
          <w:szCs w:val="22"/>
        </w:rPr>
        <w:t xml:space="preserve"> part of </w:t>
      </w:r>
      <w:r w:rsidRPr="00EA0CBF">
        <w:rPr>
          <w:rFonts w:ascii="Arial" w:hAnsi="Arial" w:cs="Arial"/>
          <w:color w:val="000000" w:themeColor="text1"/>
          <w:sz w:val="22"/>
          <w:szCs w:val="22"/>
          <w:lang w:val="en-US"/>
        </w:rPr>
        <w:t>its</w:t>
      </w:r>
      <w:r w:rsidR="00382AC0" w:rsidRPr="00EA0CBF">
        <w:rPr>
          <w:rFonts w:ascii="Arial" w:hAnsi="Arial" w:cs="Arial"/>
          <w:color w:val="000000" w:themeColor="text1"/>
          <w:sz w:val="22"/>
          <w:szCs w:val="22"/>
        </w:rPr>
        <w:t xml:space="preserve"> general costs </w:t>
      </w:r>
      <w:r w:rsidR="00382AC0" w:rsidRPr="00EA0CBF">
        <w:rPr>
          <w:rFonts w:ascii="Arial" w:hAnsi="Arial" w:cs="Arial"/>
          <w:color w:val="000000" w:themeColor="text1"/>
          <w:sz w:val="22"/>
          <w:szCs w:val="22"/>
          <w:lang w:val="en-US"/>
        </w:rPr>
        <w:t>having a</w:t>
      </w:r>
      <w:r w:rsidR="00382AC0" w:rsidRPr="00EA0CBF">
        <w:rPr>
          <w:rFonts w:ascii="Arial" w:hAnsi="Arial" w:cs="Arial"/>
          <w:color w:val="000000" w:themeColor="text1"/>
          <w:sz w:val="22"/>
          <w:szCs w:val="22"/>
        </w:rPr>
        <w:t xml:space="preserve"> direct and immediate link with </w:t>
      </w:r>
      <w:r w:rsidRPr="00EA0CBF">
        <w:rPr>
          <w:rFonts w:ascii="Arial" w:hAnsi="Arial" w:cs="Arial"/>
          <w:color w:val="000000" w:themeColor="text1"/>
          <w:sz w:val="22"/>
          <w:szCs w:val="22"/>
          <w:lang w:val="en-US"/>
        </w:rPr>
        <w:t>its</w:t>
      </w:r>
      <w:r w:rsidR="00382AC0" w:rsidRPr="00EA0CBF">
        <w:rPr>
          <w:rFonts w:ascii="Arial" w:hAnsi="Arial" w:cs="Arial"/>
          <w:color w:val="000000" w:themeColor="text1"/>
          <w:sz w:val="22"/>
          <w:szCs w:val="22"/>
        </w:rPr>
        <w:t xml:space="preserve"> economic activity as a whole</w:t>
      </w:r>
      <w:r w:rsidRPr="00EA0CBF">
        <w:rPr>
          <w:rFonts w:ascii="Arial" w:hAnsi="Arial" w:cs="Arial"/>
          <w:color w:val="000000" w:themeColor="text1"/>
          <w:sz w:val="22"/>
          <w:szCs w:val="22"/>
          <w:lang w:val="en-US"/>
        </w:rPr>
        <w:t>.</w:t>
      </w:r>
      <w:r w:rsidR="00382AC0" w:rsidRPr="00EA0CBF">
        <w:rPr>
          <w:rStyle w:val="FootnoteReference"/>
          <w:rFonts w:ascii="Arial" w:hAnsi="Arial" w:cs="Arial"/>
          <w:color w:val="000000" w:themeColor="text1"/>
          <w:sz w:val="22"/>
          <w:szCs w:val="22"/>
        </w:rPr>
        <w:footnoteReference w:id="39"/>
      </w:r>
      <w:r w:rsidRPr="00EA0CBF">
        <w:rPr>
          <w:rFonts w:ascii="Arial" w:hAnsi="Arial" w:cs="Arial"/>
          <w:color w:val="000000" w:themeColor="text1"/>
          <w:sz w:val="22"/>
          <w:szCs w:val="22"/>
          <w:lang w:val="en-US"/>
        </w:rPr>
        <w:t xml:space="preserve"> </w:t>
      </w:r>
      <w:r w:rsidR="00AD03DF" w:rsidRPr="00EA0CBF">
        <w:rPr>
          <w:rFonts w:ascii="Arial" w:hAnsi="Arial" w:cs="Arial"/>
          <w:color w:val="000000" w:themeColor="text1"/>
          <w:sz w:val="22"/>
          <w:szCs w:val="22"/>
          <w:lang w:val="en-US"/>
        </w:rPr>
        <w:t>The CJEU repeats that</w:t>
      </w:r>
      <w:r w:rsidR="00C12AFA" w:rsidRPr="00EA0CBF">
        <w:rPr>
          <w:rFonts w:ascii="Arial" w:hAnsi="Arial" w:cs="Arial"/>
          <w:color w:val="000000" w:themeColor="text1"/>
          <w:sz w:val="22"/>
          <w:szCs w:val="22"/>
          <w:lang w:val="en-US"/>
        </w:rPr>
        <w:t xml:space="preserve">, in </w:t>
      </w:r>
      <w:r w:rsidR="00CF7C2C" w:rsidRPr="00EA0CBF">
        <w:rPr>
          <w:rFonts w:ascii="Arial" w:hAnsi="Arial" w:cs="Arial"/>
          <w:color w:val="000000" w:themeColor="text1"/>
          <w:sz w:val="22"/>
          <w:szCs w:val="22"/>
        </w:rPr>
        <w:t xml:space="preserve">the context of that assessment, the </w:t>
      </w:r>
      <w:r w:rsidR="00C12AFA" w:rsidRPr="00EA0CBF">
        <w:rPr>
          <w:rFonts w:ascii="Arial" w:hAnsi="Arial" w:cs="Arial"/>
          <w:color w:val="000000" w:themeColor="text1"/>
          <w:sz w:val="22"/>
          <w:szCs w:val="22"/>
          <w:lang w:val="en-US"/>
        </w:rPr>
        <w:t xml:space="preserve">mere </w:t>
      </w:r>
      <w:r w:rsidR="00CF7C2C" w:rsidRPr="00EA0CBF">
        <w:rPr>
          <w:rFonts w:ascii="Arial" w:hAnsi="Arial" w:cs="Arial"/>
          <w:color w:val="000000" w:themeColor="text1"/>
          <w:sz w:val="22"/>
          <w:szCs w:val="22"/>
        </w:rPr>
        <w:t>absence of an increase in the turnover of the taxable person cannot affect the exercise of the right to deduct.</w:t>
      </w:r>
      <w:r w:rsidR="00C12AFA" w:rsidRPr="00EA0CBF">
        <w:rPr>
          <w:rStyle w:val="FootnoteReference"/>
          <w:rFonts w:ascii="Arial" w:hAnsi="Arial" w:cs="Arial"/>
          <w:color w:val="000000" w:themeColor="text1"/>
          <w:sz w:val="22"/>
          <w:szCs w:val="22"/>
        </w:rPr>
        <w:footnoteReference w:id="40"/>
      </w:r>
      <w:r w:rsidR="00AD03DF" w:rsidRPr="00EA0CBF">
        <w:rPr>
          <w:rFonts w:ascii="Arial" w:hAnsi="Arial" w:cs="Arial"/>
          <w:color w:val="000000" w:themeColor="text1"/>
          <w:sz w:val="22"/>
          <w:szCs w:val="22"/>
          <w:lang w:val="en-US"/>
        </w:rPr>
        <w:t xml:space="preserve"> What matters is whether </w:t>
      </w:r>
      <w:proofErr w:type="spellStart"/>
      <w:r w:rsidR="00AD03DF" w:rsidRPr="00EA0CBF">
        <w:rPr>
          <w:rFonts w:ascii="Arial" w:hAnsi="Arial" w:cs="Arial"/>
          <w:color w:val="000000" w:themeColor="text1"/>
          <w:sz w:val="22"/>
          <w:szCs w:val="22"/>
          <w:lang w:val="en-US"/>
        </w:rPr>
        <w:t>Amper</w:t>
      </w:r>
      <w:proofErr w:type="spellEnd"/>
      <w:r w:rsidR="00AD03DF" w:rsidRPr="00EA0CBF">
        <w:rPr>
          <w:rFonts w:ascii="Arial" w:hAnsi="Arial" w:cs="Arial"/>
          <w:color w:val="000000" w:themeColor="text1"/>
          <w:sz w:val="22"/>
          <w:szCs w:val="22"/>
          <w:lang w:val="en-US"/>
        </w:rPr>
        <w:t xml:space="preserve"> Metal made the expense with the intention to </w:t>
      </w:r>
      <w:r w:rsidR="00C25116" w:rsidRPr="00EA0CBF">
        <w:rPr>
          <w:rFonts w:ascii="Arial" w:hAnsi="Arial" w:cs="Arial"/>
          <w:color w:val="000000" w:themeColor="text1"/>
          <w:sz w:val="22"/>
          <w:szCs w:val="22"/>
          <w:lang w:val="en-US"/>
        </w:rPr>
        <w:t>generate taxable sales.</w:t>
      </w:r>
      <w:r w:rsidR="006B0551" w:rsidRPr="00EA0CBF">
        <w:rPr>
          <w:rFonts w:ascii="Arial" w:hAnsi="Arial" w:cs="Arial"/>
          <w:color w:val="000000" w:themeColor="text1"/>
          <w:sz w:val="22"/>
          <w:szCs w:val="22"/>
          <w:lang w:val="en-US"/>
        </w:rPr>
        <w:t xml:space="preserve"> </w:t>
      </w:r>
      <w:r w:rsidR="00AD03DF" w:rsidRPr="00EA0CBF">
        <w:rPr>
          <w:rFonts w:ascii="Arial" w:hAnsi="Arial" w:cs="Arial"/>
          <w:color w:val="000000" w:themeColor="text1"/>
          <w:sz w:val="22"/>
          <w:szCs w:val="22"/>
          <w:lang w:val="en-US"/>
        </w:rPr>
        <w:t>I</w:t>
      </w:r>
      <w:r w:rsidR="00055A9A" w:rsidRPr="00EA0CBF">
        <w:rPr>
          <w:rFonts w:ascii="Arial" w:hAnsi="Arial" w:cs="Arial"/>
          <w:color w:val="000000" w:themeColor="text1"/>
          <w:sz w:val="22"/>
          <w:szCs w:val="22"/>
          <w:lang w:val="en-US"/>
        </w:rPr>
        <w:t xml:space="preserve">n </w:t>
      </w:r>
      <w:r w:rsidR="00370337" w:rsidRPr="00EA0CBF">
        <w:rPr>
          <w:rFonts w:ascii="Arial" w:hAnsi="Arial" w:cs="Arial"/>
          <w:color w:val="000000" w:themeColor="text1"/>
          <w:sz w:val="22"/>
          <w:szCs w:val="22"/>
          <w:lang w:val="en-US"/>
        </w:rPr>
        <w:t>the words of the CJEU (</w:t>
      </w:r>
      <w:r w:rsidR="00055A9A" w:rsidRPr="00EA0CBF">
        <w:rPr>
          <w:rFonts w:ascii="Arial" w:hAnsi="Arial" w:cs="Arial"/>
          <w:color w:val="000000" w:themeColor="text1"/>
          <w:sz w:val="22"/>
          <w:szCs w:val="22"/>
          <w:lang w:val="en-US"/>
        </w:rPr>
        <w:t xml:space="preserve">paragraph 39 </w:t>
      </w:r>
      <w:r w:rsidR="00AD03DF" w:rsidRPr="00EA0CBF">
        <w:rPr>
          <w:rFonts w:ascii="Arial" w:hAnsi="Arial" w:cs="Arial"/>
          <w:color w:val="000000" w:themeColor="text1"/>
          <w:sz w:val="22"/>
          <w:szCs w:val="22"/>
          <w:lang w:val="en-US"/>
        </w:rPr>
        <w:t>of the decision</w:t>
      </w:r>
      <w:r w:rsidR="00370337" w:rsidRPr="00EA0CBF">
        <w:rPr>
          <w:rFonts w:ascii="Arial" w:hAnsi="Arial" w:cs="Arial"/>
          <w:color w:val="000000" w:themeColor="text1"/>
          <w:sz w:val="22"/>
          <w:szCs w:val="22"/>
          <w:lang w:val="en-US"/>
        </w:rPr>
        <w:t>,</w:t>
      </w:r>
      <w:r w:rsidR="00AD03DF" w:rsidRPr="00EA0CBF">
        <w:rPr>
          <w:rFonts w:ascii="Arial" w:hAnsi="Arial" w:cs="Arial"/>
          <w:color w:val="000000" w:themeColor="text1"/>
          <w:sz w:val="22"/>
          <w:szCs w:val="22"/>
          <w:lang w:val="en-US"/>
        </w:rPr>
        <w:t xml:space="preserve"> </w:t>
      </w:r>
      <w:r w:rsidR="00055A9A" w:rsidRPr="00EA0CBF">
        <w:rPr>
          <w:rFonts w:ascii="Arial" w:hAnsi="Arial" w:cs="Arial"/>
          <w:color w:val="000000" w:themeColor="text1"/>
          <w:sz w:val="22"/>
          <w:szCs w:val="22"/>
          <w:lang w:val="en-US"/>
        </w:rPr>
        <w:t xml:space="preserve">emphasis added): </w:t>
      </w:r>
    </w:p>
    <w:p w14:paraId="729F5A8D" w14:textId="5DCB4720" w:rsidR="00055A9A" w:rsidRPr="00EA0CBF" w:rsidRDefault="00055A9A" w:rsidP="006B0551">
      <w:pPr>
        <w:pStyle w:val="c01pointnumerotealtn"/>
        <w:spacing w:after="240" w:afterAutospacing="0"/>
        <w:ind w:left="360"/>
        <w:jc w:val="both"/>
        <w:rPr>
          <w:rFonts w:ascii="Arial" w:hAnsi="Arial" w:cs="Arial"/>
          <w:color w:val="000000" w:themeColor="text1"/>
          <w:sz w:val="18"/>
          <w:szCs w:val="18"/>
          <w:lang w:val="en-US"/>
        </w:rPr>
      </w:pPr>
      <w:r w:rsidRPr="00EA0CBF">
        <w:rPr>
          <w:rFonts w:ascii="Arial" w:hAnsi="Arial" w:cs="Arial"/>
          <w:color w:val="000000" w:themeColor="text1"/>
          <w:sz w:val="18"/>
          <w:szCs w:val="18"/>
          <w:lang w:val="en-US"/>
        </w:rPr>
        <w:t>“</w:t>
      </w:r>
      <w:r w:rsidRPr="00EA0CBF">
        <w:rPr>
          <w:rFonts w:ascii="Arial" w:hAnsi="Arial" w:cs="Arial"/>
          <w:color w:val="000000" w:themeColor="text1"/>
          <w:sz w:val="18"/>
          <w:szCs w:val="18"/>
        </w:rPr>
        <w:t xml:space="preserve">It will be for the referring court to determine, in particular, whether the affixing of advertising stickers to cars on the occasion of the motor racing championship at issue in the main proceedings was intended to promote the goods and services marketed by Amper Metal, so that it could be included among Amper Metal’s general costs, or whether, in contrast, the expenditure incurred on that occasion </w:t>
      </w:r>
      <w:r w:rsidRPr="00EA0CBF">
        <w:rPr>
          <w:rFonts w:ascii="Arial" w:hAnsi="Arial" w:cs="Arial"/>
          <w:color w:val="000000" w:themeColor="text1"/>
          <w:sz w:val="18"/>
          <w:szCs w:val="18"/>
          <w:u w:val="single"/>
        </w:rPr>
        <w:t>proves to be entirely unrelated to Amper Metal’s economic activity</w:t>
      </w:r>
      <w:r w:rsidRPr="00EA0CBF">
        <w:rPr>
          <w:rFonts w:ascii="Arial" w:hAnsi="Arial" w:cs="Arial"/>
          <w:color w:val="000000" w:themeColor="text1"/>
          <w:sz w:val="18"/>
          <w:szCs w:val="18"/>
        </w:rPr>
        <w:t>. In accordance with the finding in paragraph 35 above, the fact that the services acquired by Amper Metal did not lead to an increase in its turnover is irrelevant for the purposes of that assessment</w:t>
      </w:r>
      <w:r w:rsidRPr="00EA0CBF">
        <w:rPr>
          <w:rFonts w:ascii="Arial" w:hAnsi="Arial" w:cs="Arial"/>
          <w:color w:val="000000" w:themeColor="text1"/>
          <w:sz w:val="18"/>
          <w:szCs w:val="18"/>
          <w:lang w:val="en-US"/>
        </w:rPr>
        <w:t>”</w:t>
      </w:r>
      <w:r w:rsidRPr="00EA0CBF">
        <w:rPr>
          <w:rFonts w:ascii="Arial" w:hAnsi="Arial" w:cs="Arial"/>
          <w:color w:val="000000" w:themeColor="text1"/>
          <w:sz w:val="18"/>
          <w:szCs w:val="18"/>
        </w:rPr>
        <w:t>.</w:t>
      </w:r>
      <w:r w:rsidR="00450F7B" w:rsidRPr="00EA0CBF">
        <w:rPr>
          <w:rFonts w:ascii="Arial" w:hAnsi="Arial" w:cs="Arial"/>
          <w:color w:val="000000" w:themeColor="text1"/>
          <w:sz w:val="18"/>
          <w:szCs w:val="18"/>
          <w:lang w:val="en-US"/>
        </w:rPr>
        <w:t xml:space="preserve"> </w:t>
      </w:r>
    </w:p>
    <w:p w14:paraId="505079DE" w14:textId="63B053FB" w:rsidR="006B0551" w:rsidRPr="00EA0CBF" w:rsidRDefault="00B6200F" w:rsidP="006E45F3">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lastRenderedPageBreak/>
        <w:t xml:space="preserve">The operative part of the decision </w:t>
      </w:r>
      <w:r w:rsidR="00370337" w:rsidRPr="00EA0CBF">
        <w:rPr>
          <w:rFonts w:ascii="Arial" w:hAnsi="Arial" w:cs="Arial"/>
          <w:color w:val="000000" w:themeColor="text1"/>
          <w:sz w:val="22"/>
          <w:szCs w:val="22"/>
          <w:lang w:val="en-US"/>
        </w:rPr>
        <w:t xml:space="preserve">then </w:t>
      </w:r>
      <w:r w:rsidRPr="00EA0CBF">
        <w:rPr>
          <w:rFonts w:ascii="Arial" w:hAnsi="Arial" w:cs="Arial"/>
          <w:color w:val="000000" w:themeColor="text1"/>
          <w:sz w:val="22"/>
          <w:szCs w:val="22"/>
          <w:lang w:val="en-US"/>
        </w:rPr>
        <w:t>reads as follows</w:t>
      </w:r>
      <w:r w:rsidR="00055A9A" w:rsidRPr="00EA0CBF">
        <w:rPr>
          <w:rFonts w:ascii="Arial" w:hAnsi="Arial" w:cs="Arial"/>
          <w:color w:val="000000" w:themeColor="text1"/>
          <w:sz w:val="22"/>
          <w:szCs w:val="22"/>
          <w:lang w:val="en-US"/>
        </w:rPr>
        <w:t xml:space="preserve">: </w:t>
      </w:r>
    </w:p>
    <w:p w14:paraId="5F4B5E39" w14:textId="6895F7EF" w:rsidR="00370337" w:rsidRPr="00EA0CBF" w:rsidRDefault="00055A9A" w:rsidP="00370337">
      <w:pPr>
        <w:pStyle w:val="c01pointnumerotealtn"/>
        <w:spacing w:after="240" w:afterAutospacing="0"/>
        <w:ind w:left="360"/>
        <w:jc w:val="both"/>
        <w:rPr>
          <w:rFonts w:ascii="Arial" w:hAnsi="Arial" w:cs="Arial"/>
          <w:color w:val="000000" w:themeColor="text1"/>
          <w:sz w:val="18"/>
          <w:szCs w:val="18"/>
        </w:rPr>
      </w:pPr>
      <w:r w:rsidRPr="00EA0CBF">
        <w:rPr>
          <w:rFonts w:ascii="Arial" w:hAnsi="Arial" w:cs="Arial"/>
          <w:color w:val="000000" w:themeColor="text1"/>
          <w:sz w:val="18"/>
          <w:szCs w:val="18"/>
          <w:lang w:val="en-US"/>
        </w:rPr>
        <w:t>“</w:t>
      </w:r>
      <w:r w:rsidRPr="00EA0CBF">
        <w:rPr>
          <w:rFonts w:ascii="Arial" w:hAnsi="Arial" w:cs="Arial"/>
          <w:color w:val="000000" w:themeColor="text1"/>
          <w:sz w:val="18"/>
          <w:szCs w:val="18"/>
        </w:rPr>
        <w:t>In the light of all the foregoing considerations, it must be held that Article 168(a) of Council Directive 2006/112/EC of 28 November 2006 on the common system of value added tax must be interpreted as meaning that a taxable person may deduct input value added tax (VAT) in respect of advertising services where such a supply of services constitutes a transaction subject to VAT, within the meaning of Article 2 of Directive 2006/112, and where it has a direct and immediate link with one or more taxable output transactions or with the taxable person’s economic activity as a whole, under his or her general costs, without it being necessary to take into consideration the fact that the price invoiced for such services is excessive in relation to a reference value defined by the national tax authority or that those services have not given rise to an increase in that taxable person’s turnover</w:t>
      </w:r>
      <w:r w:rsidRPr="00EA0CBF">
        <w:rPr>
          <w:rFonts w:ascii="Arial" w:hAnsi="Arial" w:cs="Arial"/>
          <w:color w:val="000000" w:themeColor="text1"/>
          <w:sz w:val="18"/>
          <w:szCs w:val="18"/>
          <w:lang w:val="en-US"/>
        </w:rPr>
        <w:t>”</w:t>
      </w:r>
      <w:r w:rsidRPr="00EA0CBF">
        <w:rPr>
          <w:rFonts w:ascii="Arial" w:hAnsi="Arial" w:cs="Arial"/>
          <w:color w:val="000000" w:themeColor="text1"/>
          <w:sz w:val="18"/>
          <w:szCs w:val="18"/>
        </w:rPr>
        <w:t>.</w:t>
      </w:r>
    </w:p>
    <w:p w14:paraId="5C5579E4" w14:textId="77777777" w:rsidR="00AD53BE" w:rsidRPr="00EA0CBF" w:rsidRDefault="00AD53BE" w:rsidP="00370337">
      <w:pPr>
        <w:pStyle w:val="c01pointnumerotealtn"/>
        <w:spacing w:after="240" w:afterAutospacing="0"/>
        <w:ind w:left="360"/>
        <w:jc w:val="both"/>
        <w:rPr>
          <w:rFonts w:ascii="Arial" w:hAnsi="Arial" w:cs="Arial"/>
          <w:color w:val="000000" w:themeColor="text1"/>
          <w:sz w:val="18"/>
          <w:szCs w:val="18"/>
        </w:rPr>
      </w:pPr>
    </w:p>
    <w:p w14:paraId="69472921" w14:textId="50AAC47D" w:rsidR="00CF7C2C" w:rsidRPr="00EA0CBF" w:rsidRDefault="00400523" w:rsidP="00400523">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B43707">
        <w:rPr>
          <w:rFonts w:ascii="Arial" w:hAnsi="Arial" w:cs="Arial"/>
          <w:b/>
          <w:bCs/>
          <w:color w:val="FF0000"/>
          <w:sz w:val="22"/>
          <w:szCs w:val="22"/>
          <w:lang w:val="en-US"/>
        </w:rPr>
        <w:t>Preliminary</w:t>
      </w:r>
      <w:r w:rsidRPr="00B43707">
        <w:rPr>
          <w:rFonts w:ascii="Arial" w:eastAsia="Times New Roman" w:hAnsi="Arial" w:cs="Arial"/>
          <w:b/>
          <w:bCs/>
          <w:color w:val="FF0000"/>
          <w:sz w:val="22"/>
          <w:szCs w:val="22"/>
          <w:shd w:val="clear" w:color="auto" w:fill="FFFFFF"/>
          <w:lang w:val="en-US" w:eastAsia="en-GB"/>
        </w:rPr>
        <w:t xml:space="preserve"> </w:t>
      </w:r>
      <w:r w:rsidRPr="00EA0CBF">
        <w:rPr>
          <w:rFonts w:ascii="Arial" w:eastAsia="Times New Roman" w:hAnsi="Arial" w:cs="Arial"/>
          <w:b/>
          <w:bCs/>
          <w:color w:val="000000" w:themeColor="text1"/>
          <w:sz w:val="22"/>
          <w:szCs w:val="22"/>
          <w:shd w:val="clear" w:color="auto" w:fill="FFFFFF"/>
          <w:lang w:val="en-US" w:eastAsia="en-GB"/>
        </w:rPr>
        <w:t xml:space="preserve">comments (to be discussed with panel members) </w:t>
      </w:r>
    </w:p>
    <w:p w14:paraId="48968E18" w14:textId="77777777" w:rsidR="001B7C4D" w:rsidRPr="00EA0CBF" w:rsidRDefault="001B7C4D" w:rsidP="006E45F3">
      <w:pPr>
        <w:jc w:val="both"/>
        <w:rPr>
          <w:rFonts w:ascii="Arial" w:eastAsia="Times New Roman" w:hAnsi="Arial" w:cs="Arial"/>
          <w:color w:val="000000" w:themeColor="text1"/>
          <w:sz w:val="22"/>
          <w:szCs w:val="22"/>
          <w:shd w:val="clear" w:color="auto" w:fill="FFFFFF"/>
          <w:lang w:eastAsia="en-GB"/>
        </w:rPr>
      </w:pPr>
    </w:p>
    <w:p w14:paraId="3943D799" w14:textId="77777777" w:rsidR="00D35187" w:rsidRPr="00EA0CBF" w:rsidRDefault="00D35187" w:rsidP="00D35187">
      <w:pPr>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In my opinion, the interesting findings of this judgment are that:</w:t>
      </w:r>
    </w:p>
    <w:p w14:paraId="7AB2E830" w14:textId="77777777" w:rsidR="00D35187" w:rsidRPr="00EA0CBF" w:rsidRDefault="00D35187" w:rsidP="00D35187">
      <w:pPr>
        <w:jc w:val="both"/>
        <w:rPr>
          <w:rFonts w:ascii="Arial" w:hAnsi="Arial" w:cs="Arial"/>
          <w:color w:val="000000" w:themeColor="text1"/>
          <w:sz w:val="22"/>
          <w:szCs w:val="22"/>
          <w:lang w:val="en-US"/>
        </w:rPr>
      </w:pPr>
    </w:p>
    <w:p w14:paraId="3C8270F3" w14:textId="77777777" w:rsidR="00D35187" w:rsidRPr="00EA0CBF" w:rsidRDefault="00D35187" w:rsidP="00D35187">
      <w:pPr>
        <w:pStyle w:val="ListParagraph"/>
        <w:numPr>
          <w:ilvl w:val="0"/>
          <w:numId w:val="9"/>
        </w:numPr>
        <w:jc w:val="both"/>
        <w:rPr>
          <w:rFonts w:ascii="Arial" w:eastAsia="Times New Roman" w:hAnsi="Arial" w:cs="Arial"/>
          <w:color w:val="000000" w:themeColor="text1"/>
          <w:sz w:val="22"/>
          <w:szCs w:val="22"/>
          <w:shd w:val="clear" w:color="auto" w:fill="FFFFFF"/>
          <w:lang w:val="en-US" w:eastAsia="en-GB"/>
        </w:rPr>
      </w:pPr>
      <w:r w:rsidRPr="00EA0CBF">
        <w:rPr>
          <w:rFonts w:ascii="Arial" w:hAnsi="Arial" w:cs="Arial"/>
          <w:color w:val="000000" w:themeColor="text1"/>
          <w:sz w:val="22"/>
          <w:szCs w:val="22"/>
          <w:lang w:val="en-US"/>
        </w:rPr>
        <w:t>the deduction of input VAT cannot be rejected on the grounds that the related expense did not effectively give</w:t>
      </w:r>
      <w:r w:rsidRPr="00EA0CBF">
        <w:rPr>
          <w:rFonts w:ascii="Arial" w:hAnsi="Arial" w:cs="Arial"/>
          <w:color w:val="000000" w:themeColor="text1"/>
          <w:sz w:val="22"/>
          <w:szCs w:val="22"/>
        </w:rPr>
        <w:t xml:space="preserve"> rise to an increase in that taxable person’s turnover</w:t>
      </w:r>
      <w:r w:rsidRPr="00EA0CBF">
        <w:rPr>
          <w:rFonts w:ascii="Arial" w:hAnsi="Arial" w:cs="Arial"/>
          <w:color w:val="000000" w:themeColor="text1"/>
          <w:sz w:val="22"/>
          <w:szCs w:val="22"/>
          <w:lang w:val="en-US"/>
        </w:rPr>
        <w:t xml:space="preserve">. </w:t>
      </w:r>
    </w:p>
    <w:p w14:paraId="7333E953" w14:textId="77777777" w:rsidR="00D35187" w:rsidRPr="00EA0CBF" w:rsidRDefault="00D35187" w:rsidP="00D35187">
      <w:pPr>
        <w:pStyle w:val="ListParagraph"/>
        <w:jc w:val="both"/>
        <w:rPr>
          <w:rFonts w:ascii="Arial" w:eastAsia="Times New Roman" w:hAnsi="Arial" w:cs="Arial"/>
          <w:color w:val="000000" w:themeColor="text1"/>
          <w:sz w:val="22"/>
          <w:szCs w:val="22"/>
          <w:shd w:val="clear" w:color="auto" w:fill="FFFFFF"/>
          <w:lang w:val="en-US" w:eastAsia="en-GB"/>
        </w:rPr>
      </w:pPr>
    </w:p>
    <w:p w14:paraId="298B0732" w14:textId="77777777" w:rsidR="00D35187" w:rsidRPr="00EA0CBF" w:rsidRDefault="00D35187" w:rsidP="00D35187">
      <w:pPr>
        <w:pStyle w:val="ListParagraph"/>
        <w:numPr>
          <w:ilvl w:val="0"/>
          <w:numId w:val="9"/>
        </w:numPr>
        <w:jc w:val="both"/>
        <w:rPr>
          <w:rFonts w:ascii="Arial" w:eastAsia="Times New Roman" w:hAnsi="Arial" w:cs="Arial"/>
          <w:color w:val="000000" w:themeColor="text1"/>
          <w:sz w:val="22"/>
          <w:szCs w:val="22"/>
          <w:shd w:val="clear" w:color="auto" w:fill="FFFFFF"/>
          <w:lang w:val="en-US" w:eastAsia="en-GB"/>
        </w:rPr>
      </w:pPr>
      <w:r w:rsidRPr="00EA0CBF">
        <w:rPr>
          <w:rFonts w:ascii="Arial" w:hAnsi="Arial" w:cs="Arial"/>
          <w:color w:val="000000" w:themeColor="text1"/>
          <w:sz w:val="22"/>
          <w:szCs w:val="22"/>
          <w:lang w:val="en-US"/>
        </w:rPr>
        <w:t xml:space="preserve">the tax authorities cannot reject a deduction simply because they find that the price of an input </w:t>
      </w:r>
      <w:r w:rsidRPr="00EA0CBF">
        <w:rPr>
          <w:rFonts w:ascii="Arial" w:hAnsi="Arial" w:cs="Arial"/>
          <w:color w:val="000000" w:themeColor="text1"/>
          <w:sz w:val="22"/>
          <w:szCs w:val="22"/>
        </w:rPr>
        <w:t>service</w:t>
      </w:r>
      <w:r w:rsidRPr="00EA0CBF">
        <w:rPr>
          <w:rFonts w:ascii="Arial" w:hAnsi="Arial" w:cs="Arial"/>
          <w:color w:val="000000" w:themeColor="text1"/>
          <w:sz w:val="22"/>
          <w:szCs w:val="22"/>
          <w:lang w:val="en-US"/>
        </w:rPr>
        <w:t xml:space="preserve"> or good</w:t>
      </w:r>
      <w:r w:rsidRPr="00EA0CBF">
        <w:rPr>
          <w:rFonts w:ascii="Arial" w:hAnsi="Arial" w:cs="Arial"/>
          <w:color w:val="000000" w:themeColor="text1"/>
          <w:sz w:val="22"/>
          <w:szCs w:val="22"/>
        </w:rPr>
        <w:t xml:space="preserve"> is</w:t>
      </w:r>
      <w:r w:rsidRPr="00EA0CBF">
        <w:rPr>
          <w:rFonts w:ascii="Arial" w:hAnsi="Arial" w:cs="Arial"/>
          <w:color w:val="000000" w:themeColor="text1"/>
          <w:sz w:val="22"/>
          <w:szCs w:val="22"/>
          <w:lang w:val="en-US"/>
        </w:rPr>
        <w:t>, in their view or in the view of an expert,</w:t>
      </w:r>
      <w:r w:rsidRPr="00EA0CBF">
        <w:rPr>
          <w:rFonts w:ascii="Arial" w:hAnsi="Arial" w:cs="Arial"/>
          <w:color w:val="000000" w:themeColor="text1"/>
          <w:sz w:val="22"/>
          <w:szCs w:val="22"/>
        </w:rPr>
        <w:t xml:space="preserve"> excessive</w:t>
      </w:r>
      <w:r w:rsidRPr="00EA0CBF">
        <w:rPr>
          <w:rFonts w:ascii="Arial" w:hAnsi="Arial" w:cs="Arial"/>
          <w:color w:val="000000" w:themeColor="text1"/>
          <w:sz w:val="22"/>
          <w:szCs w:val="22"/>
          <w:lang w:val="en-US"/>
        </w:rPr>
        <w:t>.</w:t>
      </w:r>
    </w:p>
    <w:p w14:paraId="559FCE52" w14:textId="77777777" w:rsidR="00D35187" w:rsidRPr="00EA0CBF" w:rsidRDefault="00D35187" w:rsidP="00D35187">
      <w:pPr>
        <w:jc w:val="both"/>
        <w:rPr>
          <w:rFonts w:ascii="Arial" w:hAnsi="Arial" w:cs="Arial"/>
          <w:color w:val="000000" w:themeColor="text1"/>
          <w:sz w:val="22"/>
          <w:szCs w:val="22"/>
          <w:lang w:val="en-US"/>
        </w:rPr>
      </w:pPr>
    </w:p>
    <w:p w14:paraId="0331FABC" w14:textId="77777777" w:rsidR="00D35187" w:rsidRPr="00EA0CBF" w:rsidRDefault="00D35187" w:rsidP="00D35187">
      <w:pPr>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Apart from that, the decision does (unfortunately) not provide any additional guidance on how to determine whether goods and services have been “used” for the purpose of taxed transactions, although it is a recurring issue in practice when taxable persons decide to incur expenses that are not to the taste of the tax authorities.</w:t>
      </w:r>
    </w:p>
    <w:p w14:paraId="78CA20A5" w14:textId="77777777" w:rsidR="00D35187" w:rsidRPr="00EA0CBF" w:rsidRDefault="00D35187" w:rsidP="00D35187">
      <w:pPr>
        <w:jc w:val="both"/>
        <w:rPr>
          <w:rFonts w:ascii="Arial" w:hAnsi="Arial" w:cs="Arial"/>
          <w:color w:val="000000" w:themeColor="text1"/>
          <w:sz w:val="22"/>
          <w:szCs w:val="22"/>
          <w:lang w:val="en-US"/>
        </w:rPr>
      </w:pPr>
    </w:p>
    <w:p w14:paraId="4A63C96D" w14:textId="2F6CB78B" w:rsidR="001B7C4D" w:rsidRPr="00EA0CBF" w:rsidRDefault="00055A9A" w:rsidP="00D35187">
      <w:pPr>
        <w:jc w:val="both"/>
        <w:rPr>
          <w:rFonts w:ascii="Arial" w:hAnsi="Arial" w:cs="Arial"/>
          <w:color w:val="000000" w:themeColor="text1"/>
          <w:sz w:val="22"/>
          <w:szCs w:val="22"/>
          <w:lang w:val="en-US"/>
        </w:rPr>
      </w:pPr>
      <w:r w:rsidRPr="00EA0CBF">
        <w:rPr>
          <w:rFonts w:ascii="Arial" w:eastAsia="Times New Roman" w:hAnsi="Arial" w:cs="Arial"/>
          <w:color w:val="000000" w:themeColor="text1"/>
          <w:sz w:val="22"/>
          <w:szCs w:val="22"/>
          <w:shd w:val="clear" w:color="auto" w:fill="FFFFFF"/>
          <w:lang w:val="en-US" w:eastAsia="en-GB"/>
        </w:rPr>
        <w:t xml:space="preserve">In </w:t>
      </w:r>
      <w:r w:rsidR="00097AAC" w:rsidRPr="00EA0CBF">
        <w:rPr>
          <w:rFonts w:ascii="Arial" w:eastAsia="Times New Roman" w:hAnsi="Arial" w:cs="Arial"/>
          <w:color w:val="000000" w:themeColor="text1"/>
          <w:sz w:val="22"/>
          <w:szCs w:val="22"/>
          <w:shd w:val="clear" w:color="auto" w:fill="FFFFFF"/>
          <w:lang w:val="en-US" w:eastAsia="en-GB"/>
        </w:rPr>
        <w:t>the operative part of the</w:t>
      </w:r>
      <w:r w:rsidRPr="00EA0CBF">
        <w:rPr>
          <w:rFonts w:ascii="Arial" w:eastAsia="Times New Roman" w:hAnsi="Arial" w:cs="Arial"/>
          <w:color w:val="000000" w:themeColor="text1"/>
          <w:sz w:val="22"/>
          <w:szCs w:val="22"/>
          <w:shd w:val="clear" w:color="auto" w:fill="FFFFFF"/>
          <w:lang w:val="en-US" w:eastAsia="en-GB"/>
        </w:rPr>
        <w:t xml:space="preserve"> decision</w:t>
      </w:r>
      <w:r w:rsidR="00097AAC" w:rsidRPr="00EA0CBF">
        <w:rPr>
          <w:rFonts w:ascii="Arial" w:eastAsia="Times New Roman" w:hAnsi="Arial" w:cs="Arial"/>
          <w:color w:val="000000" w:themeColor="text1"/>
          <w:sz w:val="22"/>
          <w:szCs w:val="22"/>
          <w:shd w:val="clear" w:color="auto" w:fill="FFFFFF"/>
          <w:lang w:val="en-US" w:eastAsia="en-GB"/>
        </w:rPr>
        <w:t>,</w:t>
      </w:r>
      <w:r w:rsidRPr="00EA0CBF">
        <w:rPr>
          <w:rFonts w:ascii="Arial" w:eastAsia="Times New Roman" w:hAnsi="Arial" w:cs="Arial"/>
          <w:color w:val="000000" w:themeColor="text1"/>
          <w:sz w:val="22"/>
          <w:szCs w:val="22"/>
          <w:shd w:val="clear" w:color="auto" w:fill="FFFFFF"/>
          <w:lang w:val="en-US" w:eastAsia="en-GB"/>
        </w:rPr>
        <w:t xml:space="preserve"> the CJEU merely repeats the </w:t>
      </w:r>
      <w:r w:rsidR="0094362A" w:rsidRPr="00EA0CBF">
        <w:rPr>
          <w:rFonts w:ascii="Arial" w:eastAsia="Times New Roman" w:hAnsi="Arial" w:cs="Arial"/>
          <w:color w:val="000000" w:themeColor="text1"/>
          <w:sz w:val="22"/>
          <w:szCs w:val="22"/>
          <w:shd w:val="clear" w:color="auto" w:fill="FFFFFF"/>
          <w:lang w:val="en-US" w:eastAsia="en-GB"/>
        </w:rPr>
        <w:t xml:space="preserve">case </w:t>
      </w:r>
      <w:proofErr w:type="gramStart"/>
      <w:r w:rsidR="0094362A" w:rsidRPr="00EA0CBF">
        <w:rPr>
          <w:rFonts w:ascii="Arial" w:eastAsia="Times New Roman" w:hAnsi="Arial" w:cs="Arial"/>
          <w:color w:val="000000" w:themeColor="text1"/>
          <w:sz w:val="22"/>
          <w:szCs w:val="22"/>
          <w:shd w:val="clear" w:color="auto" w:fill="FFFFFF"/>
          <w:lang w:val="en-US" w:eastAsia="en-GB"/>
        </w:rPr>
        <w:t>law based</w:t>
      </w:r>
      <w:proofErr w:type="gramEnd"/>
      <w:r w:rsidR="0094362A" w:rsidRPr="00EA0CBF">
        <w:rPr>
          <w:rFonts w:ascii="Arial" w:eastAsia="Times New Roman" w:hAnsi="Arial" w:cs="Arial"/>
          <w:color w:val="000000" w:themeColor="text1"/>
          <w:sz w:val="22"/>
          <w:szCs w:val="22"/>
          <w:shd w:val="clear" w:color="auto" w:fill="FFFFFF"/>
          <w:lang w:val="en-US" w:eastAsia="en-GB"/>
        </w:rPr>
        <w:t xml:space="preserve"> </w:t>
      </w:r>
      <w:r w:rsidRPr="00EA0CBF">
        <w:rPr>
          <w:rFonts w:ascii="Arial" w:eastAsia="Times New Roman" w:hAnsi="Arial" w:cs="Arial"/>
          <w:color w:val="000000" w:themeColor="text1"/>
          <w:sz w:val="22"/>
          <w:szCs w:val="22"/>
          <w:shd w:val="clear" w:color="auto" w:fill="FFFFFF"/>
          <w:lang w:val="en-US" w:eastAsia="en-GB"/>
        </w:rPr>
        <w:t xml:space="preserve">rule </w:t>
      </w:r>
      <w:r w:rsidR="00B97844" w:rsidRPr="00EA0CBF">
        <w:rPr>
          <w:rFonts w:ascii="Arial" w:eastAsia="Times New Roman" w:hAnsi="Arial" w:cs="Arial"/>
          <w:color w:val="000000" w:themeColor="text1"/>
          <w:sz w:val="22"/>
          <w:szCs w:val="22"/>
          <w:shd w:val="clear" w:color="auto" w:fill="FFFFFF"/>
          <w:lang w:val="en-US" w:eastAsia="en-GB"/>
        </w:rPr>
        <w:t>according to which,</w:t>
      </w:r>
      <w:r w:rsidRPr="00EA0CBF">
        <w:rPr>
          <w:rFonts w:ascii="Arial" w:eastAsia="Times New Roman" w:hAnsi="Arial" w:cs="Arial"/>
          <w:color w:val="000000" w:themeColor="text1"/>
          <w:sz w:val="22"/>
          <w:szCs w:val="22"/>
          <w:shd w:val="clear" w:color="auto" w:fill="FFFFFF"/>
          <w:lang w:val="en-US" w:eastAsia="en-GB"/>
        </w:rPr>
        <w:t xml:space="preserve"> in order to be deductible</w:t>
      </w:r>
      <w:r w:rsidR="00B97844" w:rsidRPr="00EA0CBF">
        <w:rPr>
          <w:rFonts w:ascii="Arial" w:eastAsia="Times New Roman" w:hAnsi="Arial" w:cs="Arial"/>
          <w:color w:val="000000" w:themeColor="text1"/>
          <w:sz w:val="22"/>
          <w:szCs w:val="22"/>
          <w:shd w:val="clear" w:color="auto" w:fill="FFFFFF"/>
          <w:lang w:val="en-US" w:eastAsia="en-GB"/>
        </w:rPr>
        <w:t>,</w:t>
      </w:r>
      <w:r w:rsidRPr="00EA0CBF">
        <w:rPr>
          <w:rFonts w:ascii="Arial" w:eastAsia="Times New Roman" w:hAnsi="Arial" w:cs="Arial"/>
          <w:color w:val="000000" w:themeColor="text1"/>
          <w:sz w:val="22"/>
          <w:szCs w:val="22"/>
          <w:shd w:val="clear" w:color="auto" w:fill="FFFFFF"/>
          <w:lang w:val="en-US" w:eastAsia="en-GB"/>
        </w:rPr>
        <w:t xml:space="preserve"> input VAT must have </w:t>
      </w:r>
      <w:r w:rsidRPr="00EA0CBF">
        <w:rPr>
          <w:rFonts w:ascii="Arial" w:hAnsi="Arial" w:cs="Arial"/>
          <w:color w:val="000000" w:themeColor="text1"/>
          <w:sz w:val="22"/>
          <w:szCs w:val="22"/>
        </w:rPr>
        <w:t>a direct and immediate link with</w:t>
      </w:r>
      <w:r w:rsidR="006B0551" w:rsidRPr="00EA0CBF">
        <w:rPr>
          <w:rFonts w:ascii="Arial" w:hAnsi="Arial" w:cs="Arial"/>
          <w:color w:val="000000" w:themeColor="text1"/>
          <w:sz w:val="22"/>
          <w:szCs w:val="22"/>
          <w:lang w:val="en-US"/>
        </w:rPr>
        <w:t xml:space="preserve">, </w:t>
      </w:r>
      <w:r w:rsidR="006B0551" w:rsidRPr="00EA0CBF">
        <w:rPr>
          <w:rFonts w:ascii="Arial" w:hAnsi="Arial" w:cs="Arial"/>
          <w:color w:val="000000" w:themeColor="text1"/>
          <w:sz w:val="22"/>
          <w:szCs w:val="22"/>
          <w:u w:val="single"/>
          <w:lang w:val="en-US"/>
        </w:rPr>
        <w:t>either</w:t>
      </w:r>
      <w:r w:rsidR="006B0551"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 xml:space="preserve">one or more taxable output transactions </w:t>
      </w:r>
      <w:r w:rsidRPr="00EA0CBF">
        <w:rPr>
          <w:rFonts w:ascii="Arial" w:hAnsi="Arial" w:cs="Arial"/>
          <w:color w:val="000000" w:themeColor="text1"/>
          <w:sz w:val="22"/>
          <w:szCs w:val="22"/>
          <w:u w:val="single"/>
        </w:rPr>
        <w:t>or</w:t>
      </w:r>
      <w:r w:rsidRPr="00EA0CBF">
        <w:rPr>
          <w:rFonts w:ascii="Arial" w:hAnsi="Arial" w:cs="Arial"/>
          <w:color w:val="000000" w:themeColor="text1"/>
          <w:sz w:val="22"/>
          <w:szCs w:val="22"/>
        </w:rPr>
        <w:t xml:space="preserve"> with the taxable person’s economic activity as a whole</w:t>
      </w:r>
      <w:r w:rsidR="00B97844" w:rsidRPr="00EA0CBF">
        <w:rPr>
          <w:rFonts w:ascii="Arial" w:hAnsi="Arial" w:cs="Arial"/>
          <w:color w:val="000000" w:themeColor="text1"/>
          <w:sz w:val="22"/>
          <w:szCs w:val="22"/>
          <w:lang w:val="en-US"/>
        </w:rPr>
        <w:t>. I</w:t>
      </w:r>
      <w:r w:rsidRPr="00EA0CBF">
        <w:rPr>
          <w:rFonts w:ascii="Arial" w:hAnsi="Arial" w:cs="Arial"/>
          <w:color w:val="000000" w:themeColor="text1"/>
          <w:sz w:val="22"/>
          <w:szCs w:val="22"/>
          <w:lang w:val="en-US"/>
        </w:rPr>
        <w:t>n paragraph 39 of the decision</w:t>
      </w:r>
      <w:r w:rsidR="00B97844" w:rsidRPr="00EA0CBF">
        <w:rPr>
          <w:rFonts w:ascii="Arial" w:hAnsi="Arial" w:cs="Arial"/>
          <w:color w:val="000000" w:themeColor="text1"/>
          <w:sz w:val="22"/>
          <w:szCs w:val="22"/>
          <w:lang w:val="en-US"/>
        </w:rPr>
        <w:t xml:space="preserve">, the Court </w:t>
      </w:r>
      <w:r w:rsidRPr="00EA0CBF">
        <w:rPr>
          <w:rFonts w:ascii="Arial" w:hAnsi="Arial" w:cs="Arial"/>
          <w:color w:val="000000" w:themeColor="text1"/>
          <w:sz w:val="22"/>
          <w:szCs w:val="22"/>
          <w:lang w:val="en-US"/>
        </w:rPr>
        <w:t>clarifie</w:t>
      </w:r>
      <w:r w:rsidR="00B97844" w:rsidRPr="00EA0CBF">
        <w:rPr>
          <w:rFonts w:ascii="Arial" w:hAnsi="Arial" w:cs="Arial"/>
          <w:color w:val="000000" w:themeColor="text1"/>
          <w:sz w:val="22"/>
          <w:szCs w:val="22"/>
          <w:lang w:val="en-US"/>
        </w:rPr>
        <w:t>s</w:t>
      </w:r>
      <w:r w:rsidRPr="00EA0CBF">
        <w:rPr>
          <w:rFonts w:ascii="Arial" w:hAnsi="Arial" w:cs="Arial"/>
          <w:color w:val="000000" w:themeColor="text1"/>
          <w:sz w:val="22"/>
          <w:szCs w:val="22"/>
          <w:lang w:val="en-US"/>
        </w:rPr>
        <w:t xml:space="preserve"> that </w:t>
      </w:r>
      <w:r w:rsidR="00443DD5" w:rsidRPr="00EA0CBF">
        <w:rPr>
          <w:rFonts w:ascii="Arial" w:hAnsi="Arial" w:cs="Arial"/>
          <w:color w:val="000000" w:themeColor="text1"/>
          <w:sz w:val="22"/>
          <w:szCs w:val="22"/>
          <w:lang w:val="en-US"/>
        </w:rPr>
        <w:t xml:space="preserve">in the case at stake </w:t>
      </w:r>
      <w:r w:rsidRPr="00EA0CBF">
        <w:rPr>
          <w:rFonts w:ascii="Arial" w:hAnsi="Arial" w:cs="Arial"/>
          <w:color w:val="000000" w:themeColor="text1"/>
          <w:sz w:val="22"/>
          <w:szCs w:val="22"/>
          <w:lang w:val="en-US"/>
        </w:rPr>
        <w:t xml:space="preserve">this implies </w:t>
      </w:r>
      <w:r w:rsidR="00443DD5" w:rsidRPr="00EA0CBF">
        <w:rPr>
          <w:rFonts w:ascii="Arial" w:hAnsi="Arial" w:cs="Arial"/>
          <w:color w:val="000000" w:themeColor="text1"/>
          <w:sz w:val="22"/>
          <w:szCs w:val="22"/>
          <w:lang w:val="en-US"/>
        </w:rPr>
        <w:t>that</w:t>
      </w:r>
      <w:r w:rsidRPr="00EA0CBF">
        <w:rPr>
          <w:rFonts w:ascii="Arial" w:hAnsi="Arial" w:cs="Arial"/>
          <w:color w:val="000000" w:themeColor="text1"/>
          <w:sz w:val="22"/>
          <w:szCs w:val="22"/>
          <w:lang w:val="en-US"/>
        </w:rPr>
        <w:t xml:space="preserve"> the referring court determine</w:t>
      </w:r>
      <w:r w:rsidR="00443DD5" w:rsidRPr="00EA0CBF">
        <w:rPr>
          <w:rFonts w:ascii="Arial" w:hAnsi="Arial" w:cs="Arial"/>
          <w:color w:val="000000" w:themeColor="text1"/>
          <w:sz w:val="22"/>
          <w:szCs w:val="22"/>
          <w:lang w:val="en-US"/>
        </w:rPr>
        <w:t>s</w:t>
      </w:r>
      <w:r w:rsidRPr="00EA0CBF">
        <w:rPr>
          <w:rFonts w:ascii="Arial" w:hAnsi="Arial" w:cs="Arial"/>
          <w:color w:val="000000" w:themeColor="text1"/>
          <w:sz w:val="22"/>
          <w:szCs w:val="22"/>
          <w:lang w:val="en-US"/>
        </w:rPr>
        <w:t xml:space="preserve"> </w:t>
      </w:r>
      <w:r w:rsidRPr="00EA0CBF">
        <w:rPr>
          <w:rFonts w:ascii="Arial" w:eastAsia="Times New Roman" w:hAnsi="Arial" w:cs="Arial"/>
          <w:color w:val="000000" w:themeColor="text1"/>
          <w:sz w:val="22"/>
          <w:szCs w:val="22"/>
          <w:shd w:val="clear" w:color="auto" w:fill="FFFFFF"/>
          <w:lang w:val="en-US" w:eastAsia="en-GB"/>
        </w:rPr>
        <w:t>whether the advertising services</w:t>
      </w:r>
      <w:r w:rsidR="00B97844" w:rsidRPr="00EA0CBF">
        <w:rPr>
          <w:rFonts w:ascii="Arial" w:eastAsia="Times New Roman" w:hAnsi="Arial" w:cs="Arial"/>
          <w:color w:val="000000" w:themeColor="text1"/>
          <w:sz w:val="22"/>
          <w:szCs w:val="22"/>
          <w:shd w:val="clear" w:color="auto" w:fill="FFFFFF"/>
          <w:lang w:val="en-US" w:eastAsia="en-GB"/>
        </w:rPr>
        <w:t xml:space="preserve"> </w:t>
      </w:r>
      <w:r w:rsidR="00443DD5" w:rsidRPr="00EA0CBF">
        <w:rPr>
          <w:rFonts w:ascii="Arial" w:eastAsia="Times New Roman" w:hAnsi="Arial" w:cs="Arial"/>
          <w:color w:val="000000" w:themeColor="text1"/>
          <w:sz w:val="22"/>
          <w:szCs w:val="22"/>
          <w:shd w:val="clear" w:color="auto" w:fill="FFFFFF"/>
          <w:lang w:val="en-US" w:eastAsia="en-GB"/>
        </w:rPr>
        <w:t>received were</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intended to promote the goods and services marketed by Amper Metal</w:t>
      </w:r>
      <w:r w:rsidRPr="00EA0CBF">
        <w:rPr>
          <w:rFonts w:ascii="Arial" w:hAnsi="Arial" w:cs="Arial"/>
          <w:color w:val="000000" w:themeColor="text1"/>
          <w:sz w:val="22"/>
          <w:szCs w:val="22"/>
          <w:lang w:val="en-US"/>
        </w:rPr>
        <w:t xml:space="preserve">” </w:t>
      </w:r>
      <w:r w:rsidR="007A775F" w:rsidRPr="00EA0CBF">
        <w:rPr>
          <w:rFonts w:ascii="Arial" w:hAnsi="Arial" w:cs="Arial"/>
          <w:color w:val="000000" w:themeColor="text1"/>
          <w:sz w:val="22"/>
          <w:szCs w:val="22"/>
          <w:lang w:val="en-US"/>
        </w:rPr>
        <w:t>(</w:t>
      </w:r>
      <w:r w:rsidR="006B0551" w:rsidRPr="00EA0CBF">
        <w:rPr>
          <w:rFonts w:ascii="Arial" w:hAnsi="Arial" w:cs="Arial"/>
          <w:color w:val="000000" w:themeColor="text1"/>
          <w:sz w:val="22"/>
          <w:szCs w:val="22"/>
          <w:lang w:val="en-US"/>
        </w:rPr>
        <w:t xml:space="preserve">in this case, </w:t>
      </w:r>
      <w:r w:rsidR="007A775F" w:rsidRPr="00EA0CBF">
        <w:rPr>
          <w:rFonts w:ascii="Arial" w:hAnsi="Arial" w:cs="Arial"/>
          <w:color w:val="000000" w:themeColor="text1"/>
          <w:sz w:val="22"/>
          <w:szCs w:val="22"/>
          <w:lang w:val="en-US"/>
        </w:rPr>
        <w:t xml:space="preserve">VAT is deductible) </w:t>
      </w:r>
      <w:r w:rsidRPr="00EA0CBF">
        <w:rPr>
          <w:rFonts w:ascii="Arial" w:hAnsi="Arial" w:cs="Arial"/>
          <w:color w:val="000000" w:themeColor="text1"/>
          <w:sz w:val="22"/>
          <w:szCs w:val="22"/>
          <w:lang w:val="en-US"/>
        </w:rPr>
        <w:t>or whether “</w:t>
      </w:r>
      <w:r w:rsidRPr="00EA0CBF">
        <w:rPr>
          <w:rFonts w:ascii="Arial" w:hAnsi="Arial" w:cs="Arial"/>
          <w:color w:val="000000" w:themeColor="text1"/>
          <w:sz w:val="22"/>
          <w:szCs w:val="22"/>
        </w:rPr>
        <w:t>the expenditure incurred on that occasion proves to be entirely unrelated to Amper Metal’s economic activity</w:t>
      </w:r>
      <w:r w:rsidRPr="00EA0CBF">
        <w:rPr>
          <w:rFonts w:ascii="Arial" w:hAnsi="Arial" w:cs="Arial"/>
          <w:color w:val="000000" w:themeColor="text1"/>
          <w:sz w:val="22"/>
          <w:szCs w:val="22"/>
          <w:lang w:val="en-US"/>
        </w:rPr>
        <w:t>”</w:t>
      </w:r>
      <w:r w:rsidR="007A775F" w:rsidRPr="00EA0CBF">
        <w:rPr>
          <w:rFonts w:ascii="Arial" w:hAnsi="Arial" w:cs="Arial"/>
          <w:color w:val="000000" w:themeColor="text1"/>
          <w:sz w:val="22"/>
          <w:szCs w:val="22"/>
          <w:lang w:val="en-US"/>
        </w:rPr>
        <w:t xml:space="preserve"> (</w:t>
      </w:r>
      <w:r w:rsidR="006B0551" w:rsidRPr="00EA0CBF">
        <w:rPr>
          <w:rFonts w:ascii="Arial" w:hAnsi="Arial" w:cs="Arial"/>
          <w:color w:val="000000" w:themeColor="text1"/>
          <w:sz w:val="22"/>
          <w:szCs w:val="22"/>
          <w:lang w:val="en-US"/>
        </w:rPr>
        <w:t xml:space="preserve">in that case, </w:t>
      </w:r>
      <w:r w:rsidR="007A775F" w:rsidRPr="00EA0CBF">
        <w:rPr>
          <w:rFonts w:ascii="Arial" w:hAnsi="Arial" w:cs="Arial"/>
          <w:color w:val="000000" w:themeColor="text1"/>
          <w:sz w:val="22"/>
          <w:szCs w:val="22"/>
          <w:lang w:val="en-US"/>
        </w:rPr>
        <w:t>VAT is not deductible)</w:t>
      </w:r>
      <w:r w:rsidRPr="00EA0CBF">
        <w:rPr>
          <w:rFonts w:ascii="Arial" w:hAnsi="Arial" w:cs="Arial"/>
          <w:color w:val="000000" w:themeColor="text1"/>
          <w:sz w:val="22"/>
          <w:szCs w:val="22"/>
          <w:lang w:val="en-US"/>
        </w:rPr>
        <w:t xml:space="preserve">. </w:t>
      </w:r>
    </w:p>
    <w:p w14:paraId="1FA9A378" w14:textId="49F0E7DE" w:rsidR="00055A9A" w:rsidRPr="00EA0CBF" w:rsidRDefault="00055A9A" w:rsidP="006E45F3">
      <w:pPr>
        <w:jc w:val="both"/>
        <w:rPr>
          <w:rFonts w:ascii="Arial" w:hAnsi="Arial" w:cs="Arial"/>
          <w:color w:val="000000" w:themeColor="text1"/>
          <w:sz w:val="22"/>
          <w:szCs w:val="22"/>
          <w:lang w:val="en-US"/>
        </w:rPr>
      </w:pPr>
    </w:p>
    <w:p w14:paraId="39FC0F1C" w14:textId="42DA5222" w:rsidR="00055A9A" w:rsidRPr="00EA0CBF" w:rsidRDefault="007A775F" w:rsidP="006E45F3">
      <w:pPr>
        <w:jc w:val="both"/>
        <w:rPr>
          <w:rFonts w:ascii="Arial" w:hAnsi="Arial" w:cs="Arial"/>
          <w:color w:val="000000" w:themeColor="text1"/>
          <w:sz w:val="22"/>
          <w:szCs w:val="22"/>
          <w:lang w:val="en-US"/>
        </w:rPr>
      </w:pPr>
      <w:r w:rsidRPr="00EA0CBF">
        <w:rPr>
          <w:rFonts w:ascii="Arial" w:eastAsia="Times New Roman" w:hAnsi="Arial" w:cs="Arial"/>
          <w:color w:val="000000" w:themeColor="text1"/>
          <w:sz w:val="22"/>
          <w:szCs w:val="22"/>
          <w:shd w:val="clear" w:color="auto" w:fill="FFFFFF"/>
          <w:lang w:val="en-US" w:eastAsia="en-GB"/>
        </w:rPr>
        <w:t>Does this decision</w:t>
      </w:r>
      <w:r w:rsidR="00B94799" w:rsidRPr="00EA0CBF">
        <w:rPr>
          <w:rFonts w:ascii="Arial" w:eastAsia="Times New Roman" w:hAnsi="Arial" w:cs="Arial"/>
          <w:color w:val="000000" w:themeColor="text1"/>
          <w:sz w:val="22"/>
          <w:szCs w:val="22"/>
          <w:shd w:val="clear" w:color="auto" w:fill="FFFFFF"/>
          <w:lang w:val="en-US" w:eastAsia="en-GB"/>
        </w:rPr>
        <w:t xml:space="preserve"> add any useful guidance on how to </w:t>
      </w:r>
      <w:r w:rsidR="00AE34CA" w:rsidRPr="00EA0CBF">
        <w:rPr>
          <w:rFonts w:ascii="Arial" w:eastAsia="Times New Roman" w:hAnsi="Arial" w:cs="Arial"/>
          <w:color w:val="000000" w:themeColor="text1"/>
          <w:sz w:val="22"/>
          <w:szCs w:val="22"/>
          <w:shd w:val="clear" w:color="auto" w:fill="FFFFFF"/>
          <w:lang w:val="en-US" w:eastAsia="en-GB"/>
        </w:rPr>
        <w:t xml:space="preserve">determine </w:t>
      </w:r>
      <w:r w:rsidR="00097AAC" w:rsidRPr="00EA0CBF">
        <w:rPr>
          <w:rFonts w:ascii="Arial" w:eastAsia="Times New Roman" w:hAnsi="Arial" w:cs="Arial"/>
          <w:color w:val="000000" w:themeColor="text1"/>
          <w:sz w:val="22"/>
          <w:szCs w:val="22"/>
          <w:shd w:val="clear" w:color="auto" w:fill="FFFFFF"/>
          <w:lang w:val="en-US" w:eastAsia="en-GB"/>
        </w:rPr>
        <w:t>whether there is a “</w:t>
      </w:r>
      <w:r w:rsidR="00624B79" w:rsidRPr="00EA0CBF">
        <w:rPr>
          <w:rFonts w:ascii="Arial" w:eastAsia="Times New Roman" w:hAnsi="Arial" w:cs="Arial"/>
          <w:color w:val="000000" w:themeColor="text1"/>
          <w:sz w:val="22"/>
          <w:szCs w:val="22"/>
          <w:shd w:val="clear" w:color="auto" w:fill="FFFFFF"/>
          <w:lang w:val="en-US" w:eastAsia="en-GB"/>
        </w:rPr>
        <w:t xml:space="preserve">direct </w:t>
      </w:r>
      <w:r w:rsidR="00097AAC" w:rsidRPr="00EA0CBF">
        <w:rPr>
          <w:rFonts w:ascii="Arial" w:eastAsia="Times New Roman" w:hAnsi="Arial" w:cs="Arial"/>
          <w:color w:val="000000" w:themeColor="text1"/>
          <w:sz w:val="22"/>
          <w:szCs w:val="22"/>
          <w:shd w:val="clear" w:color="auto" w:fill="FFFFFF"/>
          <w:lang w:val="en-US" w:eastAsia="en-GB"/>
        </w:rPr>
        <w:t xml:space="preserve">link” giving a right to a deduction </w:t>
      </w:r>
      <w:r w:rsidR="00B94799" w:rsidRPr="00EA0CBF">
        <w:rPr>
          <w:rFonts w:ascii="Arial" w:eastAsia="Times New Roman" w:hAnsi="Arial" w:cs="Arial"/>
          <w:color w:val="000000" w:themeColor="text1"/>
          <w:sz w:val="22"/>
          <w:szCs w:val="22"/>
          <w:shd w:val="clear" w:color="auto" w:fill="FFFFFF"/>
          <w:lang w:val="en-US" w:eastAsia="en-GB"/>
        </w:rPr>
        <w:t xml:space="preserve">in practice? </w:t>
      </w:r>
      <w:r w:rsidR="00097AAC" w:rsidRPr="00EA0CBF">
        <w:rPr>
          <w:rFonts w:ascii="Arial" w:eastAsia="Times New Roman" w:hAnsi="Arial" w:cs="Arial"/>
          <w:color w:val="000000" w:themeColor="text1"/>
          <w:sz w:val="22"/>
          <w:szCs w:val="22"/>
          <w:shd w:val="clear" w:color="auto" w:fill="FFFFFF"/>
          <w:lang w:val="en-US" w:eastAsia="en-GB"/>
        </w:rPr>
        <w:t>The CJEU does not</w:t>
      </w:r>
      <w:r w:rsidR="006B0551" w:rsidRPr="00EA0CBF">
        <w:rPr>
          <w:rFonts w:ascii="Arial" w:eastAsia="Times New Roman" w:hAnsi="Arial" w:cs="Arial"/>
          <w:color w:val="000000" w:themeColor="text1"/>
          <w:sz w:val="22"/>
          <w:szCs w:val="22"/>
          <w:shd w:val="clear" w:color="auto" w:fill="FFFFFF"/>
          <w:lang w:val="en-US" w:eastAsia="en-GB"/>
        </w:rPr>
        <w:t xml:space="preserve"> clarify </w:t>
      </w:r>
      <w:r w:rsidR="00B94799" w:rsidRPr="00EA0CBF">
        <w:rPr>
          <w:rFonts w:ascii="Arial" w:eastAsia="Times New Roman" w:hAnsi="Arial" w:cs="Arial"/>
          <w:color w:val="000000" w:themeColor="text1"/>
          <w:sz w:val="22"/>
          <w:szCs w:val="22"/>
          <w:shd w:val="clear" w:color="auto" w:fill="FFFFFF"/>
          <w:lang w:val="en-US" w:eastAsia="en-GB"/>
        </w:rPr>
        <w:t>how the taxpayer</w:t>
      </w:r>
      <w:r w:rsidR="00AE34CA" w:rsidRPr="00EA0CBF">
        <w:rPr>
          <w:rFonts w:ascii="Arial" w:eastAsia="Times New Roman" w:hAnsi="Arial" w:cs="Arial"/>
          <w:color w:val="000000" w:themeColor="text1"/>
          <w:sz w:val="22"/>
          <w:szCs w:val="22"/>
          <w:shd w:val="clear" w:color="auto" w:fill="FFFFFF"/>
          <w:lang w:val="en-US" w:eastAsia="en-GB"/>
        </w:rPr>
        <w:t xml:space="preserve"> </w:t>
      </w:r>
      <w:r w:rsidR="006B0551" w:rsidRPr="00EA0CBF">
        <w:rPr>
          <w:rFonts w:ascii="Arial" w:eastAsia="Times New Roman" w:hAnsi="Arial" w:cs="Arial"/>
          <w:color w:val="000000" w:themeColor="text1"/>
          <w:sz w:val="22"/>
          <w:szCs w:val="22"/>
          <w:shd w:val="clear" w:color="auto" w:fill="FFFFFF"/>
          <w:lang w:val="en-US" w:eastAsia="en-GB"/>
        </w:rPr>
        <w:t xml:space="preserve">can </w:t>
      </w:r>
      <w:r w:rsidR="00B94799" w:rsidRPr="00EA0CBF">
        <w:rPr>
          <w:rFonts w:ascii="Arial" w:eastAsia="Times New Roman" w:hAnsi="Arial" w:cs="Arial"/>
          <w:i/>
          <w:iCs/>
          <w:color w:val="000000" w:themeColor="text1"/>
          <w:sz w:val="22"/>
          <w:szCs w:val="22"/>
          <w:shd w:val="clear" w:color="auto" w:fill="FFFFFF"/>
          <w:lang w:val="en-US" w:eastAsia="en-GB"/>
        </w:rPr>
        <w:t>prove</w:t>
      </w:r>
      <w:r w:rsidR="00B94799" w:rsidRPr="00EA0CBF">
        <w:rPr>
          <w:rFonts w:ascii="Arial" w:eastAsia="Times New Roman" w:hAnsi="Arial" w:cs="Arial"/>
          <w:color w:val="000000" w:themeColor="text1"/>
          <w:sz w:val="22"/>
          <w:szCs w:val="22"/>
          <w:shd w:val="clear" w:color="auto" w:fill="FFFFFF"/>
          <w:lang w:val="en-US" w:eastAsia="en-GB"/>
        </w:rPr>
        <w:t xml:space="preserve"> that the advertising services were </w:t>
      </w:r>
      <w:r w:rsidR="00B94799" w:rsidRPr="00EA0CBF">
        <w:rPr>
          <w:rFonts w:ascii="Arial" w:eastAsia="Times New Roman" w:hAnsi="Arial" w:cs="Arial"/>
          <w:i/>
          <w:iCs/>
          <w:color w:val="000000" w:themeColor="text1"/>
          <w:sz w:val="22"/>
          <w:szCs w:val="22"/>
          <w:shd w:val="clear" w:color="auto" w:fill="FFFFFF"/>
          <w:lang w:val="en-US" w:eastAsia="en-GB"/>
        </w:rPr>
        <w:t>intended to promote</w:t>
      </w:r>
      <w:r w:rsidR="00B94799" w:rsidRPr="00EA0CBF">
        <w:rPr>
          <w:rFonts w:ascii="Arial" w:eastAsia="Times New Roman" w:hAnsi="Arial" w:cs="Arial"/>
          <w:color w:val="000000" w:themeColor="text1"/>
          <w:sz w:val="22"/>
          <w:szCs w:val="22"/>
          <w:shd w:val="clear" w:color="auto" w:fill="FFFFFF"/>
          <w:lang w:val="en-US" w:eastAsia="en-GB"/>
        </w:rPr>
        <w:t xml:space="preserve"> the goods and services offered by the taxable person</w:t>
      </w:r>
      <w:r w:rsidR="00097AAC" w:rsidRPr="00EA0CBF">
        <w:rPr>
          <w:rFonts w:ascii="Arial" w:eastAsia="Times New Roman" w:hAnsi="Arial" w:cs="Arial"/>
          <w:color w:val="000000" w:themeColor="text1"/>
          <w:sz w:val="22"/>
          <w:szCs w:val="22"/>
          <w:shd w:val="clear" w:color="auto" w:fill="FFFFFF"/>
          <w:lang w:val="en-US" w:eastAsia="en-GB"/>
        </w:rPr>
        <w:t xml:space="preserve">. </w:t>
      </w:r>
      <w:r w:rsidR="00624B79" w:rsidRPr="00EA0CBF">
        <w:rPr>
          <w:rFonts w:ascii="Arial" w:eastAsia="Times New Roman" w:hAnsi="Arial" w:cs="Arial"/>
          <w:color w:val="000000" w:themeColor="text1"/>
          <w:sz w:val="22"/>
          <w:szCs w:val="22"/>
          <w:shd w:val="clear" w:color="auto" w:fill="FFFFFF"/>
          <w:lang w:val="en-US" w:eastAsia="en-GB"/>
        </w:rPr>
        <w:t>H</w:t>
      </w:r>
      <w:r w:rsidR="00097AAC" w:rsidRPr="00EA0CBF">
        <w:rPr>
          <w:rFonts w:ascii="Arial" w:eastAsia="Times New Roman" w:hAnsi="Arial" w:cs="Arial"/>
          <w:color w:val="000000" w:themeColor="text1"/>
          <w:sz w:val="22"/>
          <w:szCs w:val="22"/>
          <w:shd w:val="clear" w:color="auto" w:fill="FFFFFF"/>
          <w:lang w:val="en-US" w:eastAsia="en-GB"/>
        </w:rPr>
        <w:t>ow can the taxable person prove such an intention</w:t>
      </w:r>
      <w:r w:rsidR="00624B79" w:rsidRPr="00EA0CBF">
        <w:rPr>
          <w:rFonts w:ascii="Arial" w:eastAsia="Times New Roman" w:hAnsi="Arial" w:cs="Arial"/>
          <w:color w:val="000000" w:themeColor="text1"/>
          <w:sz w:val="22"/>
          <w:szCs w:val="22"/>
          <w:shd w:val="clear" w:color="auto" w:fill="FFFFFF"/>
          <w:lang w:val="en-US" w:eastAsia="en-GB"/>
        </w:rPr>
        <w:t xml:space="preserve"> in practice</w:t>
      </w:r>
      <w:r w:rsidR="00097AAC" w:rsidRPr="00EA0CBF">
        <w:rPr>
          <w:rFonts w:ascii="Arial" w:eastAsia="Times New Roman" w:hAnsi="Arial" w:cs="Arial"/>
          <w:color w:val="000000" w:themeColor="text1"/>
          <w:sz w:val="22"/>
          <w:szCs w:val="22"/>
          <w:shd w:val="clear" w:color="auto" w:fill="FFFFFF"/>
          <w:lang w:val="en-US" w:eastAsia="en-GB"/>
        </w:rPr>
        <w:t>? E</w:t>
      </w:r>
      <w:r w:rsidR="00B94799" w:rsidRPr="00EA0CBF">
        <w:rPr>
          <w:rFonts w:ascii="Arial" w:eastAsia="Times New Roman" w:hAnsi="Arial" w:cs="Arial"/>
          <w:color w:val="000000" w:themeColor="text1"/>
          <w:sz w:val="22"/>
          <w:szCs w:val="22"/>
          <w:shd w:val="clear" w:color="auto" w:fill="FFFFFF"/>
          <w:lang w:val="en-US" w:eastAsia="en-GB"/>
        </w:rPr>
        <w:t xml:space="preserve">xcept from </w:t>
      </w:r>
      <w:r w:rsidR="00B94799" w:rsidRPr="00EA0CBF">
        <w:rPr>
          <w:rFonts w:ascii="Arial" w:eastAsia="Times New Roman" w:hAnsi="Arial" w:cs="Arial"/>
          <w:i/>
          <w:iCs/>
          <w:color w:val="000000" w:themeColor="text1"/>
          <w:sz w:val="22"/>
          <w:szCs w:val="22"/>
          <w:shd w:val="clear" w:color="auto" w:fill="FFFFFF"/>
          <w:lang w:val="en-US" w:eastAsia="en-GB"/>
        </w:rPr>
        <w:t>stating it</w:t>
      </w:r>
      <w:r w:rsidR="00B94799" w:rsidRPr="00EA0CBF">
        <w:rPr>
          <w:rFonts w:ascii="Arial" w:eastAsia="Times New Roman" w:hAnsi="Arial" w:cs="Arial"/>
          <w:color w:val="000000" w:themeColor="text1"/>
          <w:sz w:val="22"/>
          <w:szCs w:val="22"/>
          <w:shd w:val="clear" w:color="auto" w:fill="FFFFFF"/>
          <w:lang w:val="en-US" w:eastAsia="en-GB"/>
        </w:rPr>
        <w:t>, what are the possible evidence</w:t>
      </w:r>
      <w:r w:rsidR="00B97844" w:rsidRPr="00EA0CBF">
        <w:rPr>
          <w:rFonts w:ascii="Arial" w:eastAsia="Times New Roman" w:hAnsi="Arial" w:cs="Arial"/>
          <w:color w:val="000000" w:themeColor="text1"/>
          <w:sz w:val="22"/>
          <w:szCs w:val="22"/>
          <w:shd w:val="clear" w:color="auto" w:fill="FFFFFF"/>
          <w:lang w:val="en-US" w:eastAsia="en-GB"/>
        </w:rPr>
        <w:t xml:space="preserve"> </w:t>
      </w:r>
      <w:r w:rsidR="006B0551" w:rsidRPr="00EA0CBF">
        <w:rPr>
          <w:rFonts w:ascii="Arial" w:eastAsia="Times New Roman" w:hAnsi="Arial" w:cs="Arial"/>
          <w:color w:val="000000" w:themeColor="text1"/>
          <w:sz w:val="22"/>
          <w:szCs w:val="22"/>
          <w:shd w:val="clear" w:color="auto" w:fill="FFFFFF"/>
          <w:lang w:val="en-US" w:eastAsia="en-GB"/>
        </w:rPr>
        <w:t xml:space="preserve">that can be provided </w:t>
      </w:r>
      <w:r w:rsidR="00097AAC" w:rsidRPr="00EA0CBF">
        <w:rPr>
          <w:rFonts w:ascii="Arial" w:eastAsia="Times New Roman" w:hAnsi="Arial" w:cs="Arial"/>
          <w:color w:val="000000" w:themeColor="text1"/>
          <w:sz w:val="22"/>
          <w:szCs w:val="22"/>
          <w:shd w:val="clear" w:color="auto" w:fill="FFFFFF"/>
          <w:lang w:val="en-US" w:eastAsia="en-GB"/>
        </w:rPr>
        <w:t xml:space="preserve">to the tax authorities </w:t>
      </w:r>
      <w:r w:rsidR="006B0551" w:rsidRPr="00EA0CBF">
        <w:rPr>
          <w:rFonts w:ascii="Arial" w:eastAsia="Times New Roman" w:hAnsi="Arial" w:cs="Arial"/>
          <w:color w:val="000000" w:themeColor="text1"/>
          <w:sz w:val="22"/>
          <w:szCs w:val="22"/>
          <w:shd w:val="clear" w:color="auto" w:fill="FFFFFF"/>
          <w:lang w:val="en-US" w:eastAsia="en-GB"/>
        </w:rPr>
        <w:t xml:space="preserve">to demonstrate </w:t>
      </w:r>
      <w:r w:rsidR="00B97844" w:rsidRPr="00EA0CBF">
        <w:rPr>
          <w:rFonts w:ascii="Arial" w:eastAsia="Times New Roman" w:hAnsi="Arial" w:cs="Arial"/>
          <w:color w:val="000000" w:themeColor="text1"/>
          <w:sz w:val="22"/>
          <w:szCs w:val="22"/>
          <w:shd w:val="clear" w:color="auto" w:fill="FFFFFF"/>
          <w:lang w:val="en-US" w:eastAsia="en-GB"/>
        </w:rPr>
        <w:t>such an intention</w:t>
      </w:r>
      <w:r w:rsidR="00B94799" w:rsidRPr="00EA0CBF">
        <w:rPr>
          <w:rFonts w:ascii="Arial" w:eastAsia="Times New Roman" w:hAnsi="Arial" w:cs="Arial"/>
          <w:color w:val="000000" w:themeColor="text1"/>
          <w:sz w:val="22"/>
          <w:szCs w:val="22"/>
          <w:shd w:val="clear" w:color="auto" w:fill="FFFFFF"/>
          <w:lang w:val="en-US" w:eastAsia="en-GB"/>
        </w:rPr>
        <w:t xml:space="preserve">? At the same time, what should the tax authorities do exactly to reject the deduction on the grounds that the expenses </w:t>
      </w:r>
      <w:r w:rsidR="00B94799" w:rsidRPr="00EA0CBF">
        <w:rPr>
          <w:rFonts w:ascii="Arial" w:eastAsia="Times New Roman" w:hAnsi="Arial" w:cs="Arial"/>
          <w:i/>
          <w:iCs/>
          <w:color w:val="000000" w:themeColor="text1"/>
          <w:sz w:val="22"/>
          <w:szCs w:val="22"/>
          <w:shd w:val="clear" w:color="auto" w:fill="FFFFFF"/>
          <w:lang w:val="en-US" w:eastAsia="en-GB"/>
        </w:rPr>
        <w:t>prove</w:t>
      </w:r>
      <w:r w:rsidR="00B94799" w:rsidRPr="00EA0CBF">
        <w:rPr>
          <w:rFonts w:ascii="Arial" w:eastAsia="Times New Roman" w:hAnsi="Arial" w:cs="Arial"/>
          <w:color w:val="000000" w:themeColor="text1"/>
          <w:sz w:val="22"/>
          <w:szCs w:val="22"/>
          <w:shd w:val="clear" w:color="auto" w:fill="FFFFFF"/>
          <w:lang w:val="en-US" w:eastAsia="en-GB"/>
        </w:rPr>
        <w:t xml:space="preserve"> </w:t>
      </w:r>
      <w:r w:rsidR="00B94799" w:rsidRPr="00EA0CBF">
        <w:rPr>
          <w:rFonts w:ascii="Arial" w:hAnsi="Arial" w:cs="Arial"/>
          <w:color w:val="000000" w:themeColor="text1"/>
          <w:sz w:val="22"/>
          <w:szCs w:val="22"/>
        </w:rPr>
        <w:t xml:space="preserve">to be </w:t>
      </w:r>
      <w:r w:rsidR="00B94799" w:rsidRPr="00EA0CBF">
        <w:rPr>
          <w:rFonts w:ascii="Arial" w:hAnsi="Arial" w:cs="Arial"/>
          <w:color w:val="000000" w:themeColor="text1"/>
          <w:sz w:val="22"/>
          <w:szCs w:val="22"/>
          <w:lang w:val="en-US"/>
        </w:rPr>
        <w:t>“</w:t>
      </w:r>
      <w:r w:rsidR="00B94799" w:rsidRPr="00EA0CBF">
        <w:rPr>
          <w:rFonts w:ascii="Arial" w:hAnsi="Arial" w:cs="Arial"/>
          <w:color w:val="000000" w:themeColor="text1"/>
          <w:sz w:val="22"/>
          <w:szCs w:val="22"/>
        </w:rPr>
        <w:t>entirely unrelated to</w:t>
      </w:r>
      <w:r w:rsidR="00B94799" w:rsidRPr="00EA0CBF">
        <w:rPr>
          <w:rFonts w:ascii="Arial" w:hAnsi="Arial" w:cs="Arial"/>
          <w:color w:val="000000" w:themeColor="text1"/>
          <w:sz w:val="22"/>
          <w:szCs w:val="22"/>
          <w:lang w:val="en-US"/>
        </w:rPr>
        <w:t>”</w:t>
      </w:r>
      <w:r w:rsidR="00B94799" w:rsidRPr="00EA0CBF">
        <w:rPr>
          <w:rFonts w:ascii="Arial" w:hAnsi="Arial" w:cs="Arial"/>
          <w:color w:val="000000" w:themeColor="text1"/>
          <w:sz w:val="22"/>
          <w:szCs w:val="22"/>
        </w:rPr>
        <w:t xml:space="preserve"> </w:t>
      </w:r>
      <w:r w:rsidR="00B94799" w:rsidRPr="00EA0CBF">
        <w:rPr>
          <w:rFonts w:ascii="Arial" w:hAnsi="Arial" w:cs="Arial"/>
          <w:color w:val="000000" w:themeColor="text1"/>
          <w:sz w:val="22"/>
          <w:szCs w:val="22"/>
          <w:lang w:val="en-US"/>
        </w:rPr>
        <w:t>the taxpayer’s</w:t>
      </w:r>
      <w:r w:rsidR="00B94799" w:rsidRPr="00EA0CBF">
        <w:rPr>
          <w:rFonts w:ascii="Arial" w:hAnsi="Arial" w:cs="Arial"/>
          <w:color w:val="000000" w:themeColor="text1"/>
          <w:sz w:val="22"/>
          <w:szCs w:val="22"/>
        </w:rPr>
        <w:t xml:space="preserve"> economic activity</w:t>
      </w:r>
      <w:r w:rsidR="00B97844" w:rsidRPr="00EA0CBF">
        <w:rPr>
          <w:rFonts w:ascii="Arial" w:hAnsi="Arial" w:cs="Arial"/>
          <w:color w:val="000000" w:themeColor="text1"/>
          <w:sz w:val="22"/>
          <w:szCs w:val="22"/>
          <w:lang w:val="en-US"/>
        </w:rPr>
        <w:t xml:space="preserve">? Should they </w:t>
      </w:r>
      <w:r w:rsidR="00B97844" w:rsidRPr="00EA0CBF">
        <w:rPr>
          <w:rFonts w:ascii="Arial" w:hAnsi="Arial" w:cs="Arial"/>
          <w:i/>
          <w:iCs/>
          <w:color w:val="000000" w:themeColor="text1"/>
          <w:sz w:val="22"/>
          <w:szCs w:val="22"/>
          <w:lang w:val="en-US"/>
        </w:rPr>
        <w:t>prove</w:t>
      </w:r>
      <w:r w:rsidR="00B97844" w:rsidRPr="00EA0CBF">
        <w:rPr>
          <w:rFonts w:ascii="Arial" w:hAnsi="Arial" w:cs="Arial"/>
          <w:color w:val="000000" w:themeColor="text1"/>
          <w:sz w:val="22"/>
          <w:szCs w:val="22"/>
          <w:lang w:val="en-US"/>
        </w:rPr>
        <w:t xml:space="preserve"> that they are related to something else</w:t>
      </w:r>
      <w:r w:rsidR="00AE34CA" w:rsidRPr="00EA0CBF">
        <w:rPr>
          <w:rFonts w:ascii="Arial" w:hAnsi="Arial" w:cs="Arial"/>
          <w:color w:val="000000" w:themeColor="text1"/>
          <w:sz w:val="22"/>
          <w:szCs w:val="22"/>
          <w:lang w:val="en-US"/>
        </w:rPr>
        <w:t>,</w:t>
      </w:r>
      <w:r w:rsidR="00B97844" w:rsidRPr="00EA0CBF">
        <w:rPr>
          <w:rFonts w:ascii="Arial" w:hAnsi="Arial" w:cs="Arial"/>
          <w:color w:val="000000" w:themeColor="text1"/>
          <w:sz w:val="22"/>
          <w:szCs w:val="22"/>
          <w:lang w:val="en-US"/>
        </w:rPr>
        <w:t xml:space="preserve"> </w:t>
      </w:r>
      <w:r w:rsidR="006B0551" w:rsidRPr="00EA0CBF">
        <w:rPr>
          <w:rFonts w:ascii="Arial" w:hAnsi="Arial" w:cs="Arial"/>
          <w:color w:val="000000" w:themeColor="text1"/>
          <w:sz w:val="22"/>
          <w:szCs w:val="22"/>
          <w:lang w:val="en-US"/>
        </w:rPr>
        <w:t xml:space="preserve">and should they identify what is this “something else” </w:t>
      </w:r>
      <w:r w:rsidR="00B97844" w:rsidRPr="00EA0CBF">
        <w:rPr>
          <w:rFonts w:ascii="Arial" w:hAnsi="Arial" w:cs="Arial"/>
          <w:color w:val="000000" w:themeColor="text1"/>
          <w:sz w:val="22"/>
          <w:szCs w:val="22"/>
          <w:lang w:val="en-US"/>
        </w:rPr>
        <w:t>(such as a private use</w:t>
      </w:r>
      <w:r w:rsidR="00443DD5" w:rsidRPr="00EA0CBF">
        <w:rPr>
          <w:rFonts w:ascii="Arial" w:hAnsi="Arial" w:cs="Arial"/>
          <w:color w:val="000000" w:themeColor="text1"/>
          <w:sz w:val="22"/>
          <w:szCs w:val="22"/>
          <w:lang w:val="en-US"/>
        </w:rPr>
        <w:t xml:space="preserve"> that is clearly established</w:t>
      </w:r>
      <w:r w:rsidR="00B97844" w:rsidRPr="00EA0CBF">
        <w:rPr>
          <w:rFonts w:ascii="Arial" w:hAnsi="Arial" w:cs="Arial"/>
          <w:color w:val="000000" w:themeColor="text1"/>
          <w:sz w:val="22"/>
          <w:szCs w:val="22"/>
          <w:lang w:val="en-US"/>
        </w:rPr>
        <w:t>)? Or would it be sufficient to state that “they cannot see how this can be related to the business activity”</w:t>
      </w:r>
      <w:r w:rsidR="006B0551" w:rsidRPr="00EA0CBF">
        <w:rPr>
          <w:rFonts w:ascii="Arial" w:hAnsi="Arial" w:cs="Arial"/>
          <w:color w:val="000000" w:themeColor="text1"/>
          <w:sz w:val="22"/>
          <w:szCs w:val="22"/>
          <w:lang w:val="en-US"/>
        </w:rPr>
        <w:t xml:space="preserve"> (which would be problematic in my view)</w:t>
      </w:r>
      <w:r w:rsidR="00B97844" w:rsidRPr="00EA0CBF">
        <w:rPr>
          <w:rFonts w:ascii="Arial" w:hAnsi="Arial" w:cs="Arial"/>
          <w:color w:val="000000" w:themeColor="text1"/>
          <w:sz w:val="22"/>
          <w:szCs w:val="22"/>
          <w:lang w:val="en-US"/>
        </w:rPr>
        <w:t>?</w:t>
      </w:r>
      <w:r w:rsidR="00443DD5" w:rsidRPr="00EA0CBF">
        <w:rPr>
          <w:rFonts w:ascii="Arial" w:hAnsi="Arial" w:cs="Arial"/>
          <w:color w:val="000000" w:themeColor="text1"/>
          <w:sz w:val="22"/>
          <w:szCs w:val="22"/>
          <w:lang w:val="en-US"/>
        </w:rPr>
        <w:t xml:space="preserve"> </w:t>
      </w:r>
    </w:p>
    <w:p w14:paraId="6F275176" w14:textId="2A511371" w:rsidR="00AE34CA" w:rsidRDefault="00AE34CA" w:rsidP="00097AAC">
      <w:pPr>
        <w:jc w:val="both"/>
        <w:rPr>
          <w:rFonts w:ascii="Arial" w:hAnsi="Arial" w:cs="Arial"/>
          <w:color w:val="000000" w:themeColor="text1"/>
          <w:sz w:val="22"/>
          <w:szCs w:val="22"/>
          <w:lang w:val="en-US"/>
        </w:rPr>
      </w:pPr>
    </w:p>
    <w:p w14:paraId="03639CF0" w14:textId="1F885039" w:rsidR="005D5DDB" w:rsidRDefault="005D5DDB" w:rsidP="00097AAC">
      <w:pPr>
        <w:jc w:val="both"/>
        <w:rPr>
          <w:rFonts w:ascii="Arial" w:hAnsi="Arial" w:cs="Arial"/>
          <w:color w:val="000000" w:themeColor="text1"/>
          <w:sz w:val="22"/>
          <w:szCs w:val="22"/>
          <w:lang w:val="en-US"/>
        </w:rPr>
      </w:pPr>
    </w:p>
    <w:p w14:paraId="4B7A548D" w14:textId="2F0A87C1" w:rsidR="005D5DDB" w:rsidRDefault="005D5DDB" w:rsidP="00097AAC">
      <w:pPr>
        <w:jc w:val="both"/>
        <w:rPr>
          <w:rFonts w:ascii="Arial" w:hAnsi="Arial" w:cs="Arial"/>
          <w:color w:val="000000" w:themeColor="text1"/>
          <w:sz w:val="22"/>
          <w:szCs w:val="22"/>
          <w:lang w:val="en-US"/>
        </w:rPr>
      </w:pPr>
    </w:p>
    <w:p w14:paraId="4206CB7C" w14:textId="19B91BC2" w:rsidR="005D5DDB" w:rsidRDefault="005D5DDB" w:rsidP="00097AAC">
      <w:pPr>
        <w:jc w:val="both"/>
        <w:rPr>
          <w:rFonts w:ascii="Arial" w:hAnsi="Arial" w:cs="Arial"/>
          <w:color w:val="000000" w:themeColor="text1"/>
          <w:sz w:val="22"/>
          <w:szCs w:val="22"/>
          <w:lang w:val="en-US"/>
        </w:rPr>
      </w:pPr>
    </w:p>
    <w:p w14:paraId="6D6A8E6E" w14:textId="77777777" w:rsidR="005D5DDB" w:rsidRPr="00EA0CBF" w:rsidRDefault="005D5DDB" w:rsidP="00097AAC">
      <w:pPr>
        <w:jc w:val="both"/>
        <w:rPr>
          <w:rFonts w:ascii="Arial" w:eastAsia="Times New Roman" w:hAnsi="Arial" w:cs="Arial"/>
          <w:color w:val="000000" w:themeColor="text1"/>
          <w:sz w:val="22"/>
          <w:szCs w:val="22"/>
          <w:shd w:val="clear" w:color="auto" w:fill="FFFFFF"/>
          <w:lang w:val="en-US" w:eastAsia="en-GB"/>
        </w:rPr>
      </w:pPr>
    </w:p>
    <w:p w14:paraId="4E45F259" w14:textId="5FF38F64" w:rsidR="001B7C4D" w:rsidRPr="00EA0CBF" w:rsidRDefault="001B7C4D" w:rsidP="006E45F3">
      <w:pPr>
        <w:jc w:val="both"/>
        <w:rPr>
          <w:rFonts w:ascii="Arial" w:eastAsia="Times New Roman" w:hAnsi="Arial" w:cs="Arial"/>
          <w:color w:val="000000" w:themeColor="text1"/>
          <w:sz w:val="22"/>
          <w:szCs w:val="22"/>
          <w:lang w:val="en-US" w:eastAsia="en-GB"/>
        </w:rPr>
      </w:pPr>
    </w:p>
    <w:p w14:paraId="0FA79F2E" w14:textId="77777777" w:rsidR="00F8415B" w:rsidRPr="00EA0CBF" w:rsidRDefault="00F8415B" w:rsidP="006E45F3">
      <w:pPr>
        <w:jc w:val="both"/>
        <w:rPr>
          <w:rFonts w:ascii="Arial" w:eastAsia="Times New Roman" w:hAnsi="Arial" w:cs="Arial"/>
          <w:color w:val="000000" w:themeColor="text1"/>
          <w:sz w:val="22"/>
          <w:szCs w:val="22"/>
          <w:shd w:val="clear" w:color="auto" w:fill="FFFFFF"/>
          <w:lang w:val="en-US" w:eastAsia="en-GB"/>
        </w:rPr>
      </w:pPr>
    </w:p>
    <w:p w14:paraId="62E1ADE0" w14:textId="3297D6FF" w:rsidR="00400523" w:rsidRPr="00EA0CBF" w:rsidRDefault="001B7C4D" w:rsidP="00400523">
      <w:pPr>
        <w:pStyle w:val="ListParagraph"/>
        <w:numPr>
          <w:ilvl w:val="0"/>
          <w:numId w:val="1"/>
        </w:numPr>
        <w:jc w:val="both"/>
        <w:rPr>
          <w:rFonts w:ascii="Arial" w:eastAsia="Times New Roman" w:hAnsi="Arial" w:cs="Arial"/>
          <w:b/>
          <w:bCs/>
          <w:color w:val="000000" w:themeColor="text1"/>
          <w:sz w:val="22"/>
          <w:szCs w:val="22"/>
          <w:lang w:eastAsia="en-GB"/>
        </w:rPr>
      </w:pPr>
      <w:r w:rsidRPr="00EA0CBF">
        <w:rPr>
          <w:rFonts w:ascii="Arial" w:eastAsia="Times New Roman" w:hAnsi="Arial" w:cs="Arial"/>
          <w:b/>
          <w:bCs/>
          <w:color w:val="000000" w:themeColor="text1"/>
          <w:sz w:val="22"/>
          <w:szCs w:val="22"/>
          <w:shd w:val="clear" w:color="auto" w:fill="FFFFFF"/>
          <w:lang w:val="en-US" w:eastAsia="en-GB"/>
        </w:rPr>
        <w:lastRenderedPageBreak/>
        <w:t> </w:t>
      </w:r>
      <w:r w:rsidRPr="00EA0CBF">
        <w:rPr>
          <w:rFonts w:ascii="Arial" w:eastAsia="Times New Roman" w:hAnsi="Arial" w:cs="Arial"/>
          <w:b/>
          <w:bCs/>
          <w:color w:val="000000" w:themeColor="text1"/>
          <w:sz w:val="22"/>
          <w:szCs w:val="22"/>
          <w:lang w:val="en-US" w:eastAsia="en-GB"/>
        </w:rPr>
        <w:t>C</w:t>
      </w:r>
      <w:r w:rsidRPr="00EA0CBF">
        <w:rPr>
          <w:rFonts w:ascii="Arial" w:eastAsia="Times New Roman" w:hAnsi="Arial" w:cs="Arial"/>
          <w:b/>
          <w:bCs/>
          <w:color w:val="000000" w:themeColor="text1"/>
          <w:sz w:val="22"/>
          <w:szCs w:val="22"/>
          <w:lang w:val="en-US" w:eastAsia="en-GB"/>
        </w:rPr>
        <w:noBreakHyphen/>
        <w:t xml:space="preserve">98/21 </w:t>
      </w:r>
      <w:proofErr w:type="spellStart"/>
      <w:r w:rsidRPr="00EA0CBF">
        <w:rPr>
          <w:rFonts w:ascii="Arial" w:eastAsia="Times New Roman" w:hAnsi="Arial" w:cs="Arial"/>
          <w:b/>
          <w:bCs/>
          <w:color w:val="000000" w:themeColor="text1"/>
          <w:sz w:val="22"/>
          <w:szCs w:val="22"/>
          <w:lang w:val="en-US" w:eastAsia="en-GB"/>
        </w:rPr>
        <w:t>Finanzamt</w:t>
      </w:r>
      <w:proofErr w:type="spellEnd"/>
      <w:r w:rsidRPr="00EA0CBF">
        <w:rPr>
          <w:rFonts w:ascii="Arial" w:eastAsia="Times New Roman" w:hAnsi="Arial" w:cs="Arial"/>
          <w:b/>
          <w:bCs/>
          <w:color w:val="000000" w:themeColor="text1"/>
          <w:sz w:val="22"/>
          <w:szCs w:val="22"/>
          <w:lang w:val="en-US" w:eastAsia="en-GB"/>
        </w:rPr>
        <w:t xml:space="preserve"> R v W GmbH </w:t>
      </w:r>
    </w:p>
    <w:p w14:paraId="0216B40C" w14:textId="77777777" w:rsidR="007054F6" w:rsidRPr="00EA0CBF" w:rsidRDefault="007054F6" w:rsidP="007054F6">
      <w:pPr>
        <w:pStyle w:val="ListParagraph"/>
        <w:ind w:left="360"/>
        <w:jc w:val="both"/>
        <w:rPr>
          <w:rFonts w:ascii="Arial" w:eastAsia="Times New Roman" w:hAnsi="Arial" w:cs="Arial"/>
          <w:b/>
          <w:bCs/>
          <w:color w:val="000000" w:themeColor="text1"/>
          <w:sz w:val="22"/>
          <w:szCs w:val="22"/>
          <w:lang w:eastAsia="en-GB"/>
        </w:rPr>
      </w:pPr>
    </w:p>
    <w:p w14:paraId="2EE50B19" w14:textId="190B55A7" w:rsidR="00F8415B" w:rsidRPr="00EA0CBF" w:rsidRDefault="00F8415B" w:rsidP="00400523">
      <w:pPr>
        <w:pStyle w:val="ListParagraph"/>
        <w:numPr>
          <w:ilvl w:val="1"/>
          <w:numId w:val="1"/>
        </w:numPr>
        <w:jc w:val="both"/>
        <w:rPr>
          <w:rFonts w:ascii="Arial" w:eastAsia="Times New Roman" w:hAnsi="Arial" w:cs="Arial"/>
          <w:b/>
          <w:bCs/>
          <w:color w:val="000000" w:themeColor="text1"/>
          <w:sz w:val="22"/>
          <w:szCs w:val="22"/>
          <w:lang w:eastAsia="en-GB"/>
        </w:rPr>
      </w:pPr>
      <w:r w:rsidRPr="00EA0CBF">
        <w:rPr>
          <w:rFonts w:ascii="Arial" w:eastAsia="Times New Roman" w:hAnsi="Arial" w:cs="Arial"/>
          <w:b/>
          <w:bCs/>
          <w:color w:val="000000" w:themeColor="text1"/>
          <w:sz w:val="22"/>
          <w:szCs w:val="22"/>
          <w:shd w:val="clear" w:color="auto" w:fill="FFFFFF"/>
          <w:lang w:val="en-US" w:eastAsia="en-GB"/>
        </w:rPr>
        <w:t>Facts and question raised</w:t>
      </w:r>
    </w:p>
    <w:p w14:paraId="31799B8E" w14:textId="7AB93668" w:rsidR="00DA1718" w:rsidRPr="00EA0CBF" w:rsidRDefault="00DA1718" w:rsidP="00DA1718">
      <w:pPr>
        <w:jc w:val="both"/>
        <w:rPr>
          <w:rFonts w:ascii="Arial" w:eastAsia="Times New Roman" w:hAnsi="Arial" w:cs="Arial"/>
          <w:b/>
          <w:bCs/>
          <w:color w:val="000000" w:themeColor="text1"/>
          <w:sz w:val="22"/>
          <w:szCs w:val="22"/>
          <w:lang w:eastAsia="en-GB"/>
        </w:rPr>
      </w:pPr>
    </w:p>
    <w:p w14:paraId="4772CC64" w14:textId="67DDC264" w:rsidR="007054F6" w:rsidRPr="00EA0CBF" w:rsidRDefault="00940622" w:rsidP="00940622">
      <w:p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 xml:space="preserve">W’s </w:t>
      </w:r>
      <w:r w:rsidRPr="00940622">
        <w:rPr>
          <w:rFonts w:ascii="Arial" w:eastAsia="Times New Roman" w:hAnsi="Arial" w:cs="Arial"/>
          <w:color w:val="000000" w:themeColor="text1"/>
          <w:sz w:val="22"/>
          <w:szCs w:val="22"/>
          <w:lang w:val="en-GB" w:eastAsia="en-GB"/>
        </w:rPr>
        <w:t xml:space="preserve">activity consists in the acquisition, </w:t>
      </w:r>
      <w:proofErr w:type="gramStart"/>
      <w:r w:rsidRPr="00940622">
        <w:rPr>
          <w:rFonts w:ascii="Arial" w:eastAsia="Times New Roman" w:hAnsi="Arial" w:cs="Arial"/>
          <w:color w:val="000000" w:themeColor="text1"/>
          <w:sz w:val="22"/>
          <w:szCs w:val="22"/>
          <w:lang w:val="en-GB" w:eastAsia="en-GB"/>
        </w:rPr>
        <w:t>management</w:t>
      </w:r>
      <w:proofErr w:type="gramEnd"/>
      <w:r w:rsidRPr="00940622">
        <w:rPr>
          <w:rFonts w:ascii="Arial" w:eastAsia="Times New Roman" w:hAnsi="Arial" w:cs="Arial"/>
          <w:color w:val="000000" w:themeColor="text1"/>
          <w:sz w:val="22"/>
          <w:szCs w:val="22"/>
          <w:lang w:val="en-GB" w:eastAsia="en-GB"/>
        </w:rPr>
        <w:t xml:space="preserve"> and use of </w:t>
      </w:r>
      <w:r w:rsidR="00793CDD">
        <w:rPr>
          <w:rFonts w:ascii="Arial" w:eastAsia="Times New Roman" w:hAnsi="Arial" w:cs="Arial"/>
          <w:color w:val="000000" w:themeColor="text1"/>
          <w:sz w:val="22"/>
          <w:szCs w:val="22"/>
          <w:lang w:val="en-GB" w:eastAsia="en-GB"/>
        </w:rPr>
        <w:t xml:space="preserve">immovable </w:t>
      </w:r>
      <w:r w:rsidRPr="00940622">
        <w:rPr>
          <w:rFonts w:ascii="Arial" w:eastAsia="Times New Roman" w:hAnsi="Arial" w:cs="Arial"/>
          <w:color w:val="000000" w:themeColor="text1"/>
          <w:sz w:val="22"/>
          <w:szCs w:val="22"/>
          <w:lang w:val="en-GB" w:eastAsia="en-GB"/>
        </w:rPr>
        <w:t xml:space="preserve">properties, as well as the design, remediation and realisation of building projects. In 2013, W held shares in X GmbH </w:t>
      </w:r>
      <w:r w:rsidRPr="00EA0CBF">
        <w:rPr>
          <w:rFonts w:ascii="Arial" w:eastAsia="Times New Roman" w:hAnsi="Arial" w:cs="Arial"/>
          <w:color w:val="000000" w:themeColor="text1"/>
          <w:sz w:val="22"/>
          <w:szCs w:val="22"/>
          <w:lang w:val="en-GB" w:eastAsia="en-GB"/>
        </w:rPr>
        <w:t xml:space="preserve">(‘X’) </w:t>
      </w:r>
      <w:r w:rsidRPr="00940622">
        <w:rPr>
          <w:rFonts w:ascii="Arial" w:eastAsia="Times New Roman" w:hAnsi="Arial" w:cs="Arial"/>
          <w:color w:val="000000" w:themeColor="text1"/>
          <w:sz w:val="22"/>
          <w:szCs w:val="22"/>
          <w:lang w:val="en-GB" w:eastAsia="en-GB"/>
        </w:rPr>
        <w:t>&amp; Co. KG and Y GmbH &amp; Co. KG</w:t>
      </w:r>
      <w:r w:rsidRPr="00EA0CBF">
        <w:rPr>
          <w:rFonts w:ascii="Arial" w:eastAsia="Times New Roman" w:hAnsi="Arial" w:cs="Arial"/>
          <w:color w:val="000000" w:themeColor="text1"/>
          <w:sz w:val="22"/>
          <w:szCs w:val="22"/>
          <w:lang w:val="en-GB" w:eastAsia="en-GB"/>
        </w:rPr>
        <w:t xml:space="preserve"> (‘Y’)</w:t>
      </w:r>
      <w:r w:rsidRPr="00940622">
        <w:rPr>
          <w:rFonts w:ascii="Arial" w:eastAsia="Times New Roman" w:hAnsi="Arial" w:cs="Arial"/>
          <w:color w:val="000000" w:themeColor="text1"/>
          <w:sz w:val="22"/>
          <w:szCs w:val="22"/>
          <w:lang w:val="en-GB" w:eastAsia="en-GB"/>
        </w:rPr>
        <w:t xml:space="preserve">, whose </w:t>
      </w:r>
      <w:r w:rsidR="00F3482D" w:rsidRPr="00EA0CBF">
        <w:rPr>
          <w:rFonts w:ascii="Arial" w:eastAsia="Times New Roman" w:hAnsi="Arial" w:cs="Arial"/>
          <w:color w:val="000000" w:themeColor="text1"/>
          <w:sz w:val="22"/>
          <w:szCs w:val="22"/>
          <w:lang w:val="en-GB" w:eastAsia="en-GB"/>
        </w:rPr>
        <w:t xml:space="preserve">respective </w:t>
      </w:r>
      <w:r w:rsidRPr="00940622">
        <w:rPr>
          <w:rFonts w:ascii="Arial" w:eastAsia="Times New Roman" w:hAnsi="Arial" w:cs="Arial"/>
          <w:color w:val="000000" w:themeColor="text1"/>
          <w:sz w:val="22"/>
          <w:szCs w:val="22"/>
          <w:lang w:val="en-GB" w:eastAsia="en-GB"/>
        </w:rPr>
        <w:t>activit</w:t>
      </w:r>
      <w:r w:rsidR="00F3482D" w:rsidRPr="00EA0CBF">
        <w:rPr>
          <w:rFonts w:ascii="Arial" w:eastAsia="Times New Roman" w:hAnsi="Arial" w:cs="Arial"/>
          <w:color w:val="000000" w:themeColor="text1"/>
          <w:sz w:val="22"/>
          <w:szCs w:val="22"/>
          <w:lang w:val="en-GB" w:eastAsia="en-GB"/>
        </w:rPr>
        <w:t>ies</w:t>
      </w:r>
      <w:r w:rsidRPr="00940622">
        <w:rPr>
          <w:rFonts w:ascii="Arial" w:eastAsia="Times New Roman" w:hAnsi="Arial" w:cs="Arial"/>
          <w:color w:val="000000" w:themeColor="text1"/>
          <w:sz w:val="22"/>
          <w:szCs w:val="22"/>
          <w:lang w:val="en-GB" w:eastAsia="en-GB"/>
        </w:rPr>
        <w:t xml:space="preserve"> consist in the construction of properties and the sale of individual dwelling units, largely exempt from VAT.</w:t>
      </w:r>
      <w:r w:rsidRPr="00EA0CBF">
        <w:rPr>
          <w:rFonts w:ascii="Arial" w:eastAsia="Times New Roman" w:hAnsi="Arial" w:cs="Arial"/>
          <w:color w:val="000000" w:themeColor="text1"/>
          <w:sz w:val="22"/>
          <w:szCs w:val="22"/>
          <w:lang w:val="en-GB" w:eastAsia="en-GB"/>
        </w:rPr>
        <w:t xml:space="preserve"> </w:t>
      </w:r>
    </w:p>
    <w:p w14:paraId="26AECAE5" w14:textId="77777777" w:rsidR="007054F6" w:rsidRPr="00EA0CBF" w:rsidRDefault="007054F6" w:rsidP="00940622">
      <w:pPr>
        <w:jc w:val="both"/>
        <w:rPr>
          <w:rFonts w:ascii="Arial" w:eastAsia="Times New Roman" w:hAnsi="Arial" w:cs="Arial"/>
          <w:color w:val="000000" w:themeColor="text1"/>
          <w:sz w:val="22"/>
          <w:szCs w:val="22"/>
          <w:lang w:val="en-GB" w:eastAsia="en-GB"/>
        </w:rPr>
      </w:pPr>
    </w:p>
    <w:p w14:paraId="07297BE8" w14:textId="1AAA768E" w:rsidR="00940622" w:rsidRPr="00EA0CBF" w:rsidRDefault="00940622" w:rsidP="00940622">
      <w:p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Both X and Y had the project to build immovable properties. In relation to these projects, W:</w:t>
      </w:r>
    </w:p>
    <w:p w14:paraId="1892E461" w14:textId="77777777" w:rsidR="007054F6" w:rsidRPr="00EA0CBF" w:rsidRDefault="007054F6" w:rsidP="00940622">
      <w:pPr>
        <w:jc w:val="both"/>
        <w:rPr>
          <w:rFonts w:ascii="Arial" w:eastAsia="Times New Roman" w:hAnsi="Arial" w:cs="Arial"/>
          <w:color w:val="000000" w:themeColor="text1"/>
          <w:sz w:val="22"/>
          <w:szCs w:val="22"/>
          <w:lang w:val="en-GB" w:eastAsia="en-GB"/>
        </w:rPr>
      </w:pPr>
    </w:p>
    <w:p w14:paraId="1E12C25E" w14:textId="0749BE0A" w:rsidR="00940622" w:rsidRPr="00EA0CBF" w:rsidRDefault="007054F6" w:rsidP="00940622">
      <w:pPr>
        <w:pStyle w:val="ListParagraph"/>
        <w:numPr>
          <w:ilvl w:val="0"/>
          <w:numId w:val="8"/>
        </w:num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m</w:t>
      </w:r>
      <w:r w:rsidR="00940622" w:rsidRPr="00EA0CBF">
        <w:rPr>
          <w:rFonts w:ascii="Arial" w:eastAsia="Times New Roman" w:hAnsi="Arial" w:cs="Arial"/>
          <w:color w:val="000000" w:themeColor="text1"/>
          <w:sz w:val="22"/>
          <w:szCs w:val="22"/>
          <w:lang w:val="en-GB" w:eastAsia="en-GB"/>
        </w:rPr>
        <w:t xml:space="preserve">ade </w:t>
      </w:r>
      <w:r w:rsidR="00940622" w:rsidRPr="005D5DDB">
        <w:rPr>
          <w:rFonts w:ascii="Arial" w:eastAsia="Times New Roman" w:hAnsi="Arial" w:cs="Arial"/>
          <w:color w:val="000000" w:themeColor="text1"/>
          <w:sz w:val="22"/>
          <w:szCs w:val="22"/>
          <w:u w:val="single"/>
          <w:lang w:val="en-GB" w:eastAsia="en-GB"/>
        </w:rPr>
        <w:t>a shareholder contribution</w:t>
      </w:r>
      <w:r w:rsidR="00940622" w:rsidRPr="00EA0CBF">
        <w:rPr>
          <w:rFonts w:ascii="Arial" w:eastAsia="Times New Roman" w:hAnsi="Arial" w:cs="Arial"/>
          <w:color w:val="000000" w:themeColor="text1"/>
          <w:sz w:val="22"/>
          <w:szCs w:val="22"/>
          <w:lang w:val="en-GB" w:eastAsia="en-GB"/>
        </w:rPr>
        <w:t xml:space="preserve"> to X and Y, consisting in the payment of a premium, but also in architectural services, static calculation services, planning services for heat and sound insulation, energy supply and network connection services, general contractor services, fit-out services and marketing services for two properties to be built by X and Y.W performed those services partly using its own staff or equipment and partly by procuring goods and services from other undertakings</w:t>
      </w:r>
      <w:r w:rsidR="00751999" w:rsidRPr="00EA0CBF">
        <w:rPr>
          <w:rFonts w:ascii="Arial" w:eastAsia="Times New Roman" w:hAnsi="Arial" w:cs="Arial"/>
          <w:color w:val="000000" w:themeColor="text1"/>
          <w:sz w:val="22"/>
          <w:szCs w:val="22"/>
          <w:lang w:val="en-GB" w:eastAsia="en-GB"/>
        </w:rPr>
        <w:t xml:space="preserve"> (these latter services were </w:t>
      </w:r>
      <w:r w:rsidR="00793CDD">
        <w:rPr>
          <w:rFonts w:ascii="Arial" w:eastAsia="Times New Roman" w:hAnsi="Arial" w:cs="Arial"/>
          <w:color w:val="000000" w:themeColor="text1"/>
          <w:sz w:val="22"/>
          <w:szCs w:val="22"/>
          <w:lang w:val="en-GB" w:eastAsia="en-GB"/>
        </w:rPr>
        <w:t xml:space="preserve">then </w:t>
      </w:r>
      <w:r w:rsidR="00751999" w:rsidRPr="00EA0CBF">
        <w:rPr>
          <w:rFonts w:ascii="Arial" w:eastAsia="Times New Roman" w:hAnsi="Arial" w:cs="Arial"/>
          <w:color w:val="000000" w:themeColor="text1"/>
          <w:sz w:val="22"/>
          <w:szCs w:val="22"/>
          <w:lang w:val="en-GB" w:eastAsia="en-GB"/>
        </w:rPr>
        <w:t>transferred free of charge to the subsidiaries)</w:t>
      </w:r>
      <w:r w:rsidR="00940622" w:rsidRPr="00EA0CBF">
        <w:rPr>
          <w:rFonts w:ascii="Arial" w:eastAsia="Times New Roman" w:hAnsi="Arial" w:cs="Arial"/>
          <w:color w:val="000000" w:themeColor="text1"/>
          <w:sz w:val="22"/>
          <w:szCs w:val="22"/>
          <w:lang w:val="en-GB" w:eastAsia="en-GB"/>
        </w:rPr>
        <w:t>.</w:t>
      </w:r>
    </w:p>
    <w:p w14:paraId="7D799960" w14:textId="7653E036" w:rsidR="00940622" w:rsidRPr="00EA0CBF" w:rsidRDefault="007054F6" w:rsidP="00940622">
      <w:pPr>
        <w:pStyle w:val="ListParagraph"/>
        <w:numPr>
          <w:ilvl w:val="0"/>
          <w:numId w:val="8"/>
        </w:num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a</w:t>
      </w:r>
      <w:r w:rsidR="00940622" w:rsidRPr="00EA0CBF">
        <w:rPr>
          <w:rFonts w:ascii="Arial" w:eastAsia="Times New Roman" w:hAnsi="Arial" w:cs="Arial"/>
          <w:color w:val="000000" w:themeColor="text1"/>
          <w:sz w:val="22"/>
          <w:szCs w:val="22"/>
          <w:lang w:val="en-GB" w:eastAsia="en-GB"/>
        </w:rPr>
        <w:t xml:space="preserve">greed to </w:t>
      </w:r>
      <w:r w:rsidR="00940622" w:rsidRPr="005D5DDB">
        <w:rPr>
          <w:rFonts w:ascii="Arial" w:eastAsia="Times New Roman" w:hAnsi="Arial" w:cs="Arial"/>
          <w:color w:val="000000" w:themeColor="text1"/>
          <w:sz w:val="22"/>
          <w:szCs w:val="22"/>
          <w:u w:val="single"/>
          <w:lang w:val="en-GB" w:eastAsia="en-GB"/>
        </w:rPr>
        <w:t>supply, in exchange for payment</w:t>
      </w:r>
      <w:r w:rsidR="00940622" w:rsidRPr="00EA0CBF">
        <w:rPr>
          <w:rFonts w:ascii="Arial" w:eastAsia="Times New Roman" w:hAnsi="Arial" w:cs="Arial"/>
          <w:color w:val="000000" w:themeColor="text1"/>
          <w:sz w:val="22"/>
          <w:szCs w:val="22"/>
          <w:lang w:val="en-GB" w:eastAsia="en-GB"/>
        </w:rPr>
        <w:t>, accounting and management services to X and Y, in connection with the construction of the properties. Those services included the recruitment and dismissal of staff, the purchase of equipment, the preparation of annual accounts and the drafting of tax returns and their filing with the tax authorities.</w:t>
      </w:r>
      <w:r w:rsidR="00793CDD">
        <w:rPr>
          <w:rFonts w:ascii="Arial" w:eastAsia="Times New Roman" w:hAnsi="Arial" w:cs="Arial"/>
          <w:color w:val="000000" w:themeColor="text1"/>
          <w:sz w:val="22"/>
          <w:szCs w:val="22"/>
          <w:lang w:val="en-GB" w:eastAsia="en-GB"/>
        </w:rPr>
        <w:t xml:space="preserve"> </w:t>
      </w:r>
      <w:r w:rsidR="00940622" w:rsidRPr="00EA0CBF">
        <w:rPr>
          <w:rFonts w:ascii="Arial" w:eastAsia="Times New Roman" w:hAnsi="Arial" w:cs="Arial"/>
          <w:color w:val="000000" w:themeColor="text1"/>
          <w:sz w:val="22"/>
          <w:szCs w:val="22"/>
          <w:lang w:val="en-GB" w:eastAsia="en-GB"/>
        </w:rPr>
        <w:t>They excluded the services that W was to supply as a shareholder contribution.</w:t>
      </w:r>
    </w:p>
    <w:p w14:paraId="1B58E034" w14:textId="77777777" w:rsidR="00940622" w:rsidRPr="00EA0CBF" w:rsidRDefault="00940622" w:rsidP="00940622">
      <w:pPr>
        <w:jc w:val="both"/>
        <w:rPr>
          <w:rFonts w:ascii="Arial" w:eastAsia="Times New Roman" w:hAnsi="Arial" w:cs="Arial"/>
          <w:color w:val="000000" w:themeColor="text1"/>
          <w:sz w:val="22"/>
          <w:szCs w:val="22"/>
          <w:lang w:val="en-GB" w:eastAsia="en-GB"/>
        </w:rPr>
      </w:pPr>
    </w:p>
    <w:p w14:paraId="47FCD213" w14:textId="0ACD7C18" w:rsidR="00940622" w:rsidRPr="00EA0CBF" w:rsidRDefault="00940622" w:rsidP="00940622">
      <w:p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 xml:space="preserve">W deducted the VAT incurred on all costs incurred for both the provision of services and the capital contribution. </w:t>
      </w:r>
      <w:r w:rsidRPr="00940622">
        <w:rPr>
          <w:rFonts w:ascii="Arial" w:eastAsia="Times New Roman" w:hAnsi="Arial" w:cs="Arial"/>
          <w:color w:val="000000" w:themeColor="text1"/>
          <w:sz w:val="22"/>
          <w:szCs w:val="22"/>
          <w:lang w:val="en-GB" w:eastAsia="en-GB"/>
        </w:rPr>
        <w:t>The tax authorities considered that the shareholder contributions made by W to X and to Y had to be classified as non-taxable activities since they had not served to earn income for the purposes of the VAT legislation and therefore were not attributable to W’s commercial activity. The</w:t>
      </w:r>
      <w:r w:rsidRPr="00EA0CBF">
        <w:rPr>
          <w:rFonts w:ascii="Arial" w:eastAsia="Times New Roman" w:hAnsi="Arial" w:cs="Arial"/>
          <w:color w:val="000000" w:themeColor="text1"/>
          <w:sz w:val="22"/>
          <w:szCs w:val="22"/>
          <w:lang w:val="en-GB" w:eastAsia="en-GB"/>
        </w:rPr>
        <w:t>refore, they rejected the deduction of</w:t>
      </w:r>
      <w:r w:rsidRPr="00940622">
        <w:rPr>
          <w:rFonts w:ascii="Arial" w:eastAsia="Times New Roman" w:hAnsi="Arial" w:cs="Arial"/>
          <w:color w:val="000000" w:themeColor="text1"/>
          <w:sz w:val="22"/>
          <w:szCs w:val="22"/>
          <w:lang w:val="en-GB" w:eastAsia="en-GB"/>
        </w:rPr>
        <w:t xml:space="preserve"> input VAT amounts paid in connection with those activities.</w:t>
      </w:r>
      <w:r w:rsidRPr="00EA0CBF">
        <w:rPr>
          <w:rFonts w:ascii="Arial" w:eastAsia="Times New Roman" w:hAnsi="Arial" w:cs="Arial"/>
          <w:color w:val="000000" w:themeColor="text1"/>
          <w:sz w:val="22"/>
          <w:szCs w:val="22"/>
          <w:lang w:val="en-GB" w:eastAsia="en-GB"/>
        </w:rPr>
        <w:t xml:space="preserve"> W lodged several complaints against this decision, that were all dismissed. </w:t>
      </w:r>
    </w:p>
    <w:p w14:paraId="1E161F3C" w14:textId="77777777" w:rsidR="00940622" w:rsidRPr="00EA0CBF" w:rsidRDefault="00940622" w:rsidP="00940622">
      <w:pPr>
        <w:jc w:val="both"/>
        <w:rPr>
          <w:rFonts w:ascii="Arial" w:eastAsia="Times New Roman" w:hAnsi="Arial" w:cs="Arial"/>
          <w:color w:val="000000" w:themeColor="text1"/>
          <w:sz w:val="22"/>
          <w:szCs w:val="22"/>
          <w:lang w:val="en-GB" w:eastAsia="en-GB"/>
        </w:rPr>
      </w:pPr>
    </w:p>
    <w:p w14:paraId="57F3935E" w14:textId="08CE9E3E" w:rsidR="00940622" w:rsidRPr="00940622" w:rsidRDefault="007054F6" w:rsidP="00940622">
      <w:pPr>
        <w:jc w:val="both"/>
        <w:rPr>
          <w:rFonts w:ascii="Arial" w:eastAsia="Times New Roman" w:hAnsi="Arial" w:cs="Arial"/>
          <w:color w:val="000000" w:themeColor="text1"/>
          <w:sz w:val="22"/>
          <w:szCs w:val="22"/>
          <w:lang w:val="en-GB" w:eastAsia="en-GB"/>
        </w:rPr>
      </w:pPr>
      <w:r w:rsidRPr="00EA0CBF">
        <w:rPr>
          <w:rFonts w:ascii="Arial" w:eastAsia="Times New Roman" w:hAnsi="Arial" w:cs="Arial"/>
          <w:color w:val="000000" w:themeColor="text1"/>
          <w:sz w:val="22"/>
          <w:szCs w:val="22"/>
          <w:lang w:val="en-GB" w:eastAsia="en-GB"/>
        </w:rPr>
        <w:t>T</w:t>
      </w:r>
      <w:r w:rsidR="00940622" w:rsidRPr="00EA0CBF">
        <w:rPr>
          <w:rFonts w:ascii="Arial" w:eastAsia="Times New Roman" w:hAnsi="Arial" w:cs="Arial"/>
          <w:color w:val="000000" w:themeColor="text1"/>
          <w:sz w:val="22"/>
          <w:szCs w:val="22"/>
          <w:lang w:val="en-GB" w:eastAsia="en-GB"/>
        </w:rPr>
        <w:t xml:space="preserve">he matter was brought to the </w:t>
      </w:r>
      <w:r w:rsidR="00940622" w:rsidRPr="00940622">
        <w:rPr>
          <w:rFonts w:ascii="Arial" w:eastAsia="Times New Roman" w:hAnsi="Arial" w:cs="Arial"/>
          <w:color w:val="000000" w:themeColor="text1"/>
          <w:sz w:val="22"/>
          <w:szCs w:val="22"/>
          <w:lang w:val="en-GB" w:eastAsia="en-GB"/>
        </w:rPr>
        <w:t>Federal Finance Court</w:t>
      </w:r>
      <w:r w:rsidR="00940622" w:rsidRPr="00EA0CBF">
        <w:rPr>
          <w:rFonts w:ascii="Arial" w:eastAsia="Times New Roman" w:hAnsi="Arial" w:cs="Arial"/>
          <w:color w:val="000000" w:themeColor="text1"/>
          <w:sz w:val="22"/>
          <w:szCs w:val="22"/>
          <w:lang w:val="en-GB" w:eastAsia="en-GB"/>
        </w:rPr>
        <w:t xml:space="preserve">, which had doubts concerning the interpretation of the CJEU case law concerning the active involvement of a holding company into the management of the subsidiaries, and in particular the impact of the CJEU decisions in cases </w:t>
      </w:r>
      <w:r w:rsidR="00940622" w:rsidRPr="00940622">
        <w:rPr>
          <w:rFonts w:ascii="Arial" w:eastAsia="Times New Roman" w:hAnsi="Arial" w:cs="Arial"/>
          <w:i/>
          <w:iCs/>
          <w:color w:val="000000" w:themeColor="text1"/>
          <w:sz w:val="22"/>
          <w:szCs w:val="22"/>
          <w:lang w:val="en-GB" w:eastAsia="en-GB"/>
        </w:rPr>
        <w:t>C&amp;D Foods Acquisition</w:t>
      </w:r>
      <w:r w:rsidR="00940622" w:rsidRPr="00EA0CBF">
        <w:rPr>
          <w:rFonts w:ascii="Arial" w:eastAsia="Times New Roman" w:hAnsi="Arial" w:cs="Arial"/>
          <w:color w:val="000000" w:themeColor="text1"/>
          <w:sz w:val="22"/>
          <w:szCs w:val="22"/>
          <w:lang w:val="en-GB" w:eastAsia="en-GB"/>
        </w:rPr>
        <w:t>,</w:t>
      </w:r>
      <w:r w:rsidR="00940622" w:rsidRPr="00EA0CBF">
        <w:rPr>
          <w:rStyle w:val="FootnoteReference"/>
          <w:rFonts w:ascii="Arial" w:eastAsia="Times New Roman" w:hAnsi="Arial" w:cs="Arial"/>
          <w:color w:val="000000" w:themeColor="text1"/>
          <w:sz w:val="22"/>
          <w:szCs w:val="22"/>
          <w:lang w:val="en-GB" w:eastAsia="en-GB"/>
        </w:rPr>
        <w:footnoteReference w:id="41"/>
      </w:r>
      <w:r w:rsidR="00940622" w:rsidRPr="00940622">
        <w:rPr>
          <w:rFonts w:ascii="Arial" w:eastAsia="Times New Roman" w:hAnsi="Arial" w:cs="Arial"/>
          <w:color w:val="000000" w:themeColor="text1"/>
          <w:sz w:val="22"/>
          <w:szCs w:val="22"/>
          <w:lang w:val="en-GB" w:eastAsia="en-GB"/>
        </w:rPr>
        <w:t> </w:t>
      </w:r>
      <w:r w:rsidR="00940622" w:rsidRPr="00940622">
        <w:rPr>
          <w:rFonts w:ascii="Arial" w:eastAsia="Times New Roman" w:hAnsi="Arial" w:cs="Arial"/>
          <w:i/>
          <w:iCs/>
          <w:color w:val="000000" w:themeColor="text1"/>
          <w:sz w:val="22"/>
          <w:szCs w:val="22"/>
          <w:lang w:val="en-GB" w:eastAsia="en-GB"/>
        </w:rPr>
        <w:t xml:space="preserve">Iberdrola </w:t>
      </w:r>
      <w:proofErr w:type="spellStart"/>
      <w:r w:rsidR="00940622" w:rsidRPr="00940622">
        <w:rPr>
          <w:rFonts w:ascii="Arial" w:eastAsia="Times New Roman" w:hAnsi="Arial" w:cs="Arial"/>
          <w:i/>
          <w:iCs/>
          <w:color w:val="000000" w:themeColor="text1"/>
          <w:sz w:val="22"/>
          <w:szCs w:val="22"/>
          <w:lang w:val="en-GB" w:eastAsia="en-GB"/>
        </w:rPr>
        <w:t>Inmobiliaria</w:t>
      </w:r>
      <w:proofErr w:type="spellEnd"/>
      <w:r w:rsidR="00940622" w:rsidRPr="00940622">
        <w:rPr>
          <w:rFonts w:ascii="Arial" w:eastAsia="Times New Roman" w:hAnsi="Arial" w:cs="Arial"/>
          <w:i/>
          <w:iCs/>
          <w:color w:val="000000" w:themeColor="text1"/>
          <w:sz w:val="22"/>
          <w:szCs w:val="22"/>
          <w:lang w:val="en-GB" w:eastAsia="en-GB"/>
        </w:rPr>
        <w:t xml:space="preserve"> Real Estate Investments</w:t>
      </w:r>
      <w:r w:rsidR="00940622" w:rsidRPr="00EA0CBF">
        <w:rPr>
          <w:rStyle w:val="FootnoteReference"/>
          <w:rFonts w:ascii="Arial" w:eastAsia="Times New Roman" w:hAnsi="Arial" w:cs="Arial"/>
          <w:color w:val="000000" w:themeColor="text1"/>
          <w:sz w:val="22"/>
          <w:szCs w:val="22"/>
          <w:lang w:val="en-GB" w:eastAsia="en-GB"/>
        </w:rPr>
        <w:footnoteReference w:id="42"/>
      </w:r>
      <w:r w:rsidR="00940622" w:rsidRPr="00940622">
        <w:rPr>
          <w:rFonts w:ascii="Arial" w:eastAsia="Times New Roman" w:hAnsi="Arial" w:cs="Arial"/>
          <w:color w:val="000000" w:themeColor="text1"/>
          <w:sz w:val="22"/>
          <w:szCs w:val="22"/>
          <w:lang w:val="en-GB" w:eastAsia="en-GB"/>
        </w:rPr>
        <w:t xml:space="preserve"> ; </w:t>
      </w:r>
      <w:r w:rsidR="00940622" w:rsidRPr="00940622">
        <w:rPr>
          <w:rFonts w:ascii="Arial" w:eastAsia="Times New Roman" w:hAnsi="Arial" w:cs="Arial"/>
          <w:i/>
          <w:iCs/>
          <w:color w:val="000000" w:themeColor="text1"/>
          <w:sz w:val="22"/>
          <w:szCs w:val="22"/>
          <w:lang w:val="en-GB" w:eastAsia="en-GB"/>
        </w:rPr>
        <w:t>University of Cambridge</w:t>
      </w:r>
      <w:r w:rsidR="00940622" w:rsidRPr="00940622">
        <w:rPr>
          <w:rFonts w:ascii="Arial" w:eastAsia="Times New Roman" w:hAnsi="Arial" w:cs="Arial"/>
          <w:color w:val="000000" w:themeColor="text1"/>
          <w:sz w:val="22"/>
          <w:szCs w:val="22"/>
          <w:lang w:val="en-GB" w:eastAsia="en-GB"/>
        </w:rPr>
        <w:t> </w:t>
      </w:r>
      <w:r w:rsidR="00940622" w:rsidRPr="00EA0CBF">
        <w:rPr>
          <w:rStyle w:val="FootnoteReference"/>
          <w:rFonts w:ascii="Arial" w:eastAsia="Times New Roman" w:hAnsi="Arial" w:cs="Arial"/>
          <w:color w:val="000000" w:themeColor="text1"/>
          <w:sz w:val="22"/>
          <w:szCs w:val="22"/>
          <w:lang w:val="en-GB" w:eastAsia="en-GB"/>
        </w:rPr>
        <w:footnoteReference w:id="43"/>
      </w:r>
      <w:r w:rsidR="00940622" w:rsidRPr="00940622">
        <w:rPr>
          <w:rFonts w:ascii="Arial" w:eastAsia="Times New Roman" w:hAnsi="Arial" w:cs="Arial"/>
          <w:color w:val="000000" w:themeColor="text1"/>
          <w:sz w:val="22"/>
          <w:szCs w:val="22"/>
          <w:lang w:val="en-GB" w:eastAsia="en-GB"/>
        </w:rPr>
        <w:t xml:space="preserve"> and </w:t>
      </w:r>
      <w:r w:rsidR="00940622" w:rsidRPr="00940622">
        <w:rPr>
          <w:rFonts w:ascii="Arial" w:eastAsia="Times New Roman" w:hAnsi="Arial" w:cs="Arial"/>
          <w:i/>
          <w:iCs/>
          <w:color w:val="000000" w:themeColor="text1"/>
          <w:sz w:val="22"/>
          <w:szCs w:val="22"/>
          <w:lang w:val="en-GB" w:eastAsia="en-GB"/>
        </w:rPr>
        <w:t xml:space="preserve">Vos </w:t>
      </w:r>
      <w:proofErr w:type="spellStart"/>
      <w:r w:rsidR="00940622" w:rsidRPr="00940622">
        <w:rPr>
          <w:rFonts w:ascii="Arial" w:eastAsia="Times New Roman" w:hAnsi="Arial" w:cs="Arial"/>
          <w:i/>
          <w:iCs/>
          <w:color w:val="000000" w:themeColor="text1"/>
          <w:sz w:val="22"/>
          <w:szCs w:val="22"/>
          <w:lang w:val="en-GB" w:eastAsia="en-GB"/>
        </w:rPr>
        <w:t>Aannemingen</w:t>
      </w:r>
      <w:proofErr w:type="spellEnd"/>
      <w:r w:rsidR="00940622" w:rsidRPr="00940622">
        <w:rPr>
          <w:rFonts w:ascii="Arial" w:eastAsia="Times New Roman" w:hAnsi="Arial" w:cs="Arial"/>
          <w:color w:val="000000" w:themeColor="text1"/>
          <w:sz w:val="22"/>
          <w:szCs w:val="22"/>
          <w:lang w:val="en-GB" w:eastAsia="en-GB"/>
        </w:rPr>
        <w:t>.</w:t>
      </w:r>
      <w:r w:rsidR="00940622" w:rsidRPr="00EA0CBF">
        <w:rPr>
          <w:rStyle w:val="FootnoteReference"/>
          <w:rFonts w:ascii="Arial" w:eastAsia="Times New Roman" w:hAnsi="Arial" w:cs="Arial"/>
          <w:color w:val="000000" w:themeColor="text1"/>
          <w:sz w:val="22"/>
          <w:szCs w:val="22"/>
          <w:lang w:val="en-GB" w:eastAsia="en-GB"/>
        </w:rPr>
        <w:footnoteReference w:id="44"/>
      </w:r>
      <w:r w:rsidR="00940622" w:rsidRPr="00EA0CBF">
        <w:rPr>
          <w:rFonts w:ascii="Arial" w:eastAsia="Times New Roman" w:hAnsi="Arial" w:cs="Arial"/>
          <w:color w:val="000000" w:themeColor="text1"/>
          <w:sz w:val="22"/>
          <w:szCs w:val="22"/>
          <w:lang w:val="en-GB" w:eastAsia="en-GB"/>
        </w:rPr>
        <w:t xml:space="preserve"> </w:t>
      </w:r>
      <w:r w:rsidR="00940622" w:rsidRPr="00940622">
        <w:rPr>
          <w:rFonts w:ascii="Arial" w:eastAsia="Times New Roman" w:hAnsi="Arial" w:cs="Arial"/>
          <w:color w:val="000000" w:themeColor="text1"/>
          <w:sz w:val="22"/>
          <w:szCs w:val="22"/>
          <w:lang w:val="en-GB" w:eastAsia="en-GB"/>
        </w:rPr>
        <w:t xml:space="preserve">In those circumstances, </w:t>
      </w:r>
      <w:r w:rsidRPr="00EA0CBF">
        <w:rPr>
          <w:rFonts w:ascii="Arial" w:eastAsia="Times New Roman" w:hAnsi="Arial" w:cs="Arial"/>
          <w:color w:val="000000" w:themeColor="text1"/>
          <w:sz w:val="22"/>
          <w:szCs w:val="22"/>
          <w:lang w:val="en-GB" w:eastAsia="en-GB"/>
        </w:rPr>
        <w:t xml:space="preserve">it </w:t>
      </w:r>
      <w:r w:rsidR="00940622" w:rsidRPr="00940622">
        <w:rPr>
          <w:rFonts w:ascii="Arial" w:eastAsia="Times New Roman" w:hAnsi="Arial" w:cs="Arial"/>
          <w:color w:val="000000" w:themeColor="text1"/>
          <w:sz w:val="22"/>
          <w:szCs w:val="22"/>
          <w:lang w:val="en-GB" w:eastAsia="en-GB"/>
        </w:rPr>
        <w:t xml:space="preserve">decided to stay the proceedings and to refer the following questions to the </w:t>
      </w:r>
      <w:r w:rsidR="005D5DDB">
        <w:rPr>
          <w:rFonts w:ascii="Arial" w:eastAsia="Times New Roman" w:hAnsi="Arial" w:cs="Arial"/>
          <w:color w:val="000000" w:themeColor="text1"/>
          <w:sz w:val="22"/>
          <w:szCs w:val="22"/>
          <w:lang w:val="en-GB" w:eastAsia="en-GB"/>
        </w:rPr>
        <w:t>CJEU</w:t>
      </w:r>
      <w:r w:rsidR="00940622" w:rsidRPr="00940622">
        <w:rPr>
          <w:rFonts w:ascii="Arial" w:eastAsia="Times New Roman" w:hAnsi="Arial" w:cs="Arial"/>
          <w:color w:val="000000" w:themeColor="text1"/>
          <w:sz w:val="22"/>
          <w:szCs w:val="22"/>
          <w:lang w:val="en-GB" w:eastAsia="en-GB"/>
        </w:rPr>
        <w:t xml:space="preserve"> for a preliminary ruling:</w:t>
      </w:r>
    </w:p>
    <w:p w14:paraId="13F3EADD" w14:textId="77777777" w:rsidR="007054F6" w:rsidRPr="00EA0CBF" w:rsidRDefault="007054F6" w:rsidP="007054F6">
      <w:pPr>
        <w:ind w:left="720"/>
        <w:jc w:val="both"/>
        <w:rPr>
          <w:rFonts w:ascii="Arial" w:eastAsia="Times New Roman" w:hAnsi="Arial" w:cs="Arial"/>
          <w:color w:val="000000" w:themeColor="text1"/>
          <w:sz w:val="22"/>
          <w:szCs w:val="22"/>
          <w:lang w:val="en-GB" w:eastAsia="en-GB"/>
        </w:rPr>
      </w:pPr>
    </w:p>
    <w:p w14:paraId="366951AB" w14:textId="784897C9" w:rsidR="00940622" w:rsidRPr="00940622" w:rsidRDefault="00940622" w:rsidP="007054F6">
      <w:pPr>
        <w:ind w:left="720"/>
        <w:jc w:val="both"/>
        <w:rPr>
          <w:rFonts w:ascii="Arial" w:eastAsia="Times New Roman" w:hAnsi="Arial" w:cs="Arial"/>
          <w:color w:val="000000" w:themeColor="text1"/>
          <w:sz w:val="18"/>
          <w:szCs w:val="18"/>
          <w:lang w:val="en-GB" w:eastAsia="en-GB"/>
        </w:rPr>
      </w:pPr>
      <w:r w:rsidRPr="00940622">
        <w:rPr>
          <w:rFonts w:ascii="Arial" w:eastAsia="Times New Roman" w:hAnsi="Arial" w:cs="Arial"/>
          <w:color w:val="000000" w:themeColor="text1"/>
          <w:sz w:val="18"/>
          <w:szCs w:val="18"/>
          <w:lang w:val="en-GB" w:eastAsia="en-GB"/>
        </w:rPr>
        <w:t>‘(1)      Under circumstances such as those in the main proceedings, is Article 168(a)[, read] in conjunction with Article 167 of [the VAT Directive,] to be interpreted in such a way that a managing holding that supplies taxable output services for subsidiaries is entitled to deduction, also for services that it obtains from third parties and contributes to the subsidiaries in return for the grant of a share in the general profit, even though the obtained inputs are not directly and immediately linked to the holding’s own transactions but instead to the (largely) tax-exempt activities of the subsidiaries, the obtained input services are not included in the price of the taxable transactions (supplied to the subsidiaries), and they do not form part of the general cost components of the holding’s own economic activity?</w:t>
      </w:r>
    </w:p>
    <w:p w14:paraId="7531959F" w14:textId="2CB08E13" w:rsidR="00940622" w:rsidRPr="00EA0CBF" w:rsidRDefault="00940622" w:rsidP="007054F6">
      <w:pPr>
        <w:ind w:left="720"/>
        <w:jc w:val="both"/>
        <w:rPr>
          <w:rFonts w:ascii="Arial" w:eastAsia="Times New Roman" w:hAnsi="Arial" w:cs="Arial"/>
          <w:color w:val="000000" w:themeColor="text1"/>
          <w:sz w:val="18"/>
          <w:szCs w:val="18"/>
          <w:lang w:val="en-GB" w:eastAsia="en-GB"/>
        </w:rPr>
      </w:pPr>
      <w:r w:rsidRPr="00940622">
        <w:rPr>
          <w:rFonts w:ascii="Arial" w:eastAsia="Times New Roman" w:hAnsi="Arial" w:cs="Arial"/>
          <w:color w:val="000000" w:themeColor="text1"/>
          <w:sz w:val="18"/>
          <w:szCs w:val="18"/>
          <w:lang w:val="en-GB" w:eastAsia="en-GB"/>
        </w:rPr>
        <w:t xml:space="preserve">(2)      If Question 1 is answered in the affirmative: Does it constitute abuse of rights in the sense of the case-law of the Court …, if a managing holding is involved as an “intermediary” in obtaining services for subsidiaries in such a way that it obtains services itself for which the subsidiaries would have no </w:t>
      </w:r>
      <w:r w:rsidRPr="00940622">
        <w:rPr>
          <w:rFonts w:ascii="Arial" w:eastAsia="Times New Roman" w:hAnsi="Arial" w:cs="Arial"/>
          <w:color w:val="000000" w:themeColor="text1"/>
          <w:sz w:val="18"/>
          <w:szCs w:val="18"/>
          <w:lang w:val="en-GB" w:eastAsia="en-GB"/>
        </w:rPr>
        <w:lastRenderedPageBreak/>
        <w:t>entitlement to deduction if services were obtained directly, contributes these services to the subsidiaries in return for participation in its profit, and then claims full deduction on the basis of the inputs on the grounds of its position as a managing holding; or can acting as an intermediary in this way be justified on grounds that fall outside the scope of tax law, even though full deduction is in itself in conflict with the system and would result in a competitive advantage for holding structures over single-tier companies?’</w:t>
      </w:r>
    </w:p>
    <w:p w14:paraId="7933C9AC" w14:textId="77777777" w:rsidR="00DA1718" w:rsidRPr="00EA0CBF" w:rsidRDefault="00DA1718" w:rsidP="00DA1718">
      <w:pPr>
        <w:jc w:val="both"/>
        <w:rPr>
          <w:rFonts w:ascii="Arial" w:eastAsia="Times New Roman" w:hAnsi="Arial" w:cs="Arial"/>
          <w:b/>
          <w:bCs/>
          <w:color w:val="000000" w:themeColor="text1"/>
          <w:sz w:val="22"/>
          <w:szCs w:val="22"/>
          <w:lang w:eastAsia="en-GB"/>
        </w:rPr>
      </w:pPr>
    </w:p>
    <w:p w14:paraId="70F3AD38" w14:textId="21385B16" w:rsidR="00F8415B" w:rsidRPr="00EA0CBF" w:rsidRDefault="00F8415B" w:rsidP="00400523">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Court decision</w:t>
      </w:r>
      <w:r w:rsidR="00B64732" w:rsidRPr="00EA0CBF">
        <w:rPr>
          <w:rFonts w:ascii="Arial" w:eastAsia="Times New Roman" w:hAnsi="Arial" w:cs="Arial"/>
          <w:b/>
          <w:bCs/>
          <w:color w:val="000000" w:themeColor="text1"/>
          <w:sz w:val="22"/>
          <w:szCs w:val="22"/>
          <w:shd w:val="clear" w:color="auto" w:fill="FFFFFF"/>
          <w:lang w:val="en-US" w:eastAsia="en-GB"/>
        </w:rPr>
        <w:t xml:space="preserve"> (AG </w:t>
      </w:r>
      <w:proofErr w:type="spellStart"/>
      <w:r w:rsidR="00B64732" w:rsidRPr="00EA0CBF">
        <w:rPr>
          <w:rFonts w:ascii="Arial" w:eastAsia="Times New Roman" w:hAnsi="Arial" w:cs="Arial"/>
          <w:b/>
          <w:bCs/>
          <w:color w:val="000000" w:themeColor="text1"/>
          <w:sz w:val="22"/>
          <w:szCs w:val="22"/>
          <w:shd w:val="clear" w:color="auto" w:fill="FFFFFF"/>
          <w:lang w:val="en-US" w:eastAsia="en-GB"/>
        </w:rPr>
        <w:t>Pitruzella</w:t>
      </w:r>
      <w:proofErr w:type="spellEnd"/>
      <w:r w:rsidR="00B64732" w:rsidRPr="00EA0CBF">
        <w:rPr>
          <w:rFonts w:ascii="Arial" w:eastAsia="Times New Roman" w:hAnsi="Arial" w:cs="Arial"/>
          <w:b/>
          <w:bCs/>
          <w:color w:val="000000" w:themeColor="text1"/>
          <w:sz w:val="22"/>
          <w:szCs w:val="22"/>
          <w:shd w:val="clear" w:color="auto" w:fill="FFFFFF"/>
          <w:lang w:val="en-US" w:eastAsia="en-GB"/>
        </w:rPr>
        <w:t>)</w:t>
      </w:r>
    </w:p>
    <w:p w14:paraId="42704D86" w14:textId="0F55202C" w:rsidR="005D26EF" w:rsidRPr="00EA0CBF" w:rsidRDefault="005D26EF" w:rsidP="005D26EF">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On the first quest</w:t>
      </w:r>
      <w:r w:rsidR="00832BFC" w:rsidRPr="00EA0CBF">
        <w:rPr>
          <w:rFonts w:ascii="Arial" w:eastAsia="Times New Roman" w:hAnsi="Arial" w:cs="Arial"/>
          <w:color w:val="000000" w:themeColor="text1"/>
          <w:sz w:val="22"/>
          <w:szCs w:val="22"/>
          <w:lang w:val="en-US" w:eastAsia="en-GB"/>
        </w:rPr>
        <w:t>i</w:t>
      </w:r>
      <w:r w:rsidRPr="00EA0CBF">
        <w:rPr>
          <w:rFonts w:ascii="Arial" w:eastAsia="Times New Roman" w:hAnsi="Arial" w:cs="Arial"/>
          <w:color w:val="000000" w:themeColor="text1"/>
          <w:sz w:val="22"/>
          <w:szCs w:val="22"/>
          <w:lang w:val="en-US" w:eastAsia="en-GB"/>
        </w:rPr>
        <w:t>on th</w:t>
      </w:r>
      <w:r w:rsidR="00832BFC" w:rsidRPr="00EA0CBF">
        <w:rPr>
          <w:rFonts w:ascii="Arial" w:eastAsia="Times New Roman" w:hAnsi="Arial" w:cs="Arial"/>
          <w:color w:val="000000" w:themeColor="text1"/>
          <w:sz w:val="22"/>
          <w:szCs w:val="22"/>
          <w:lang w:val="en-US" w:eastAsia="en-GB"/>
        </w:rPr>
        <w:t>e</w:t>
      </w:r>
      <w:r w:rsidRPr="00EA0CBF">
        <w:rPr>
          <w:rFonts w:ascii="Arial" w:eastAsia="Times New Roman" w:hAnsi="Arial" w:cs="Arial"/>
          <w:color w:val="000000" w:themeColor="text1"/>
          <w:sz w:val="22"/>
          <w:szCs w:val="22"/>
          <w:lang w:val="en-US" w:eastAsia="en-GB"/>
        </w:rPr>
        <w:t xml:space="preserve"> CJEU recall</w:t>
      </w:r>
      <w:r w:rsidR="00F3482D" w:rsidRPr="00EA0CBF">
        <w:rPr>
          <w:rFonts w:ascii="Arial" w:eastAsia="Times New Roman" w:hAnsi="Arial" w:cs="Arial"/>
          <w:color w:val="000000" w:themeColor="text1"/>
          <w:sz w:val="22"/>
          <w:szCs w:val="22"/>
          <w:lang w:val="en-US" w:eastAsia="en-GB"/>
        </w:rPr>
        <w:t>s</w:t>
      </w:r>
      <w:r w:rsidRPr="00EA0CBF">
        <w:rPr>
          <w:rFonts w:ascii="Arial" w:eastAsia="Times New Roman" w:hAnsi="Arial" w:cs="Arial"/>
          <w:color w:val="000000" w:themeColor="text1"/>
          <w:sz w:val="22"/>
          <w:szCs w:val="22"/>
          <w:lang w:val="en-US" w:eastAsia="en-GB"/>
        </w:rPr>
        <w:t xml:space="preserve"> that</w:t>
      </w:r>
      <w:r w:rsidR="007054F6" w:rsidRPr="00EA0CBF">
        <w:rPr>
          <w:rFonts w:ascii="Arial" w:eastAsia="Times New Roman" w:hAnsi="Arial" w:cs="Arial"/>
          <w:color w:val="000000" w:themeColor="text1"/>
          <w:sz w:val="22"/>
          <w:szCs w:val="22"/>
          <w:lang w:val="en-US" w:eastAsia="en-GB"/>
        </w:rPr>
        <w:t xml:space="preserve">, in accordance with </w:t>
      </w:r>
      <w:r w:rsidRPr="00EA0CBF">
        <w:rPr>
          <w:rFonts w:ascii="Arial" w:eastAsia="Times New Roman" w:hAnsi="Arial" w:cs="Arial"/>
          <w:color w:val="000000" w:themeColor="text1"/>
          <w:sz w:val="22"/>
          <w:szCs w:val="22"/>
          <w:lang w:eastAsia="en-GB"/>
        </w:rPr>
        <w:t>settled case-law</w:t>
      </w:r>
      <w:r w:rsidR="007054F6"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eastAsia="en-GB"/>
        </w:rPr>
        <w:t xml:space="preserve"> the mere acquisition and holding of shares in a company do not, in themselves, amount to an economic activity within the meaning of the VAT Directive, </w:t>
      </w:r>
      <w:r w:rsidR="007054F6" w:rsidRPr="00EA0CBF">
        <w:rPr>
          <w:rFonts w:ascii="Arial" w:eastAsia="Times New Roman" w:hAnsi="Arial" w:cs="Arial"/>
          <w:color w:val="000000" w:themeColor="text1"/>
          <w:sz w:val="22"/>
          <w:szCs w:val="22"/>
          <w:lang w:val="en-US" w:eastAsia="en-GB"/>
        </w:rPr>
        <w:t xml:space="preserve">because </w:t>
      </w:r>
      <w:r w:rsidRPr="00EA0CBF">
        <w:rPr>
          <w:rFonts w:ascii="Arial" w:eastAsia="Times New Roman" w:hAnsi="Arial" w:cs="Arial"/>
          <w:color w:val="000000" w:themeColor="text1"/>
          <w:sz w:val="22"/>
          <w:szCs w:val="22"/>
          <w:lang w:eastAsia="en-GB"/>
        </w:rPr>
        <w:t>the mere acquisition of financial holdings in other undertakings does not amount to the exploitation of property for the purpose of obtaining income therefrom on a continuing basis. Any dividend yielded by that holding, or benefit as a result of its sale, is merely the result of ownership of the property. Accordingly, a holding company whose sole purpose is to acquire shares in other companies neither has the status of taxable person within the meaning of Article 9 of the VAT Directive nor, therefore, the right to deduct VAT</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val="en-US" w:eastAsia="en-GB"/>
        </w:rPr>
        <w:footnoteReference w:id="45"/>
      </w:r>
      <w:r w:rsidRPr="00EA0CBF">
        <w:rPr>
          <w:rFonts w:ascii="Arial" w:eastAsia="Times New Roman" w:hAnsi="Arial" w:cs="Arial"/>
          <w:color w:val="000000" w:themeColor="text1"/>
          <w:sz w:val="22"/>
          <w:szCs w:val="22"/>
          <w:lang w:eastAsia="en-GB"/>
        </w:rPr>
        <w:t xml:space="preserve"> </w:t>
      </w:r>
    </w:p>
    <w:p w14:paraId="695AE7D1" w14:textId="0FF93E87" w:rsidR="005D26EF" w:rsidRPr="00EA0CBF" w:rsidRDefault="005D26EF" w:rsidP="005D26EF">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 xml:space="preserve">As also confirmed in several decisions, </w:t>
      </w:r>
      <w:proofErr w:type="spellStart"/>
      <w:r w:rsidRPr="00EA0CBF">
        <w:rPr>
          <w:rFonts w:ascii="Arial" w:eastAsia="Times New Roman" w:hAnsi="Arial" w:cs="Arial"/>
          <w:color w:val="000000" w:themeColor="text1"/>
          <w:sz w:val="22"/>
          <w:szCs w:val="22"/>
          <w:lang w:val="en-US" w:eastAsia="en-GB"/>
        </w:rPr>
        <w:t>i</w:t>
      </w:r>
      <w:proofErr w:type="spellEnd"/>
      <w:r w:rsidRPr="00EA0CBF">
        <w:rPr>
          <w:rFonts w:ascii="Arial" w:eastAsia="Times New Roman" w:hAnsi="Arial" w:cs="Arial"/>
          <w:color w:val="000000" w:themeColor="text1"/>
          <w:sz w:val="22"/>
          <w:szCs w:val="22"/>
          <w:lang w:eastAsia="en-GB"/>
        </w:rPr>
        <w:t xml:space="preserve">t is otherwise for mixed holding companies where the holding is accompanied by direct or indirect involvement in the management of the companies in which the holding has been acquired. </w:t>
      </w:r>
      <w:r w:rsidRPr="00EA0CBF">
        <w:rPr>
          <w:rFonts w:ascii="Arial" w:eastAsia="Times New Roman" w:hAnsi="Arial" w:cs="Arial"/>
          <w:color w:val="000000" w:themeColor="text1"/>
          <w:sz w:val="22"/>
          <w:szCs w:val="22"/>
          <w:lang w:val="en-US" w:eastAsia="en-GB"/>
        </w:rPr>
        <w:t>S</w:t>
      </w:r>
      <w:r w:rsidRPr="00EA0CBF">
        <w:rPr>
          <w:rFonts w:ascii="Arial" w:eastAsia="Times New Roman" w:hAnsi="Arial" w:cs="Arial"/>
          <w:color w:val="000000" w:themeColor="text1"/>
          <w:sz w:val="22"/>
          <w:szCs w:val="22"/>
          <w:lang w:eastAsia="en-GB"/>
        </w:rPr>
        <w:t xml:space="preserve">uch involvement of a holding company in the management of the companies in which it has acquired a shareholding constitutes an economic activity within the meaning of Article 9(1) of the VAT Directive where it entails carrying out transactions which are subject to VAT by virtue of Article 2 of that </w:t>
      </w:r>
      <w:r w:rsidR="00793CDD" w:rsidRPr="00793CDD">
        <w:rPr>
          <w:rFonts w:ascii="Arial" w:eastAsia="Times New Roman" w:hAnsi="Arial" w:cs="Arial"/>
          <w:color w:val="000000" w:themeColor="text1"/>
          <w:sz w:val="22"/>
          <w:szCs w:val="22"/>
          <w:lang w:val="en-US" w:eastAsia="en-GB"/>
        </w:rPr>
        <w:t>D</w:t>
      </w:r>
      <w:r w:rsidRPr="00EA0CBF">
        <w:rPr>
          <w:rFonts w:ascii="Arial" w:eastAsia="Times New Roman" w:hAnsi="Arial" w:cs="Arial"/>
          <w:color w:val="000000" w:themeColor="text1"/>
          <w:sz w:val="22"/>
          <w:szCs w:val="22"/>
          <w:lang w:eastAsia="en-GB"/>
        </w:rPr>
        <w:t>irective. The term ‘involvement of a holding company in the management of its subsidiary’ must be understood as covering all transactions constituting an economic activity performed by the holding company for the benefit of its subsidiary, which include but are not limited to the supply of administrative, financial, commercial and technical services</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val="en-US" w:eastAsia="en-GB"/>
        </w:rPr>
        <w:footnoteReference w:id="46"/>
      </w:r>
    </w:p>
    <w:p w14:paraId="2A58932D" w14:textId="3CB6D389" w:rsidR="00793CDD" w:rsidRDefault="00F05F4D" w:rsidP="005D26EF">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In this case</w:t>
      </w:r>
      <w:r w:rsidR="00624B79"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val="en-US" w:eastAsia="en-GB"/>
        </w:rPr>
        <w:t xml:space="preserve">W </w:t>
      </w:r>
      <w:r w:rsidRPr="00EA0CBF">
        <w:rPr>
          <w:rFonts w:ascii="Arial" w:eastAsia="Times New Roman" w:hAnsi="Arial" w:cs="Arial"/>
          <w:color w:val="000000" w:themeColor="text1"/>
          <w:sz w:val="22"/>
          <w:szCs w:val="22"/>
          <w:lang w:eastAsia="en-GB"/>
        </w:rPr>
        <w:t>supplied</w:t>
      </w:r>
      <w:r w:rsidR="00624B79" w:rsidRPr="00EA0CBF">
        <w:rPr>
          <w:rFonts w:ascii="Arial" w:eastAsia="Times New Roman" w:hAnsi="Arial" w:cs="Arial"/>
          <w:color w:val="000000" w:themeColor="text1"/>
          <w:sz w:val="22"/>
          <w:szCs w:val="22"/>
          <w:lang w:val="en-US" w:eastAsia="en-GB"/>
        </w:rPr>
        <w:t>, on the one hand,</w:t>
      </w:r>
      <w:r w:rsidRPr="00EA0CBF">
        <w:rPr>
          <w:rFonts w:ascii="Arial" w:eastAsia="Times New Roman" w:hAnsi="Arial" w:cs="Arial"/>
          <w:color w:val="000000" w:themeColor="text1"/>
          <w:sz w:val="22"/>
          <w:szCs w:val="22"/>
          <w:lang w:eastAsia="en-GB"/>
        </w:rPr>
        <w:t xml:space="preserve"> </w:t>
      </w:r>
      <w:proofErr w:type="gramStart"/>
      <w:r w:rsidRPr="00EA0CBF">
        <w:rPr>
          <w:rFonts w:ascii="Arial" w:eastAsia="Times New Roman" w:hAnsi="Arial" w:cs="Arial"/>
          <w:color w:val="000000" w:themeColor="text1"/>
          <w:sz w:val="22"/>
          <w:szCs w:val="22"/>
          <w:lang w:eastAsia="en-GB"/>
        </w:rPr>
        <w:t>accounting</w:t>
      </w:r>
      <w:proofErr w:type="gramEnd"/>
      <w:r w:rsidRPr="00EA0CBF">
        <w:rPr>
          <w:rFonts w:ascii="Arial" w:eastAsia="Times New Roman" w:hAnsi="Arial" w:cs="Arial"/>
          <w:color w:val="000000" w:themeColor="text1"/>
          <w:sz w:val="22"/>
          <w:szCs w:val="22"/>
          <w:lang w:eastAsia="en-GB"/>
        </w:rPr>
        <w:t xml:space="preserve"> and management services to its two subsidiaries in exchange for payment</w:t>
      </w:r>
      <w:r w:rsidR="00624B79" w:rsidRPr="00EA0CBF">
        <w:rPr>
          <w:rFonts w:ascii="Arial" w:eastAsia="Times New Roman" w:hAnsi="Arial" w:cs="Arial"/>
          <w:color w:val="000000" w:themeColor="text1"/>
          <w:sz w:val="22"/>
          <w:szCs w:val="22"/>
          <w:lang w:val="en-US" w:eastAsia="en-GB"/>
        </w:rPr>
        <w:t>. Accordingly</w:t>
      </w:r>
      <w:r w:rsidR="00793CDD">
        <w:rPr>
          <w:rFonts w:ascii="Arial" w:eastAsia="Times New Roman" w:hAnsi="Arial" w:cs="Arial"/>
          <w:color w:val="000000" w:themeColor="text1"/>
          <w:sz w:val="22"/>
          <w:szCs w:val="22"/>
          <w:lang w:val="en-US" w:eastAsia="en-GB"/>
        </w:rPr>
        <w:t>,</w:t>
      </w:r>
      <w:r w:rsidR="00624B79" w:rsidRPr="00EA0CBF">
        <w:rPr>
          <w:rFonts w:ascii="Arial" w:eastAsia="Times New Roman" w:hAnsi="Arial" w:cs="Arial"/>
          <w:color w:val="000000" w:themeColor="text1"/>
          <w:sz w:val="22"/>
          <w:szCs w:val="22"/>
          <w:lang w:val="en-US" w:eastAsia="en-GB"/>
        </w:rPr>
        <w:t xml:space="preserve"> it</w:t>
      </w:r>
      <w:r w:rsidR="005D26EF" w:rsidRPr="00EA0CBF">
        <w:rPr>
          <w:rFonts w:ascii="Arial" w:eastAsia="Times New Roman" w:hAnsi="Arial" w:cs="Arial"/>
          <w:color w:val="000000" w:themeColor="text1"/>
          <w:sz w:val="22"/>
          <w:szCs w:val="22"/>
          <w:lang w:eastAsia="en-GB"/>
        </w:rPr>
        <w:t xml:space="preserve"> must be regarded as a taxable person </w:t>
      </w:r>
      <w:r w:rsidRPr="00EA0CBF">
        <w:rPr>
          <w:rFonts w:ascii="Arial" w:eastAsia="Times New Roman" w:hAnsi="Arial" w:cs="Arial"/>
          <w:color w:val="000000" w:themeColor="text1"/>
          <w:sz w:val="22"/>
          <w:szCs w:val="22"/>
          <w:lang w:val="en-US" w:eastAsia="en-GB"/>
        </w:rPr>
        <w:t>enjoying</w:t>
      </w:r>
      <w:r w:rsidR="005D26EF" w:rsidRPr="00EA0CBF">
        <w:rPr>
          <w:rFonts w:ascii="Arial" w:eastAsia="Times New Roman" w:hAnsi="Arial" w:cs="Arial"/>
          <w:color w:val="000000" w:themeColor="text1"/>
          <w:sz w:val="22"/>
          <w:szCs w:val="22"/>
          <w:lang w:eastAsia="en-GB"/>
        </w:rPr>
        <w:t xml:space="preserve"> a right of deduction</w:t>
      </w:r>
      <w:r w:rsidRPr="00EA0CBF">
        <w:rPr>
          <w:rFonts w:ascii="Arial" w:eastAsia="Times New Roman" w:hAnsi="Arial" w:cs="Arial"/>
          <w:color w:val="000000" w:themeColor="text1"/>
          <w:sz w:val="22"/>
          <w:szCs w:val="22"/>
          <w:lang w:val="en-US" w:eastAsia="en-GB"/>
        </w:rPr>
        <w:t xml:space="preserve">, </w:t>
      </w:r>
      <w:r w:rsidR="00624B79" w:rsidRPr="00EA0CBF">
        <w:rPr>
          <w:rFonts w:ascii="Arial" w:eastAsia="Times New Roman" w:hAnsi="Arial" w:cs="Arial"/>
          <w:color w:val="000000" w:themeColor="text1"/>
          <w:sz w:val="22"/>
          <w:szCs w:val="22"/>
          <w:lang w:val="en-US" w:eastAsia="en-GB"/>
        </w:rPr>
        <w:t>provided that</w:t>
      </w:r>
      <w:r w:rsidRPr="00EA0CBF">
        <w:rPr>
          <w:rFonts w:ascii="Arial" w:eastAsia="Times New Roman" w:hAnsi="Arial" w:cs="Arial"/>
          <w:color w:val="000000" w:themeColor="text1"/>
          <w:sz w:val="22"/>
          <w:szCs w:val="22"/>
          <w:lang w:val="en-US" w:eastAsia="en-GB"/>
        </w:rPr>
        <w:t xml:space="preserve"> the </w:t>
      </w:r>
      <w:r w:rsidRPr="00EA0CBF">
        <w:rPr>
          <w:rFonts w:ascii="Arial" w:eastAsia="Times New Roman" w:hAnsi="Arial" w:cs="Arial"/>
          <w:color w:val="000000" w:themeColor="text1"/>
          <w:sz w:val="22"/>
          <w:szCs w:val="22"/>
          <w:lang w:eastAsia="en-GB"/>
        </w:rPr>
        <w:t xml:space="preserve">the goods and services obtained by the taxable person </w:t>
      </w:r>
      <w:r w:rsidR="00BE27DA" w:rsidRPr="00EA0CBF">
        <w:rPr>
          <w:rFonts w:ascii="Arial" w:eastAsia="Times New Roman" w:hAnsi="Arial" w:cs="Arial"/>
          <w:color w:val="000000" w:themeColor="text1"/>
          <w:sz w:val="22"/>
          <w:szCs w:val="22"/>
          <w:lang w:val="en-US" w:eastAsia="en-GB"/>
        </w:rPr>
        <w:t>were</w:t>
      </w:r>
      <w:r w:rsidRPr="00EA0CBF">
        <w:rPr>
          <w:rFonts w:ascii="Arial" w:eastAsia="Times New Roman" w:hAnsi="Arial" w:cs="Arial"/>
          <w:color w:val="000000" w:themeColor="text1"/>
          <w:sz w:val="22"/>
          <w:szCs w:val="22"/>
          <w:lang w:eastAsia="en-GB"/>
        </w:rPr>
        <w:t xml:space="preserve"> used for the purposes of </w:t>
      </w:r>
      <w:r w:rsidR="00BE27DA" w:rsidRPr="00EA0CBF">
        <w:rPr>
          <w:rFonts w:ascii="Arial" w:eastAsia="Times New Roman" w:hAnsi="Arial" w:cs="Arial"/>
          <w:color w:val="000000" w:themeColor="text1"/>
          <w:sz w:val="22"/>
          <w:szCs w:val="22"/>
          <w:lang w:val="en-US" w:eastAsia="en-GB"/>
        </w:rPr>
        <w:t>its</w:t>
      </w:r>
      <w:r w:rsidRPr="00EA0CBF">
        <w:rPr>
          <w:rFonts w:ascii="Arial" w:eastAsia="Times New Roman" w:hAnsi="Arial" w:cs="Arial"/>
          <w:color w:val="000000" w:themeColor="text1"/>
          <w:sz w:val="22"/>
          <w:szCs w:val="22"/>
          <w:lang w:eastAsia="en-GB"/>
        </w:rPr>
        <w:t xml:space="preserve"> taxed transactions</w:t>
      </w:r>
      <w:r w:rsidR="00793CDD" w:rsidRPr="00793CDD">
        <w:rPr>
          <w:rFonts w:ascii="Arial" w:eastAsia="Times New Roman" w:hAnsi="Arial" w:cs="Arial"/>
          <w:color w:val="000000" w:themeColor="text1"/>
          <w:sz w:val="22"/>
          <w:szCs w:val="22"/>
          <w:lang w:val="en-US" w:eastAsia="en-GB"/>
        </w:rPr>
        <w:t xml:space="preserve"> </w:t>
      </w:r>
      <w:r w:rsidR="00793CDD">
        <w:rPr>
          <w:rFonts w:ascii="Arial" w:eastAsia="Times New Roman" w:hAnsi="Arial" w:cs="Arial"/>
          <w:color w:val="000000" w:themeColor="text1"/>
          <w:sz w:val="22"/>
          <w:szCs w:val="22"/>
          <w:lang w:val="en-US" w:eastAsia="en-GB"/>
        </w:rPr>
        <w:t>(direct link)</w:t>
      </w:r>
      <w:r w:rsidR="005D26EF" w:rsidRPr="00EA0CBF">
        <w:rPr>
          <w:rFonts w:ascii="Arial" w:eastAsia="Times New Roman" w:hAnsi="Arial" w:cs="Arial"/>
          <w:color w:val="000000" w:themeColor="text1"/>
          <w:sz w:val="22"/>
          <w:szCs w:val="22"/>
          <w:lang w:eastAsia="en-GB"/>
        </w:rPr>
        <w:t>.</w:t>
      </w:r>
      <w:r w:rsidRPr="00EA0CBF">
        <w:rPr>
          <w:rStyle w:val="FootnoteReference"/>
          <w:rFonts w:ascii="Arial" w:eastAsia="Times New Roman" w:hAnsi="Arial" w:cs="Arial"/>
          <w:color w:val="000000" w:themeColor="text1"/>
          <w:sz w:val="22"/>
          <w:szCs w:val="22"/>
          <w:lang w:eastAsia="en-GB"/>
        </w:rPr>
        <w:footnoteReference w:id="47"/>
      </w:r>
      <w:r w:rsidRPr="00EA0CBF">
        <w:rPr>
          <w:rFonts w:ascii="Arial" w:eastAsia="Times New Roman" w:hAnsi="Arial" w:cs="Arial"/>
          <w:color w:val="000000" w:themeColor="text1"/>
          <w:sz w:val="22"/>
          <w:szCs w:val="22"/>
          <w:lang w:val="en-US" w:eastAsia="en-GB"/>
        </w:rPr>
        <w:t xml:space="preserve"> </w:t>
      </w:r>
    </w:p>
    <w:p w14:paraId="0C237776" w14:textId="729A92D9" w:rsidR="005D26EF" w:rsidRPr="00EA0CBF" w:rsidRDefault="00832BFC" w:rsidP="005D26EF">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On the other hand,</w:t>
      </w:r>
      <w:r w:rsidR="00F05F4D" w:rsidRPr="00EA0CBF">
        <w:rPr>
          <w:rFonts w:ascii="Arial" w:eastAsia="Times New Roman" w:hAnsi="Arial" w:cs="Arial"/>
          <w:color w:val="000000" w:themeColor="text1"/>
          <w:sz w:val="22"/>
          <w:szCs w:val="22"/>
          <w:lang w:val="en-US" w:eastAsia="en-GB"/>
        </w:rPr>
        <w:t xml:space="preserve"> </w:t>
      </w:r>
      <w:r w:rsidR="005D26EF" w:rsidRPr="00EA0CBF">
        <w:rPr>
          <w:rFonts w:ascii="Arial" w:eastAsia="Times New Roman" w:hAnsi="Arial" w:cs="Arial"/>
          <w:color w:val="000000" w:themeColor="text1"/>
          <w:sz w:val="22"/>
          <w:szCs w:val="22"/>
          <w:lang w:eastAsia="en-GB"/>
        </w:rPr>
        <w:t xml:space="preserve">W </w:t>
      </w:r>
      <w:r w:rsidRPr="00EA0CBF">
        <w:rPr>
          <w:rFonts w:ascii="Arial" w:eastAsia="Times New Roman" w:hAnsi="Arial" w:cs="Arial"/>
          <w:color w:val="000000" w:themeColor="text1"/>
          <w:sz w:val="22"/>
          <w:szCs w:val="22"/>
          <w:lang w:val="en-US" w:eastAsia="en-GB"/>
        </w:rPr>
        <w:t xml:space="preserve">also </w:t>
      </w:r>
      <w:r w:rsidR="005D26EF" w:rsidRPr="00EA0CBF">
        <w:rPr>
          <w:rFonts w:ascii="Arial" w:eastAsia="Times New Roman" w:hAnsi="Arial" w:cs="Arial"/>
          <w:color w:val="000000" w:themeColor="text1"/>
          <w:sz w:val="22"/>
          <w:szCs w:val="22"/>
          <w:lang w:eastAsia="en-GB"/>
        </w:rPr>
        <w:t xml:space="preserve">obtained static calculation services, planning services for heat and sound insulation, energy supply and network connection services, general contractor services, fit-out </w:t>
      </w:r>
      <w:proofErr w:type="gramStart"/>
      <w:r w:rsidR="005D26EF" w:rsidRPr="00EA0CBF">
        <w:rPr>
          <w:rFonts w:ascii="Arial" w:eastAsia="Times New Roman" w:hAnsi="Arial" w:cs="Arial"/>
          <w:color w:val="000000" w:themeColor="text1"/>
          <w:sz w:val="22"/>
          <w:szCs w:val="22"/>
          <w:lang w:eastAsia="en-GB"/>
        </w:rPr>
        <w:t>services</w:t>
      </w:r>
      <w:proofErr w:type="gramEnd"/>
      <w:r w:rsidR="005D26EF" w:rsidRPr="00EA0CBF">
        <w:rPr>
          <w:rFonts w:ascii="Arial" w:eastAsia="Times New Roman" w:hAnsi="Arial" w:cs="Arial"/>
          <w:color w:val="000000" w:themeColor="text1"/>
          <w:sz w:val="22"/>
          <w:szCs w:val="22"/>
          <w:lang w:eastAsia="en-GB"/>
        </w:rPr>
        <w:t xml:space="preserve"> and marketing services in order to fulfil its obligations relating to shareholder contributions to its subsidiaries</w:t>
      </w:r>
      <w:r w:rsidR="00F05F4D" w:rsidRPr="00EA0CBF">
        <w:rPr>
          <w:rFonts w:ascii="Arial" w:eastAsia="Times New Roman" w:hAnsi="Arial" w:cs="Arial"/>
          <w:color w:val="000000" w:themeColor="text1"/>
          <w:sz w:val="22"/>
          <w:szCs w:val="22"/>
          <w:lang w:val="en-US" w:eastAsia="en-GB"/>
        </w:rPr>
        <w:t>.</w:t>
      </w:r>
      <w:r w:rsidR="00BE27DA" w:rsidRPr="00EA0CBF">
        <w:rPr>
          <w:rFonts w:ascii="Arial" w:eastAsia="Times New Roman" w:hAnsi="Arial" w:cs="Arial"/>
          <w:color w:val="000000" w:themeColor="text1"/>
          <w:sz w:val="22"/>
          <w:szCs w:val="22"/>
          <w:lang w:val="en-US" w:eastAsia="en-GB"/>
        </w:rPr>
        <w:t xml:space="preserve"> According to</w:t>
      </w:r>
      <w:r w:rsidR="00624B79" w:rsidRPr="00EA0CBF">
        <w:rPr>
          <w:rFonts w:ascii="Arial" w:eastAsia="Times New Roman" w:hAnsi="Arial" w:cs="Arial"/>
          <w:color w:val="000000" w:themeColor="text1"/>
          <w:sz w:val="22"/>
          <w:szCs w:val="22"/>
          <w:lang w:val="en-US" w:eastAsia="en-GB"/>
        </w:rPr>
        <w:t xml:space="preserve"> </w:t>
      </w:r>
      <w:r w:rsidR="00BE27DA" w:rsidRPr="00EA0CBF">
        <w:rPr>
          <w:rFonts w:ascii="Arial" w:eastAsia="Times New Roman" w:hAnsi="Arial" w:cs="Arial"/>
          <w:color w:val="000000" w:themeColor="text1"/>
          <w:sz w:val="22"/>
          <w:szCs w:val="22"/>
          <w:lang w:val="en-US" w:eastAsia="en-GB"/>
        </w:rPr>
        <w:t xml:space="preserve">the CJEU, </w:t>
      </w:r>
      <w:r w:rsidR="005D26EF" w:rsidRPr="00EA0CBF">
        <w:rPr>
          <w:rFonts w:ascii="Arial" w:eastAsia="Times New Roman" w:hAnsi="Arial" w:cs="Arial"/>
          <w:color w:val="000000" w:themeColor="text1"/>
          <w:sz w:val="22"/>
          <w:szCs w:val="22"/>
          <w:lang w:eastAsia="en-GB"/>
        </w:rPr>
        <w:t>the</w:t>
      </w:r>
      <w:r w:rsidR="00624B79" w:rsidRPr="00EA0CBF">
        <w:rPr>
          <w:rFonts w:ascii="Arial" w:eastAsia="Times New Roman" w:hAnsi="Arial" w:cs="Arial"/>
          <w:color w:val="000000" w:themeColor="text1"/>
          <w:sz w:val="22"/>
          <w:szCs w:val="22"/>
          <w:lang w:val="en-US" w:eastAsia="en-GB"/>
        </w:rPr>
        <w:t>se</w:t>
      </w:r>
      <w:r w:rsidR="005D26EF" w:rsidRPr="00EA0CBF">
        <w:rPr>
          <w:rFonts w:ascii="Arial" w:eastAsia="Times New Roman" w:hAnsi="Arial" w:cs="Arial"/>
          <w:color w:val="000000" w:themeColor="text1"/>
          <w:sz w:val="22"/>
          <w:szCs w:val="22"/>
          <w:lang w:eastAsia="en-GB"/>
        </w:rPr>
        <w:t xml:space="preserve"> input services </w:t>
      </w:r>
      <w:r w:rsidR="000340E9" w:rsidRPr="00EA0CBF">
        <w:rPr>
          <w:rFonts w:ascii="Arial" w:eastAsia="Times New Roman" w:hAnsi="Arial" w:cs="Arial"/>
          <w:color w:val="000000" w:themeColor="text1"/>
          <w:sz w:val="22"/>
          <w:szCs w:val="22"/>
          <w:lang w:val="en-US" w:eastAsia="en-GB"/>
        </w:rPr>
        <w:t>eventually contributed to X and Y</w:t>
      </w:r>
      <w:r w:rsidR="005D26EF" w:rsidRPr="00EA0CBF">
        <w:rPr>
          <w:rFonts w:ascii="Arial" w:eastAsia="Times New Roman" w:hAnsi="Arial" w:cs="Arial"/>
          <w:color w:val="000000" w:themeColor="text1"/>
          <w:sz w:val="22"/>
          <w:szCs w:val="22"/>
          <w:lang w:eastAsia="en-GB"/>
        </w:rPr>
        <w:t xml:space="preserve"> </w:t>
      </w:r>
      <w:r w:rsidR="000340E9" w:rsidRPr="00EA0CBF">
        <w:rPr>
          <w:rFonts w:ascii="Arial" w:eastAsia="Times New Roman" w:hAnsi="Arial" w:cs="Arial"/>
          <w:color w:val="000000" w:themeColor="text1"/>
          <w:sz w:val="22"/>
          <w:szCs w:val="22"/>
          <w:lang w:val="en-US" w:eastAsia="en-GB"/>
        </w:rPr>
        <w:t xml:space="preserve">do not have a direct and immediate link with </w:t>
      </w:r>
      <w:r w:rsidR="005D26EF" w:rsidRPr="00EA0CBF">
        <w:rPr>
          <w:rFonts w:ascii="Arial" w:eastAsia="Times New Roman" w:hAnsi="Arial" w:cs="Arial"/>
          <w:color w:val="000000" w:themeColor="text1"/>
          <w:sz w:val="22"/>
          <w:szCs w:val="22"/>
          <w:lang w:eastAsia="en-GB"/>
        </w:rPr>
        <w:t xml:space="preserve">its output accounting and management services </w:t>
      </w:r>
      <w:r w:rsidR="000340E9" w:rsidRPr="00EA0CBF">
        <w:rPr>
          <w:rFonts w:ascii="Arial" w:eastAsia="Times New Roman" w:hAnsi="Arial" w:cs="Arial"/>
          <w:color w:val="000000" w:themeColor="text1"/>
          <w:sz w:val="22"/>
          <w:szCs w:val="22"/>
          <w:lang w:val="en-US" w:eastAsia="en-GB"/>
        </w:rPr>
        <w:t>(and accordingly cannot</w:t>
      </w:r>
      <w:r w:rsidR="005D26EF" w:rsidRPr="00EA0CBF">
        <w:rPr>
          <w:rFonts w:ascii="Arial" w:eastAsia="Times New Roman" w:hAnsi="Arial" w:cs="Arial"/>
          <w:color w:val="000000" w:themeColor="text1"/>
          <w:sz w:val="22"/>
          <w:szCs w:val="22"/>
          <w:lang w:eastAsia="en-GB"/>
        </w:rPr>
        <w:t xml:space="preserve"> be regarded as being part of the components of the price of its taxed output services giving rise to a right to deduct</w:t>
      </w:r>
      <w:r w:rsidR="000340E9" w:rsidRPr="00EA0CBF">
        <w:rPr>
          <w:rFonts w:ascii="Arial" w:eastAsia="Times New Roman" w:hAnsi="Arial" w:cs="Arial"/>
          <w:color w:val="000000" w:themeColor="text1"/>
          <w:sz w:val="22"/>
          <w:szCs w:val="22"/>
          <w:lang w:val="en-US" w:eastAsia="en-GB"/>
        </w:rPr>
        <w:t>)</w:t>
      </w:r>
      <w:r w:rsidR="005D26EF" w:rsidRPr="00EA0CBF">
        <w:rPr>
          <w:rFonts w:ascii="Arial" w:eastAsia="Times New Roman" w:hAnsi="Arial" w:cs="Arial"/>
          <w:color w:val="000000" w:themeColor="text1"/>
          <w:sz w:val="22"/>
          <w:szCs w:val="22"/>
          <w:lang w:eastAsia="en-GB"/>
        </w:rPr>
        <w:t>.</w:t>
      </w:r>
      <w:r w:rsidR="000340E9" w:rsidRPr="00EA0CBF">
        <w:rPr>
          <w:rFonts w:ascii="Arial" w:eastAsia="Times New Roman" w:hAnsi="Arial" w:cs="Arial"/>
          <w:color w:val="000000" w:themeColor="text1"/>
          <w:sz w:val="22"/>
          <w:szCs w:val="22"/>
          <w:lang w:val="en-US" w:eastAsia="en-GB"/>
        </w:rPr>
        <w:t xml:space="preserve"> Nor can these services be considered as having </w:t>
      </w:r>
      <w:r w:rsidR="005D26EF" w:rsidRPr="00EA0CBF">
        <w:rPr>
          <w:rFonts w:ascii="Arial" w:eastAsia="Times New Roman" w:hAnsi="Arial" w:cs="Arial"/>
          <w:color w:val="000000" w:themeColor="text1"/>
          <w:sz w:val="22"/>
          <w:szCs w:val="22"/>
          <w:lang w:eastAsia="en-GB"/>
        </w:rPr>
        <w:t xml:space="preserve">a direct and immediate link with its economic </w:t>
      </w:r>
      <w:proofErr w:type="gramStart"/>
      <w:r w:rsidR="005D26EF" w:rsidRPr="00EA0CBF">
        <w:rPr>
          <w:rFonts w:ascii="Arial" w:eastAsia="Times New Roman" w:hAnsi="Arial" w:cs="Arial"/>
          <w:color w:val="000000" w:themeColor="text1"/>
          <w:sz w:val="22"/>
          <w:szCs w:val="22"/>
          <w:lang w:eastAsia="en-GB"/>
        </w:rPr>
        <w:t>activity as a whole</w:t>
      </w:r>
      <w:proofErr w:type="gramEnd"/>
      <w:r w:rsidR="000340E9" w:rsidRPr="00EA0CBF">
        <w:rPr>
          <w:rFonts w:ascii="Arial" w:eastAsia="Times New Roman" w:hAnsi="Arial" w:cs="Arial"/>
          <w:color w:val="000000" w:themeColor="text1"/>
          <w:sz w:val="22"/>
          <w:szCs w:val="22"/>
          <w:lang w:val="en-US" w:eastAsia="en-GB"/>
        </w:rPr>
        <w:t xml:space="preserve">. </w:t>
      </w:r>
      <w:r w:rsidR="00BE27DA" w:rsidRPr="00EA0CBF">
        <w:rPr>
          <w:rFonts w:ascii="Arial" w:eastAsia="Times New Roman" w:hAnsi="Arial" w:cs="Arial"/>
          <w:color w:val="000000" w:themeColor="text1"/>
          <w:sz w:val="22"/>
          <w:szCs w:val="22"/>
          <w:lang w:val="en-US" w:eastAsia="en-GB"/>
        </w:rPr>
        <w:t>More precisely, t</w:t>
      </w:r>
      <w:r w:rsidR="000340E9" w:rsidRPr="00EA0CBF">
        <w:rPr>
          <w:rFonts w:ascii="Arial" w:eastAsia="Times New Roman" w:hAnsi="Arial" w:cs="Arial"/>
          <w:color w:val="000000" w:themeColor="text1"/>
          <w:sz w:val="22"/>
          <w:szCs w:val="22"/>
          <w:lang w:val="en-US" w:eastAsia="en-GB"/>
        </w:rPr>
        <w:t xml:space="preserve">he CJEU decides, in line with the AG Opinion, that </w:t>
      </w:r>
      <w:r w:rsidR="00624B79" w:rsidRPr="00EA0CBF">
        <w:rPr>
          <w:rFonts w:ascii="Arial" w:eastAsia="Times New Roman" w:hAnsi="Arial" w:cs="Arial"/>
          <w:color w:val="000000" w:themeColor="text1"/>
          <w:sz w:val="22"/>
          <w:szCs w:val="22"/>
          <w:lang w:val="en-US" w:eastAsia="en-GB"/>
        </w:rPr>
        <w:t>these</w:t>
      </w:r>
      <w:r w:rsidR="00624B79" w:rsidRPr="00EA0CBF">
        <w:rPr>
          <w:rFonts w:ascii="Arial" w:eastAsia="Times New Roman" w:hAnsi="Arial" w:cs="Arial"/>
          <w:color w:val="000000" w:themeColor="text1"/>
          <w:sz w:val="22"/>
          <w:szCs w:val="22"/>
          <w:lang w:eastAsia="en-GB"/>
        </w:rPr>
        <w:t xml:space="preserve"> expenditures</w:t>
      </w:r>
      <w:r w:rsidR="005D26EF" w:rsidRPr="00EA0CBF">
        <w:rPr>
          <w:rFonts w:ascii="Arial" w:eastAsia="Times New Roman" w:hAnsi="Arial" w:cs="Arial"/>
          <w:color w:val="000000" w:themeColor="text1"/>
          <w:sz w:val="22"/>
          <w:szCs w:val="22"/>
          <w:lang w:eastAsia="en-GB"/>
        </w:rPr>
        <w:t xml:space="preserve"> constitute the very object of W’s shareholder contribution to its subsidiaries</w:t>
      </w:r>
      <w:r w:rsidR="000340E9" w:rsidRPr="00EA0CBF">
        <w:rPr>
          <w:rFonts w:ascii="Arial" w:eastAsia="Times New Roman" w:hAnsi="Arial" w:cs="Arial"/>
          <w:color w:val="000000" w:themeColor="text1"/>
          <w:sz w:val="22"/>
          <w:szCs w:val="22"/>
          <w:lang w:val="en-US" w:eastAsia="en-GB"/>
        </w:rPr>
        <w:t xml:space="preserve"> and that t</w:t>
      </w:r>
      <w:r w:rsidR="000340E9" w:rsidRPr="00EA0CBF">
        <w:rPr>
          <w:rFonts w:ascii="Arial" w:eastAsia="Times New Roman" w:hAnsi="Arial" w:cs="Arial"/>
          <w:color w:val="000000" w:themeColor="text1"/>
          <w:sz w:val="22"/>
          <w:szCs w:val="22"/>
          <w:lang w:eastAsia="en-GB"/>
        </w:rPr>
        <w:t xml:space="preserve">he exclusive reason for the transaction in question </w:t>
      </w:r>
      <w:r w:rsidR="00793CDD" w:rsidRPr="00793CDD">
        <w:rPr>
          <w:rFonts w:ascii="Arial" w:eastAsia="Times New Roman" w:hAnsi="Arial" w:cs="Arial"/>
          <w:color w:val="000000" w:themeColor="text1"/>
          <w:sz w:val="22"/>
          <w:szCs w:val="22"/>
          <w:lang w:val="en-US" w:eastAsia="en-GB"/>
        </w:rPr>
        <w:t>was</w:t>
      </w:r>
      <w:r w:rsidR="000340E9" w:rsidRPr="00EA0CBF">
        <w:rPr>
          <w:rFonts w:ascii="Arial" w:eastAsia="Times New Roman" w:hAnsi="Arial" w:cs="Arial"/>
          <w:color w:val="000000" w:themeColor="text1"/>
          <w:sz w:val="22"/>
          <w:szCs w:val="22"/>
          <w:lang w:eastAsia="en-GB"/>
        </w:rPr>
        <w:t xml:space="preserve"> a shareholder contribution from W</w:t>
      </w:r>
      <w:r w:rsidR="005D26EF" w:rsidRPr="00EA0CBF">
        <w:rPr>
          <w:rFonts w:ascii="Arial" w:eastAsia="Times New Roman" w:hAnsi="Arial" w:cs="Arial"/>
          <w:color w:val="000000" w:themeColor="text1"/>
          <w:sz w:val="22"/>
          <w:szCs w:val="22"/>
          <w:lang w:eastAsia="en-GB"/>
        </w:rPr>
        <w:t xml:space="preserve">. Such a contribution from a holding company in favour of its subsidiaries, whether in cash or in kind, </w:t>
      </w:r>
      <w:r w:rsidR="005D26EF" w:rsidRPr="00EA0CBF">
        <w:rPr>
          <w:rFonts w:ascii="Arial" w:eastAsia="Times New Roman" w:hAnsi="Arial" w:cs="Arial"/>
          <w:color w:val="000000" w:themeColor="text1"/>
          <w:sz w:val="22"/>
          <w:szCs w:val="22"/>
          <w:lang w:eastAsia="en-GB"/>
        </w:rPr>
        <w:lastRenderedPageBreak/>
        <w:t>comes under holding of shares which, does not amount to an economic activity within the meaning of the VAT Directive and does not therefore give rise to a right to deduct.</w:t>
      </w:r>
      <w:r w:rsidR="00751999" w:rsidRPr="00EA0CBF">
        <w:rPr>
          <w:rStyle w:val="FootnoteReference"/>
          <w:rFonts w:ascii="Arial" w:eastAsia="Times New Roman" w:hAnsi="Arial" w:cs="Arial"/>
          <w:color w:val="000000" w:themeColor="text1"/>
          <w:sz w:val="22"/>
          <w:szCs w:val="22"/>
          <w:lang w:eastAsia="en-GB"/>
        </w:rPr>
        <w:footnoteReference w:id="48"/>
      </w:r>
    </w:p>
    <w:p w14:paraId="41C184B3" w14:textId="57541050" w:rsidR="005D26EF" w:rsidRPr="00EA0CBF" w:rsidRDefault="00832BFC" w:rsidP="005D26EF">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The CJEU rejects W</w:t>
      </w:r>
      <w:r w:rsidR="00BE27DA" w:rsidRPr="00EA0CBF">
        <w:rPr>
          <w:rFonts w:ascii="Arial" w:eastAsia="Times New Roman" w:hAnsi="Arial" w:cs="Arial"/>
          <w:color w:val="000000" w:themeColor="text1"/>
          <w:sz w:val="22"/>
          <w:szCs w:val="22"/>
          <w:lang w:val="en-US" w:eastAsia="en-GB"/>
        </w:rPr>
        <w:t>’s</w:t>
      </w:r>
      <w:r w:rsidRPr="00EA0CBF">
        <w:rPr>
          <w:rFonts w:ascii="Arial" w:eastAsia="Times New Roman" w:hAnsi="Arial" w:cs="Arial"/>
          <w:color w:val="000000" w:themeColor="text1"/>
          <w:sz w:val="22"/>
          <w:szCs w:val="22"/>
          <w:lang w:val="en-US" w:eastAsia="en-GB"/>
        </w:rPr>
        <w:t xml:space="preserve"> argument that </w:t>
      </w:r>
      <w:r w:rsidR="005D26EF" w:rsidRPr="00EA0CBF">
        <w:rPr>
          <w:rFonts w:ascii="Arial" w:eastAsia="Times New Roman" w:hAnsi="Arial" w:cs="Arial"/>
          <w:color w:val="000000" w:themeColor="text1"/>
          <w:sz w:val="22"/>
          <w:szCs w:val="22"/>
          <w:lang w:eastAsia="en-GB"/>
        </w:rPr>
        <w:t xml:space="preserve">it is only thanks to its shareholder contributions that its subsidiaries </w:t>
      </w:r>
      <w:proofErr w:type="gramStart"/>
      <w:r w:rsidR="005D26EF" w:rsidRPr="00EA0CBF">
        <w:rPr>
          <w:rFonts w:ascii="Arial" w:eastAsia="Times New Roman" w:hAnsi="Arial" w:cs="Arial"/>
          <w:color w:val="000000" w:themeColor="text1"/>
          <w:sz w:val="22"/>
          <w:szCs w:val="22"/>
          <w:lang w:eastAsia="en-GB"/>
        </w:rPr>
        <w:t>are able to</w:t>
      </w:r>
      <w:proofErr w:type="gramEnd"/>
      <w:r w:rsidR="005D26EF" w:rsidRPr="00EA0CBF">
        <w:rPr>
          <w:rFonts w:ascii="Arial" w:eastAsia="Times New Roman" w:hAnsi="Arial" w:cs="Arial"/>
          <w:color w:val="000000" w:themeColor="text1"/>
          <w:sz w:val="22"/>
          <w:szCs w:val="22"/>
          <w:lang w:eastAsia="en-GB"/>
        </w:rPr>
        <w:t xml:space="preserve"> maintain their own activities and, accordingly, need its accounting and management services. </w:t>
      </w:r>
      <w:r w:rsidRPr="00EA0CBF">
        <w:rPr>
          <w:rFonts w:ascii="Arial" w:eastAsia="Times New Roman" w:hAnsi="Arial" w:cs="Arial"/>
          <w:color w:val="000000" w:themeColor="text1"/>
          <w:sz w:val="22"/>
          <w:szCs w:val="22"/>
          <w:lang w:val="en-US" w:eastAsia="en-GB"/>
        </w:rPr>
        <w:t>The CJEU decides that, a</w:t>
      </w:r>
      <w:r w:rsidR="005D26EF" w:rsidRPr="00EA0CBF">
        <w:rPr>
          <w:rFonts w:ascii="Arial" w:eastAsia="Times New Roman" w:hAnsi="Arial" w:cs="Arial"/>
          <w:color w:val="000000" w:themeColor="text1"/>
          <w:sz w:val="22"/>
          <w:szCs w:val="22"/>
          <w:lang w:eastAsia="en-GB"/>
        </w:rPr>
        <w:t>ssuming that those circumstances are established, they do not demonstrate a direct and immediate link between the services forming the object of those contributions and W’s economic activity. The objective behind acquiring the input services was to permit a shareholder contribution which could not be regarded as a transaction the exclusive and direct reason for which was W’s economic activity, that is, the supply to its subsidiaries of accounting and management services subject to VAT.</w:t>
      </w:r>
      <w:r w:rsidRPr="00EA0CBF">
        <w:rPr>
          <w:rStyle w:val="FootnoteReference"/>
          <w:rFonts w:ascii="Arial" w:eastAsia="Times New Roman" w:hAnsi="Arial" w:cs="Arial"/>
          <w:color w:val="000000" w:themeColor="text1"/>
          <w:sz w:val="22"/>
          <w:szCs w:val="22"/>
          <w:lang w:eastAsia="en-GB"/>
        </w:rPr>
        <w:footnoteReference w:id="49"/>
      </w:r>
    </w:p>
    <w:p w14:paraId="074005B9" w14:textId="0C51300F" w:rsidR="00832BFC" w:rsidRPr="00EA0CBF" w:rsidRDefault="00832BFC" w:rsidP="005D26EF">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Based on the above the CJEU decides that:</w:t>
      </w:r>
    </w:p>
    <w:p w14:paraId="380C9601" w14:textId="415FF2DA" w:rsidR="005D26EF" w:rsidRPr="00EA0CBF" w:rsidRDefault="005D26EF" w:rsidP="00FE2CD5">
      <w:pPr>
        <w:spacing w:before="100" w:beforeAutospacing="1"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Having regard to the foregoing considerations, the answer to the first question is that Article 168(a) of the VAT Directive, read in conjunction with Article 167 thereof, must be interpreted as meaning that a holding company which carries out taxable output transactions in favour of subsidiaries is not entitled to deduct the input tax levied on the services that it obtains from third parties and supplies to the subsidiaries in return for the grant of a share in the general profit, where, first, the input services have direct and immediate links not with the holding company’s own transactions but with the largely tax-exempt activities of the subsidiaries, second, those services are not included in the price of the taxable transactions carried out in favour of the subsidiaries and, third, the said services are not part of the general costs of the holding company’s own economic activity.</w:t>
      </w:r>
    </w:p>
    <w:p w14:paraId="6A596F03" w14:textId="4F02B43D" w:rsidR="005D26EF" w:rsidRPr="00EA0CBF" w:rsidRDefault="00832BFC" w:rsidP="00BE27DA">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In view of this decision the CJEU does not address the second question (on whether there would be an abuse of right if a right to deduct were to be accepted).</w:t>
      </w:r>
    </w:p>
    <w:p w14:paraId="34CDFDA1" w14:textId="77777777" w:rsidR="005D26EF" w:rsidRPr="00EA0CBF" w:rsidRDefault="005D26EF" w:rsidP="005D26EF">
      <w:pPr>
        <w:jc w:val="both"/>
        <w:rPr>
          <w:rFonts w:ascii="Arial" w:eastAsia="Times New Roman" w:hAnsi="Arial" w:cs="Arial"/>
          <w:b/>
          <w:bCs/>
          <w:color w:val="000000" w:themeColor="text1"/>
          <w:sz w:val="22"/>
          <w:szCs w:val="22"/>
          <w:shd w:val="clear" w:color="auto" w:fill="FFFFFF"/>
          <w:lang w:val="en-US" w:eastAsia="en-GB"/>
        </w:rPr>
      </w:pPr>
    </w:p>
    <w:p w14:paraId="23A7433A" w14:textId="5091E2F4" w:rsidR="00F8415B" w:rsidRPr="00EA0CBF" w:rsidRDefault="00F8415B" w:rsidP="00400523">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Discussion</w:t>
      </w:r>
    </w:p>
    <w:p w14:paraId="108600DD" w14:textId="7BCE8176" w:rsidR="00940622" w:rsidRPr="00EA0CBF" w:rsidRDefault="00832BFC" w:rsidP="00832BFC">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eastAsia="en-GB"/>
        </w:rPr>
        <w:t xml:space="preserve">In this decision the CJEU </w:t>
      </w:r>
      <w:r w:rsidRPr="00EA0CBF">
        <w:rPr>
          <w:rFonts w:ascii="Arial" w:eastAsia="Times New Roman" w:hAnsi="Arial" w:cs="Arial"/>
          <w:color w:val="000000" w:themeColor="text1"/>
          <w:sz w:val="22"/>
          <w:szCs w:val="22"/>
          <w:lang w:val="en-US" w:eastAsia="en-GB"/>
        </w:rPr>
        <w:t>decides</w:t>
      </w:r>
      <w:r w:rsidRPr="00EA0CBF">
        <w:rPr>
          <w:rFonts w:ascii="Arial" w:eastAsia="Times New Roman" w:hAnsi="Arial" w:cs="Arial"/>
          <w:color w:val="000000" w:themeColor="text1"/>
          <w:sz w:val="22"/>
          <w:szCs w:val="22"/>
          <w:lang w:eastAsia="en-GB"/>
        </w:rPr>
        <w:t xml:space="preserve"> that services acquired by a holding company and contributed by this holding company to its subsidiaries are linked to </w:t>
      </w:r>
      <w:r w:rsidR="00BE27DA" w:rsidRPr="00EA0CBF">
        <w:rPr>
          <w:rFonts w:ascii="Arial" w:eastAsia="Times New Roman" w:hAnsi="Arial" w:cs="Arial"/>
          <w:color w:val="000000" w:themeColor="text1"/>
          <w:sz w:val="22"/>
          <w:szCs w:val="22"/>
          <w:lang w:val="en-US" w:eastAsia="en-GB"/>
        </w:rPr>
        <w:t>its</w:t>
      </w:r>
      <w:r w:rsidRPr="00EA0CBF">
        <w:rPr>
          <w:rFonts w:ascii="Arial" w:eastAsia="Times New Roman" w:hAnsi="Arial" w:cs="Arial"/>
          <w:color w:val="000000" w:themeColor="text1"/>
          <w:sz w:val="22"/>
          <w:szCs w:val="22"/>
          <w:lang w:eastAsia="en-GB"/>
        </w:rPr>
        <w:t xml:space="preserve"> passive </w:t>
      </w:r>
      <w:r w:rsidRPr="00EA0CBF">
        <w:rPr>
          <w:rFonts w:ascii="Arial" w:eastAsia="Times New Roman" w:hAnsi="Arial" w:cs="Arial"/>
          <w:color w:val="000000" w:themeColor="text1"/>
          <w:sz w:val="22"/>
          <w:szCs w:val="22"/>
          <w:lang w:val="en-US" w:eastAsia="en-GB"/>
        </w:rPr>
        <w:t xml:space="preserve">activity of </w:t>
      </w:r>
      <w:r w:rsidRPr="00EA0CBF">
        <w:rPr>
          <w:rFonts w:ascii="Arial" w:eastAsia="Times New Roman" w:hAnsi="Arial" w:cs="Arial"/>
          <w:color w:val="000000" w:themeColor="text1"/>
          <w:sz w:val="22"/>
          <w:szCs w:val="22"/>
          <w:lang w:eastAsia="en-GB"/>
        </w:rPr>
        <w:t>holding shares (</w:t>
      </w:r>
      <w:r w:rsidRPr="00EA0CBF">
        <w:rPr>
          <w:rFonts w:ascii="Arial" w:eastAsia="Times New Roman" w:hAnsi="Arial" w:cs="Arial"/>
          <w:color w:val="000000" w:themeColor="text1"/>
          <w:sz w:val="22"/>
          <w:szCs w:val="22"/>
          <w:lang w:val="en-US" w:eastAsia="en-GB"/>
        </w:rPr>
        <w:t xml:space="preserve">i.e. </w:t>
      </w:r>
      <w:r w:rsidRPr="00EA0CBF">
        <w:rPr>
          <w:rFonts w:ascii="Arial" w:eastAsia="Times New Roman" w:hAnsi="Arial" w:cs="Arial"/>
          <w:color w:val="000000" w:themeColor="text1"/>
          <w:sz w:val="22"/>
          <w:szCs w:val="22"/>
          <w:lang w:eastAsia="en-GB"/>
        </w:rPr>
        <w:t>a non taxable activity giving rise to the payment of dividends no</w:t>
      </w:r>
      <w:r w:rsidRPr="00EA0CBF">
        <w:rPr>
          <w:rFonts w:ascii="Arial" w:eastAsia="Times New Roman" w:hAnsi="Arial" w:cs="Arial"/>
          <w:color w:val="000000" w:themeColor="text1"/>
          <w:sz w:val="22"/>
          <w:szCs w:val="22"/>
          <w:lang w:val="en-US" w:eastAsia="en-GB"/>
        </w:rPr>
        <w:t>t</w:t>
      </w:r>
      <w:r w:rsidRPr="00EA0CBF">
        <w:rPr>
          <w:rFonts w:ascii="Arial" w:eastAsia="Times New Roman" w:hAnsi="Arial" w:cs="Arial"/>
          <w:color w:val="000000" w:themeColor="text1"/>
          <w:sz w:val="22"/>
          <w:szCs w:val="22"/>
          <w:lang w:eastAsia="en-GB"/>
        </w:rPr>
        <w:t xml:space="preserve"> subject to VAT). Even if th</w:t>
      </w:r>
      <w:r w:rsidRPr="00EA0CBF">
        <w:rPr>
          <w:rFonts w:ascii="Arial" w:eastAsia="Times New Roman" w:hAnsi="Arial" w:cs="Arial"/>
          <w:color w:val="000000" w:themeColor="text1"/>
          <w:sz w:val="22"/>
          <w:szCs w:val="22"/>
          <w:lang w:val="en-US" w:eastAsia="en-GB"/>
        </w:rPr>
        <w:t>is</w:t>
      </w:r>
      <w:r w:rsidRPr="00EA0CBF">
        <w:rPr>
          <w:rFonts w:ascii="Arial" w:eastAsia="Times New Roman" w:hAnsi="Arial" w:cs="Arial"/>
          <w:color w:val="000000" w:themeColor="text1"/>
          <w:sz w:val="22"/>
          <w:szCs w:val="22"/>
          <w:lang w:eastAsia="en-GB"/>
        </w:rPr>
        <w:t xml:space="preserve"> holding also provides taxable supplies to </w:t>
      </w:r>
      <w:r w:rsidRPr="00EA0CBF">
        <w:rPr>
          <w:rFonts w:ascii="Arial" w:eastAsia="Times New Roman" w:hAnsi="Arial" w:cs="Arial"/>
          <w:color w:val="000000" w:themeColor="text1"/>
          <w:sz w:val="22"/>
          <w:szCs w:val="22"/>
          <w:lang w:val="en-US" w:eastAsia="en-GB"/>
        </w:rPr>
        <w:t>its</w:t>
      </w:r>
      <w:r w:rsidRPr="00EA0CBF">
        <w:rPr>
          <w:rFonts w:ascii="Arial" w:eastAsia="Times New Roman" w:hAnsi="Arial" w:cs="Arial"/>
          <w:color w:val="000000" w:themeColor="text1"/>
          <w:sz w:val="22"/>
          <w:szCs w:val="22"/>
          <w:lang w:eastAsia="en-GB"/>
        </w:rPr>
        <w:t xml:space="preserve"> subsidiaries, no link </w:t>
      </w:r>
      <w:r w:rsidRPr="00EA0CBF">
        <w:rPr>
          <w:rFonts w:ascii="Arial" w:eastAsia="Times New Roman" w:hAnsi="Arial" w:cs="Arial"/>
          <w:color w:val="000000" w:themeColor="text1"/>
          <w:sz w:val="22"/>
          <w:szCs w:val="22"/>
          <w:lang w:val="en-US" w:eastAsia="en-GB"/>
        </w:rPr>
        <w:t xml:space="preserve">can be made </w:t>
      </w:r>
      <w:r w:rsidRPr="00EA0CBF">
        <w:rPr>
          <w:rFonts w:ascii="Arial" w:eastAsia="Times New Roman" w:hAnsi="Arial" w:cs="Arial"/>
          <w:color w:val="000000" w:themeColor="text1"/>
          <w:sz w:val="22"/>
          <w:szCs w:val="22"/>
          <w:lang w:eastAsia="en-GB"/>
        </w:rPr>
        <w:t xml:space="preserve">between the services acquired </w:t>
      </w:r>
      <w:r w:rsidRPr="00EA0CBF">
        <w:rPr>
          <w:rFonts w:ascii="Arial" w:eastAsia="Times New Roman" w:hAnsi="Arial" w:cs="Arial"/>
          <w:color w:val="000000" w:themeColor="text1"/>
          <w:sz w:val="22"/>
          <w:szCs w:val="22"/>
          <w:lang w:val="en-US" w:eastAsia="en-GB"/>
        </w:rPr>
        <w:t>for the purpose of being contributed</w:t>
      </w:r>
      <w:r w:rsidRPr="00EA0CBF">
        <w:rPr>
          <w:rFonts w:ascii="Arial" w:eastAsia="Times New Roman" w:hAnsi="Arial" w:cs="Arial"/>
          <w:color w:val="000000" w:themeColor="text1"/>
          <w:sz w:val="22"/>
          <w:szCs w:val="22"/>
          <w:lang w:eastAsia="en-GB"/>
        </w:rPr>
        <w:t xml:space="preserve"> and this taxable activity.  </w:t>
      </w:r>
    </w:p>
    <w:p w14:paraId="4CF4DDE4" w14:textId="79995E00" w:rsidR="00793CDD" w:rsidRPr="00940622" w:rsidRDefault="00793CDD" w:rsidP="00832BFC">
      <w:pPr>
        <w:spacing w:before="100" w:beforeAutospacing="1" w:after="240"/>
        <w:jc w:val="both"/>
        <w:rPr>
          <w:rFonts w:ascii="Arial" w:eastAsia="Times New Roman" w:hAnsi="Arial" w:cs="Arial"/>
          <w:color w:val="FF0000"/>
          <w:sz w:val="22"/>
          <w:szCs w:val="22"/>
          <w:lang w:val="en-US" w:eastAsia="en-GB"/>
        </w:rPr>
      </w:pPr>
      <w:r w:rsidRPr="00793CDD">
        <w:rPr>
          <w:rFonts w:ascii="Arial" w:eastAsia="Times New Roman" w:hAnsi="Arial" w:cs="Arial"/>
          <w:color w:val="FF0000"/>
          <w:sz w:val="22"/>
          <w:szCs w:val="22"/>
          <w:lang w:val="en-US" w:eastAsia="en-GB"/>
        </w:rPr>
        <w:t>No further comment at this stage.</w:t>
      </w:r>
    </w:p>
    <w:p w14:paraId="18C6232C" w14:textId="77777777" w:rsidR="00473AE8" w:rsidRPr="00EA0CBF" w:rsidRDefault="00473AE8" w:rsidP="00473AE8">
      <w:pPr>
        <w:pStyle w:val="ListParagraph"/>
        <w:numPr>
          <w:ilvl w:val="0"/>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 xml:space="preserve">C-156/20 </w:t>
      </w:r>
      <w:proofErr w:type="spellStart"/>
      <w:r w:rsidRPr="00EA0CBF">
        <w:rPr>
          <w:rFonts w:ascii="Arial" w:eastAsia="Times New Roman" w:hAnsi="Arial" w:cs="Arial"/>
          <w:b/>
          <w:bCs/>
          <w:color w:val="000000" w:themeColor="text1"/>
          <w:sz w:val="22"/>
          <w:szCs w:val="22"/>
          <w:shd w:val="clear" w:color="auto" w:fill="FFFFFF"/>
          <w:lang w:val="en-US" w:eastAsia="en-GB"/>
        </w:rPr>
        <w:t>Zipvit</w:t>
      </w:r>
      <w:proofErr w:type="spellEnd"/>
      <w:r w:rsidRPr="00EA0CBF">
        <w:rPr>
          <w:rFonts w:ascii="Arial" w:eastAsia="Times New Roman" w:hAnsi="Arial" w:cs="Arial"/>
          <w:b/>
          <w:bCs/>
          <w:color w:val="000000" w:themeColor="text1"/>
          <w:sz w:val="22"/>
          <w:szCs w:val="22"/>
          <w:shd w:val="clear" w:color="auto" w:fill="FFFFFF"/>
          <w:lang w:val="en-US" w:eastAsia="en-GB"/>
        </w:rPr>
        <w:t> </w:t>
      </w:r>
    </w:p>
    <w:p w14:paraId="04400144" w14:textId="77777777" w:rsidR="00473AE8" w:rsidRPr="00EA0CBF" w:rsidRDefault="00473AE8" w:rsidP="00473AE8">
      <w:pPr>
        <w:pStyle w:val="ListParagraph"/>
        <w:ind w:left="360"/>
        <w:jc w:val="both"/>
        <w:rPr>
          <w:rFonts w:ascii="Arial" w:eastAsia="Times New Roman" w:hAnsi="Arial" w:cs="Arial"/>
          <w:b/>
          <w:bCs/>
          <w:color w:val="000000" w:themeColor="text1"/>
          <w:sz w:val="22"/>
          <w:szCs w:val="22"/>
          <w:shd w:val="clear" w:color="auto" w:fill="FFFFFF"/>
          <w:lang w:val="en-US" w:eastAsia="en-GB"/>
        </w:rPr>
      </w:pPr>
    </w:p>
    <w:p w14:paraId="267D3C9C"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Facts and question raised</w:t>
      </w:r>
    </w:p>
    <w:p w14:paraId="2D8AFB46" w14:textId="53B05FE5"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eastAsia="en-GB"/>
        </w:rPr>
        <w:t xml:space="preserve">Zipvit, a company established in the United Kingdom, </w:t>
      </w:r>
      <w:r w:rsidRPr="00EA0CBF">
        <w:rPr>
          <w:rFonts w:ascii="Arial" w:eastAsia="Times New Roman" w:hAnsi="Arial" w:cs="Arial"/>
          <w:color w:val="000000" w:themeColor="text1"/>
          <w:sz w:val="22"/>
          <w:szCs w:val="22"/>
          <w:lang w:val="en-US" w:eastAsia="en-GB"/>
        </w:rPr>
        <w:t>supplies</w:t>
      </w:r>
      <w:r w:rsidRPr="00EA0CBF">
        <w:rPr>
          <w:rFonts w:ascii="Arial" w:eastAsia="Times New Roman" w:hAnsi="Arial" w:cs="Arial"/>
          <w:color w:val="000000" w:themeColor="text1"/>
          <w:sz w:val="22"/>
          <w:szCs w:val="22"/>
          <w:lang w:eastAsia="en-GB"/>
        </w:rPr>
        <w:t xml:space="preserve"> vitamins and minerals by mail order.</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Between 1 January 2006 and 31 March 2010, Royal Mail</w:t>
      </w:r>
      <w:r w:rsidR="00793CDD" w:rsidRPr="00793CDD">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 xml:space="preserve">supplied postal services to Zipvit under contracts which had been negotiated individually with Zipvit. Those supplies were regarded as exempt from VAT </w:t>
      </w:r>
      <w:r w:rsidRPr="00EA0CBF">
        <w:rPr>
          <w:rFonts w:ascii="Arial" w:eastAsia="Times New Roman" w:hAnsi="Arial" w:cs="Arial"/>
          <w:color w:val="000000" w:themeColor="text1"/>
          <w:sz w:val="22"/>
          <w:szCs w:val="22"/>
          <w:lang w:val="en-US" w:eastAsia="en-GB"/>
        </w:rPr>
        <w:t xml:space="preserve">under </w:t>
      </w:r>
      <w:r w:rsidRPr="00EA0CBF">
        <w:rPr>
          <w:rFonts w:ascii="Arial" w:eastAsia="Times New Roman" w:hAnsi="Arial" w:cs="Arial"/>
          <w:color w:val="000000" w:themeColor="text1"/>
          <w:sz w:val="22"/>
          <w:szCs w:val="22"/>
          <w:lang w:eastAsia="en-GB"/>
        </w:rPr>
        <w:t xml:space="preserve">Article 132(1)(a) of </w:t>
      </w:r>
      <w:r w:rsidRPr="00EA0CBF">
        <w:rPr>
          <w:rFonts w:ascii="Arial" w:eastAsia="Times New Roman" w:hAnsi="Arial" w:cs="Arial"/>
          <w:color w:val="000000" w:themeColor="text1"/>
          <w:sz w:val="22"/>
          <w:szCs w:val="22"/>
          <w:lang w:val="en-US" w:eastAsia="en-GB"/>
        </w:rPr>
        <w:t xml:space="preserve">the VAT </w:t>
      </w:r>
      <w:r w:rsidRPr="00EA0CBF">
        <w:rPr>
          <w:rFonts w:ascii="Arial" w:eastAsia="Times New Roman" w:hAnsi="Arial" w:cs="Arial"/>
          <w:color w:val="000000" w:themeColor="text1"/>
          <w:sz w:val="22"/>
          <w:szCs w:val="22"/>
          <w:lang w:eastAsia="en-GB"/>
        </w:rPr>
        <w:t>Directive</w:t>
      </w:r>
      <w:r w:rsidRPr="00EA0CBF">
        <w:rPr>
          <w:rFonts w:ascii="Arial" w:eastAsia="Times New Roman" w:hAnsi="Arial" w:cs="Arial"/>
          <w:color w:val="000000" w:themeColor="text1"/>
          <w:sz w:val="22"/>
          <w:szCs w:val="22"/>
          <w:lang w:val="en-US" w:eastAsia="en-GB"/>
        </w:rPr>
        <w:t xml:space="preserve"> (although the contract specified that, if the VAT was due, </w:t>
      </w:r>
      <w:r w:rsidRPr="00EA0CBF">
        <w:rPr>
          <w:rFonts w:ascii="Arial" w:eastAsia="Times New Roman" w:hAnsi="Arial" w:cs="Arial"/>
          <w:color w:val="000000" w:themeColor="text1"/>
          <w:sz w:val="22"/>
          <w:szCs w:val="22"/>
          <w:lang w:eastAsia="en-GB"/>
        </w:rPr>
        <w:t>the recipient of the supply should bear the cost of it</w:t>
      </w:r>
      <w:r w:rsidRPr="00EA0CBF">
        <w:rPr>
          <w:rFonts w:ascii="Arial" w:eastAsia="Times New Roman" w:hAnsi="Arial" w:cs="Arial"/>
          <w:color w:val="000000" w:themeColor="text1"/>
          <w:sz w:val="22"/>
          <w:szCs w:val="22"/>
          <w:lang w:val="en-US" w:eastAsia="en-GB"/>
        </w:rPr>
        <w:t>). During this period Royal</w:t>
      </w:r>
      <w:r w:rsidR="00793CDD">
        <w:rPr>
          <w:rFonts w:ascii="Arial" w:eastAsia="Times New Roman" w:hAnsi="Arial" w:cs="Arial"/>
          <w:color w:val="000000" w:themeColor="text1"/>
          <w:sz w:val="22"/>
          <w:szCs w:val="22"/>
          <w:lang w:val="en-US" w:eastAsia="en-GB"/>
        </w:rPr>
        <w:t xml:space="preserve"> Mail</w:t>
      </w:r>
      <w:r w:rsidRPr="00EA0CBF">
        <w:rPr>
          <w:rFonts w:ascii="Arial" w:eastAsia="Times New Roman" w:hAnsi="Arial" w:cs="Arial"/>
          <w:color w:val="000000" w:themeColor="text1"/>
          <w:sz w:val="22"/>
          <w:szCs w:val="22"/>
          <w:lang w:val="en-US" w:eastAsia="en-GB"/>
        </w:rPr>
        <w:t xml:space="preserve"> thus issued invoices </w:t>
      </w:r>
      <w:r w:rsidRPr="00EA0CBF">
        <w:rPr>
          <w:rFonts w:ascii="Arial" w:eastAsia="Times New Roman" w:hAnsi="Arial" w:cs="Arial"/>
          <w:color w:val="000000" w:themeColor="text1"/>
          <w:sz w:val="22"/>
          <w:szCs w:val="22"/>
          <w:lang w:eastAsia="en-GB"/>
        </w:rPr>
        <w:t>without VAT, indicating that those supplies were exempt from VAT.</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However, on 23 April 2009 the Court delivered the judgment in </w:t>
      </w:r>
      <w:r w:rsidRPr="00EA0CBF">
        <w:rPr>
          <w:rFonts w:ascii="Arial" w:eastAsia="Times New Roman" w:hAnsi="Arial" w:cs="Arial"/>
          <w:i/>
          <w:iCs/>
          <w:color w:val="000000" w:themeColor="text1"/>
          <w:sz w:val="22"/>
          <w:szCs w:val="22"/>
          <w:lang w:eastAsia="en-GB"/>
        </w:rPr>
        <w:t>TNT Post UK </w:t>
      </w:r>
      <w:r w:rsidRPr="00EA0CBF">
        <w:rPr>
          <w:rFonts w:ascii="Arial" w:eastAsia="Times New Roman" w:hAnsi="Arial" w:cs="Arial"/>
          <w:color w:val="000000" w:themeColor="text1"/>
          <w:sz w:val="22"/>
          <w:szCs w:val="22"/>
          <w:lang w:eastAsia="en-GB"/>
        </w:rPr>
        <w:t>(C</w:t>
      </w:r>
      <w:r w:rsidRPr="00EA0CBF">
        <w:rPr>
          <w:rFonts w:ascii="Arial" w:eastAsia="Times New Roman" w:hAnsi="Arial" w:cs="Arial"/>
          <w:color w:val="000000" w:themeColor="text1"/>
          <w:sz w:val="22"/>
          <w:szCs w:val="22"/>
          <w:lang w:eastAsia="en-GB"/>
        </w:rPr>
        <w:noBreakHyphen/>
        <w:t xml:space="preserve">357/07, EU:C:2009:248), from which it is </w:t>
      </w:r>
      <w:r w:rsidRPr="00EA0CBF">
        <w:rPr>
          <w:rFonts w:ascii="Arial" w:eastAsia="Times New Roman" w:hAnsi="Arial" w:cs="Arial"/>
          <w:color w:val="000000" w:themeColor="text1"/>
          <w:sz w:val="22"/>
          <w:szCs w:val="22"/>
          <w:lang w:val="en-US" w:eastAsia="en-GB"/>
        </w:rPr>
        <w:t xml:space="preserve">appeared that the exemption laid down under </w:t>
      </w:r>
      <w:r w:rsidRPr="00EA0CBF">
        <w:rPr>
          <w:rFonts w:ascii="Arial" w:eastAsia="Times New Roman" w:hAnsi="Arial" w:cs="Arial"/>
          <w:color w:val="000000" w:themeColor="text1"/>
          <w:sz w:val="22"/>
          <w:szCs w:val="22"/>
          <w:lang w:eastAsia="en-GB"/>
        </w:rPr>
        <w:t xml:space="preserve">Article 132(1)(a) of </w:t>
      </w:r>
      <w:r w:rsidRPr="00EA0CBF">
        <w:rPr>
          <w:rFonts w:ascii="Arial" w:eastAsia="Times New Roman" w:hAnsi="Arial" w:cs="Arial"/>
          <w:color w:val="000000" w:themeColor="text1"/>
          <w:sz w:val="22"/>
          <w:szCs w:val="22"/>
          <w:lang w:val="en-US" w:eastAsia="en-GB"/>
        </w:rPr>
        <w:t xml:space="preserve">the VAT </w:t>
      </w:r>
      <w:r w:rsidRPr="00EA0CBF">
        <w:rPr>
          <w:rFonts w:ascii="Arial" w:eastAsia="Times New Roman" w:hAnsi="Arial" w:cs="Arial"/>
          <w:color w:val="000000" w:themeColor="text1"/>
          <w:sz w:val="22"/>
          <w:szCs w:val="22"/>
          <w:lang w:eastAsia="en-GB"/>
        </w:rPr>
        <w:t xml:space="preserve">Directive does not apply to services supplied by the </w:t>
      </w:r>
      <w:r w:rsidRPr="00EA0CBF">
        <w:rPr>
          <w:rFonts w:ascii="Arial" w:eastAsia="Times New Roman" w:hAnsi="Arial" w:cs="Arial"/>
          <w:color w:val="000000" w:themeColor="text1"/>
          <w:sz w:val="22"/>
          <w:szCs w:val="22"/>
          <w:lang w:eastAsia="en-GB"/>
        </w:rPr>
        <w:lastRenderedPageBreak/>
        <w:t>public postal services for which the terms have been individually negotiated.</w:t>
      </w:r>
      <w:r w:rsidRPr="00EA0CBF">
        <w:rPr>
          <w:rFonts w:ascii="Arial" w:eastAsia="Times New Roman" w:hAnsi="Arial" w:cs="Arial"/>
          <w:color w:val="000000" w:themeColor="text1"/>
          <w:sz w:val="22"/>
          <w:szCs w:val="22"/>
          <w:lang w:val="en-US" w:eastAsia="en-GB"/>
        </w:rPr>
        <w:t xml:space="preserve"> Following this decision, </w:t>
      </w:r>
      <w:r w:rsidRPr="00EA0CBF">
        <w:rPr>
          <w:rFonts w:ascii="Arial" w:eastAsia="Times New Roman" w:hAnsi="Arial" w:cs="Arial"/>
          <w:color w:val="000000" w:themeColor="text1"/>
          <w:sz w:val="22"/>
          <w:szCs w:val="22"/>
          <w:lang w:eastAsia="en-GB"/>
        </w:rPr>
        <w:t>Royal Mail did not attempt to recover the VAT mistakenly unpaid from Zipvit or from its other customers in the same situation, having regard</w:t>
      </w:r>
      <w:proofErr w:type="gramStart"/>
      <w:r w:rsidRPr="00EA0CBF">
        <w:rPr>
          <w:rFonts w:ascii="Arial" w:eastAsia="Times New Roman" w:hAnsi="Arial" w:cs="Arial"/>
          <w:color w:val="000000" w:themeColor="text1"/>
          <w:sz w:val="22"/>
          <w:szCs w:val="22"/>
          <w:lang w:eastAsia="en-GB"/>
        </w:rPr>
        <w:t>, in particular, to</w:t>
      </w:r>
      <w:proofErr w:type="gramEnd"/>
      <w:r w:rsidRPr="00EA0CBF">
        <w:rPr>
          <w:rFonts w:ascii="Arial" w:eastAsia="Times New Roman" w:hAnsi="Arial" w:cs="Arial"/>
          <w:color w:val="000000" w:themeColor="text1"/>
          <w:sz w:val="22"/>
          <w:szCs w:val="22"/>
          <w:lang w:eastAsia="en-GB"/>
        </w:rPr>
        <w:t xml:space="preserve"> the administrative burden and costs which this would have generate</w:t>
      </w:r>
      <w:r w:rsidRPr="00EA0CBF">
        <w:rPr>
          <w:rFonts w:ascii="Arial" w:eastAsia="Times New Roman" w:hAnsi="Arial" w:cs="Arial"/>
          <w:color w:val="000000" w:themeColor="text1"/>
          <w:sz w:val="22"/>
          <w:szCs w:val="22"/>
          <w:lang w:val="en-US" w:eastAsia="en-GB"/>
        </w:rPr>
        <w:t>d. Also</w:t>
      </w:r>
      <w:r w:rsidRPr="00EA0CBF">
        <w:rPr>
          <w:rFonts w:ascii="Arial" w:eastAsia="Times New Roman" w:hAnsi="Arial" w:cs="Arial"/>
          <w:color w:val="000000" w:themeColor="text1"/>
          <w:sz w:val="22"/>
          <w:szCs w:val="22"/>
          <w:lang w:eastAsia="en-GB"/>
        </w:rPr>
        <w:t xml:space="preserve">, the tax and customs administration </w:t>
      </w:r>
      <w:r w:rsidRPr="00EA0CBF">
        <w:rPr>
          <w:rFonts w:ascii="Arial" w:eastAsia="Times New Roman" w:hAnsi="Arial" w:cs="Arial"/>
          <w:color w:val="000000" w:themeColor="text1"/>
          <w:sz w:val="22"/>
          <w:szCs w:val="22"/>
          <w:lang w:val="en-US" w:eastAsia="en-GB"/>
        </w:rPr>
        <w:t xml:space="preserve">did not issue any </w:t>
      </w:r>
      <w:r w:rsidRPr="00EA0CBF">
        <w:rPr>
          <w:rFonts w:ascii="Arial" w:eastAsia="Times New Roman" w:hAnsi="Arial" w:cs="Arial"/>
          <w:color w:val="000000" w:themeColor="text1"/>
          <w:sz w:val="22"/>
          <w:szCs w:val="22"/>
          <w:lang w:eastAsia="en-GB"/>
        </w:rPr>
        <w:t>tax adjustment notice against Royal Mail, on account</w:t>
      </w:r>
      <w:proofErr w:type="gramStart"/>
      <w:r w:rsidRPr="00EA0CBF">
        <w:rPr>
          <w:rFonts w:ascii="Arial" w:eastAsia="Times New Roman" w:hAnsi="Arial" w:cs="Arial"/>
          <w:color w:val="000000" w:themeColor="text1"/>
          <w:sz w:val="22"/>
          <w:szCs w:val="22"/>
          <w:lang w:eastAsia="en-GB"/>
        </w:rPr>
        <w:t>, in particular, of</w:t>
      </w:r>
      <w:proofErr w:type="gramEnd"/>
      <w:r w:rsidRPr="00EA0CBF">
        <w:rPr>
          <w:rFonts w:ascii="Arial" w:eastAsia="Times New Roman" w:hAnsi="Arial" w:cs="Arial"/>
          <w:color w:val="000000" w:themeColor="text1"/>
          <w:sz w:val="22"/>
          <w:szCs w:val="22"/>
          <w:lang w:eastAsia="en-GB"/>
        </w:rPr>
        <w:t xml:space="preserve"> the legitimate expectation which it considered that it had created for Royal Mail in that regard</w:t>
      </w:r>
      <w:r w:rsidRPr="00EA0CBF">
        <w:rPr>
          <w:rFonts w:ascii="Arial" w:eastAsia="Times New Roman" w:hAnsi="Arial" w:cs="Arial"/>
          <w:color w:val="000000" w:themeColor="text1"/>
          <w:sz w:val="22"/>
          <w:szCs w:val="22"/>
          <w:lang w:val="en-US" w:eastAsia="en-GB"/>
        </w:rPr>
        <w:t>.</w:t>
      </w:r>
    </w:p>
    <w:p w14:paraId="47D674A9" w14:textId="3416F9C6"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T</w:t>
      </w:r>
      <w:r w:rsidRPr="00EA0CBF">
        <w:rPr>
          <w:rFonts w:ascii="Arial" w:eastAsia="Times New Roman" w:hAnsi="Arial" w:cs="Arial"/>
          <w:color w:val="000000" w:themeColor="text1"/>
          <w:sz w:val="22"/>
          <w:szCs w:val="22"/>
          <w:lang w:eastAsia="en-GB"/>
        </w:rPr>
        <w:t>aking the view that the payments which it had made to Royal Mail had to be regarded</w:t>
      </w:r>
      <w:r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eastAsia="en-GB"/>
        </w:rPr>
        <w:t xml:space="preserve"> retrospectively</w:t>
      </w:r>
      <w:r w:rsidRPr="00EA0CBF">
        <w:rPr>
          <w:rFonts w:ascii="Arial" w:eastAsia="Times New Roman" w:hAnsi="Arial" w:cs="Arial"/>
          <w:color w:val="000000" w:themeColor="text1"/>
          <w:sz w:val="22"/>
          <w:szCs w:val="22"/>
          <w:lang w:val="en-US" w:eastAsia="en-GB"/>
        </w:rPr>
        <w:t>,</w:t>
      </w:r>
      <w:r w:rsidRPr="00EA0CBF">
        <w:rPr>
          <w:rFonts w:ascii="Arial" w:eastAsia="Times New Roman" w:hAnsi="Arial" w:cs="Arial"/>
          <w:color w:val="000000" w:themeColor="text1"/>
          <w:sz w:val="22"/>
          <w:szCs w:val="22"/>
          <w:lang w:eastAsia="en-GB"/>
        </w:rPr>
        <w:t xml:space="preserve"> as including VAT, </w:t>
      </w:r>
      <w:proofErr w:type="spellStart"/>
      <w:r w:rsidRPr="00EA0CBF">
        <w:rPr>
          <w:rFonts w:ascii="Arial" w:eastAsia="Times New Roman" w:hAnsi="Arial" w:cs="Arial"/>
          <w:color w:val="000000" w:themeColor="text1"/>
          <w:sz w:val="22"/>
          <w:szCs w:val="22"/>
          <w:lang w:val="en-US" w:eastAsia="en-GB"/>
        </w:rPr>
        <w:t>Zipvit</w:t>
      </w:r>
      <w:proofErr w:type="spellEnd"/>
      <w:r w:rsidRPr="00EA0CBF">
        <w:rPr>
          <w:rFonts w:ascii="Arial" w:eastAsia="Times New Roman" w:hAnsi="Arial" w:cs="Arial"/>
          <w:color w:val="000000" w:themeColor="text1"/>
          <w:sz w:val="22"/>
          <w:szCs w:val="22"/>
          <w:lang w:val="en-US" w:eastAsia="en-GB"/>
        </w:rPr>
        <w:t xml:space="preserve"> however </w:t>
      </w:r>
      <w:r w:rsidRPr="00EA0CBF">
        <w:rPr>
          <w:rFonts w:ascii="Arial" w:eastAsia="Times New Roman" w:hAnsi="Arial" w:cs="Arial"/>
          <w:color w:val="000000" w:themeColor="text1"/>
          <w:sz w:val="22"/>
          <w:szCs w:val="22"/>
          <w:lang w:eastAsia="en-GB"/>
        </w:rPr>
        <w:t>submitted two applications for deduction of input VAT relating to the supplies at issue to the tax and customs administration,</w:t>
      </w:r>
      <w:r w:rsidR="005D5DDB" w:rsidRPr="005D5DDB">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on 15 September 2009 and 8 April 2010, for a total amount of 415 746 pounds sterling (GBP) (approximately EUR 498 900), together with interest.</w:t>
      </w:r>
    </w:p>
    <w:p w14:paraId="09465522" w14:textId="51BA8C13" w:rsidR="00473AE8"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val="en-US" w:eastAsia="en-GB"/>
        </w:rPr>
        <w:t xml:space="preserve">The tax and customs administrations dismissed these applications, </w:t>
      </w:r>
      <w:r w:rsidRPr="00EA0CBF">
        <w:rPr>
          <w:rFonts w:ascii="Arial" w:eastAsia="Times New Roman" w:hAnsi="Arial" w:cs="Arial"/>
          <w:color w:val="000000" w:themeColor="text1"/>
          <w:sz w:val="22"/>
          <w:szCs w:val="22"/>
          <w:lang w:eastAsia="en-GB"/>
        </w:rPr>
        <w:t xml:space="preserve">on the grounds that the supplies at issue had not been subject to VAT and that Zipvit had not paid that </w:t>
      </w:r>
      <w:r w:rsidRPr="00EA0CBF">
        <w:rPr>
          <w:rFonts w:ascii="Arial" w:eastAsia="Times New Roman" w:hAnsi="Arial" w:cs="Arial"/>
          <w:color w:val="000000" w:themeColor="text1"/>
          <w:sz w:val="22"/>
          <w:szCs w:val="22"/>
          <w:lang w:val="en-US" w:eastAsia="en-GB"/>
        </w:rPr>
        <w:t>tax (which could therefore not be considered as deductible)</w:t>
      </w:r>
      <w:r w:rsidRPr="00EA0CBF">
        <w:rPr>
          <w:rFonts w:ascii="Arial" w:eastAsia="Times New Roman" w:hAnsi="Arial" w:cs="Arial"/>
          <w:color w:val="000000" w:themeColor="text1"/>
          <w:sz w:val="22"/>
          <w:szCs w:val="22"/>
          <w:lang w:eastAsia="en-GB"/>
        </w:rPr>
        <w:t xml:space="preserve">.  Zipvit </w:t>
      </w:r>
      <w:r w:rsidRPr="00EA0CBF">
        <w:rPr>
          <w:rFonts w:ascii="Arial" w:hAnsi="Arial" w:cs="Arial"/>
          <w:color w:val="000000" w:themeColor="text1"/>
          <w:sz w:val="22"/>
          <w:szCs w:val="22"/>
          <w:lang w:val="en-US"/>
        </w:rPr>
        <w:t xml:space="preserve">challenged that decision before the first and second instances courts, without success. The matter </w:t>
      </w:r>
      <w:r w:rsidRPr="00EA0CBF">
        <w:rPr>
          <w:rFonts w:ascii="Arial" w:eastAsia="Times New Roman" w:hAnsi="Arial" w:cs="Arial"/>
          <w:color w:val="000000" w:themeColor="text1"/>
          <w:sz w:val="22"/>
          <w:szCs w:val="22"/>
          <w:lang w:val="en-US" w:eastAsia="en-GB"/>
        </w:rPr>
        <w:t xml:space="preserve">was then brought before </w:t>
      </w:r>
      <w:r w:rsidRPr="00EA0CBF">
        <w:rPr>
          <w:rFonts w:ascii="Arial" w:eastAsia="Times New Roman" w:hAnsi="Arial" w:cs="Arial"/>
          <w:color w:val="000000" w:themeColor="text1"/>
          <w:sz w:val="22"/>
          <w:szCs w:val="22"/>
          <w:lang w:eastAsia="en-GB"/>
        </w:rPr>
        <w:t>the Supreme Court</w:t>
      </w:r>
      <w:r w:rsidRPr="00EA0CBF">
        <w:rPr>
          <w:rFonts w:ascii="Arial" w:eastAsia="Times New Roman" w:hAnsi="Arial" w:cs="Arial"/>
          <w:color w:val="000000" w:themeColor="text1"/>
          <w:sz w:val="22"/>
          <w:szCs w:val="22"/>
          <w:lang w:val="en-US" w:eastAsia="en-GB"/>
        </w:rPr>
        <w:t xml:space="preserve">, who </w:t>
      </w:r>
      <w:r w:rsidRPr="00EA0CBF">
        <w:rPr>
          <w:rFonts w:ascii="Arial" w:eastAsia="Times New Roman" w:hAnsi="Arial" w:cs="Arial"/>
          <w:color w:val="000000" w:themeColor="text1"/>
          <w:sz w:val="22"/>
          <w:szCs w:val="22"/>
          <w:lang w:eastAsia="en-GB"/>
        </w:rPr>
        <w:t>refer</w:t>
      </w:r>
      <w:r w:rsidRPr="00EA0CBF">
        <w:rPr>
          <w:rFonts w:ascii="Arial" w:eastAsia="Times New Roman" w:hAnsi="Arial" w:cs="Arial"/>
          <w:color w:val="000000" w:themeColor="text1"/>
          <w:sz w:val="22"/>
          <w:szCs w:val="22"/>
          <w:lang w:val="en-US" w:eastAsia="en-GB"/>
        </w:rPr>
        <w:t>ed</w:t>
      </w:r>
      <w:r w:rsidRPr="00EA0CBF">
        <w:rPr>
          <w:rFonts w:ascii="Arial" w:eastAsia="Times New Roman" w:hAnsi="Arial" w:cs="Arial"/>
          <w:color w:val="000000" w:themeColor="text1"/>
          <w:sz w:val="22"/>
          <w:szCs w:val="22"/>
          <w:lang w:eastAsia="en-GB"/>
        </w:rPr>
        <w:t xml:space="preserve"> </w:t>
      </w:r>
      <w:r w:rsidRPr="00EA0CBF">
        <w:rPr>
          <w:rFonts w:ascii="Arial" w:eastAsia="Times New Roman" w:hAnsi="Arial" w:cs="Arial"/>
          <w:color w:val="000000" w:themeColor="text1"/>
          <w:sz w:val="22"/>
          <w:szCs w:val="22"/>
          <w:lang w:val="en-US" w:eastAsia="en-GB"/>
        </w:rPr>
        <w:t xml:space="preserve">four </w:t>
      </w:r>
      <w:r w:rsidRPr="00EA0CBF">
        <w:rPr>
          <w:rFonts w:ascii="Arial" w:eastAsia="Times New Roman" w:hAnsi="Arial" w:cs="Arial"/>
          <w:color w:val="000000" w:themeColor="text1"/>
          <w:sz w:val="22"/>
          <w:szCs w:val="22"/>
          <w:lang w:eastAsia="en-GB"/>
        </w:rPr>
        <w:t xml:space="preserve">questions to the </w:t>
      </w:r>
      <w:r w:rsidRPr="00EA0CBF">
        <w:rPr>
          <w:rFonts w:ascii="Arial" w:eastAsia="Times New Roman" w:hAnsi="Arial" w:cs="Arial"/>
          <w:color w:val="000000" w:themeColor="text1"/>
          <w:sz w:val="22"/>
          <w:szCs w:val="22"/>
          <w:lang w:val="en-US" w:eastAsia="en-GB"/>
        </w:rPr>
        <w:t xml:space="preserve">CJEU, which </w:t>
      </w:r>
      <w:r w:rsidR="00793CDD">
        <w:rPr>
          <w:rFonts w:ascii="Arial" w:eastAsia="Times New Roman" w:hAnsi="Arial" w:cs="Arial"/>
          <w:color w:val="000000" w:themeColor="text1"/>
          <w:sz w:val="22"/>
          <w:szCs w:val="22"/>
          <w:lang w:val="en-US" w:eastAsia="en-GB"/>
        </w:rPr>
        <w:t>have been</w:t>
      </w:r>
      <w:r w:rsidRPr="00EA0CBF">
        <w:rPr>
          <w:rFonts w:ascii="Arial" w:eastAsia="Times New Roman" w:hAnsi="Arial" w:cs="Arial"/>
          <w:color w:val="000000" w:themeColor="text1"/>
          <w:sz w:val="22"/>
          <w:szCs w:val="22"/>
          <w:lang w:val="en-US" w:eastAsia="en-GB"/>
        </w:rPr>
        <w:t xml:space="preserve"> summarized </w:t>
      </w:r>
      <w:r w:rsidR="00793CDD" w:rsidRPr="00EA0CBF">
        <w:rPr>
          <w:rFonts w:ascii="Arial" w:eastAsia="Times New Roman" w:hAnsi="Arial" w:cs="Arial"/>
          <w:color w:val="000000" w:themeColor="text1"/>
          <w:sz w:val="22"/>
          <w:szCs w:val="22"/>
          <w:lang w:val="en-US" w:eastAsia="en-GB"/>
        </w:rPr>
        <w:t>as follows</w:t>
      </w:r>
      <w:r w:rsidR="00793CDD">
        <w:rPr>
          <w:rFonts w:ascii="Arial" w:eastAsia="Times New Roman" w:hAnsi="Arial" w:cs="Arial"/>
          <w:color w:val="000000" w:themeColor="text1"/>
          <w:sz w:val="22"/>
          <w:szCs w:val="22"/>
          <w:lang w:val="en-US" w:eastAsia="en-GB"/>
        </w:rPr>
        <w:t xml:space="preserve"> by the CJEU</w:t>
      </w:r>
      <w:r w:rsidRPr="00EA0CBF">
        <w:rPr>
          <w:rFonts w:ascii="Arial" w:eastAsia="Times New Roman" w:hAnsi="Arial" w:cs="Arial"/>
          <w:color w:val="000000" w:themeColor="text1"/>
          <w:sz w:val="22"/>
          <w:szCs w:val="22"/>
          <w:lang w:val="en-US" w:eastAsia="en-GB"/>
        </w:rPr>
        <w:t>:</w:t>
      </w:r>
      <w:r w:rsidRPr="00EA0CBF">
        <w:rPr>
          <w:rStyle w:val="FootnoteReference"/>
          <w:rFonts w:ascii="Arial" w:eastAsia="Times New Roman" w:hAnsi="Arial" w:cs="Arial"/>
          <w:color w:val="000000" w:themeColor="text1"/>
          <w:sz w:val="22"/>
          <w:szCs w:val="22"/>
          <w:lang w:eastAsia="en-GB"/>
        </w:rPr>
        <w:footnoteReference w:id="50"/>
      </w:r>
    </w:p>
    <w:p w14:paraId="6A3CB5BE" w14:textId="7C9C903D" w:rsidR="00473AE8" w:rsidRPr="005D5DDB" w:rsidRDefault="00473AE8" w:rsidP="00473AE8">
      <w:pPr>
        <w:pStyle w:val="ListParagraph"/>
        <w:numPr>
          <w:ilvl w:val="0"/>
          <w:numId w:val="10"/>
        </w:numPr>
        <w:spacing w:before="100" w:beforeAutospacing="1" w:after="240"/>
        <w:jc w:val="both"/>
        <w:rPr>
          <w:rFonts w:ascii="Arial" w:eastAsia="Times New Roman" w:hAnsi="Arial" w:cs="Arial"/>
          <w:color w:val="000000" w:themeColor="text1"/>
          <w:sz w:val="22"/>
          <w:szCs w:val="22"/>
          <w:lang w:eastAsia="en-GB"/>
        </w:rPr>
      </w:pPr>
      <w:r w:rsidRPr="005D5DDB">
        <w:rPr>
          <w:rFonts w:ascii="Arial" w:eastAsia="Times New Roman" w:hAnsi="Arial" w:cs="Arial"/>
          <w:color w:val="000000" w:themeColor="text1"/>
          <w:sz w:val="22"/>
          <w:szCs w:val="22"/>
          <w:lang w:eastAsia="en-GB"/>
        </w:rPr>
        <w:t xml:space="preserve">Questions 1, 2 and 4: Should Article 168(a) of the VAT Directive be interpreted as meaning that VAT may be regarded as being </w:t>
      </w:r>
      <w:r w:rsidRPr="005D5DDB">
        <w:rPr>
          <w:rFonts w:ascii="Arial" w:eastAsia="Times New Roman" w:hAnsi="Arial" w:cs="Arial"/>
          <w:color w:val="000000" w:themeColor="text1"/>
          <w:sz w:val="22"/>
          <w:szCs w:val="22"/>
          <w:u w:val="single"/>
          <w:lang w:eastAsia="en-GB"/>
        </w:rPr>
        <w:t>due or paid</w:t>
      </w:r>
      <w:r w:rsidRPr="005D5DDB">
        <w:rPr>
          <w:rFonts w:ascii="Arial" w:eastAsia="Times New Roman" w:hAnsi="Arial" w:cs="Arial"/>
          <w:color w:val="000000" w:themeColor="text1"/>
          <w:sz w:val="22"/>
          <w:szCs w:val="22"/>
          <w:lang w:eastAsia="en-GB"/>
        </w:rPr>
        <w:t xml:space="preserve">, and therefore deductible by the taxable person, in the case where, first, that person and its supplier have mistakenly assumed that the supplies at issue were exempt from VAT </w:t>
      </w:r>
      <w:r w:rsidRPr="005D5DDB">
        <w:rPr>
          <w:rFonts w:ascii="Arial" w:eastAsia="Times New Roman" w:hAnsi="Arial" w:cs="Arial"/>
          <w:color w:val="000000" w:themeColor="text1"/>
          <w:sz w:val="22"/>
          <w:szCs w:val="22"/>
          <w:lang w:val="en-US" w:eastAsia="en-GB"/>
        </w:rPr>
        <w:t>(</w:t>
      </w:r>
      <w:r w:rsidRPr="005D5DDB">
        <w:rPr>
          <w:rFonts w:ascii="Arial" w:eastAsia="Times New Roman" w:hAnsi="Arial" w:cs="Arial"/>
          <w:color w:val="000000" w:themeColor="text1"/>
          <w:sz w:val="22"/>
          <w:szCs w:val="22"/>
          <w:lang w:eastAsia="en-GB"/>
        </w:rPr>
        <w:t>and that, consequently, the invoices issued did not refer to VAT</w:t>
      </w:r>
      <w:r w:rsidRPr="005D5DDB">
        <w:rPr>
          <w:rFonts w:ascii="Arial" w:eastAsia="Times New Roman" w:hAnsi="Arial" w:cs="Arial"/>
          <w:color w:val="000000" w:themeColor="text1"/>
          <w:sz w:val="22"/>
          <w:szCs w:val="22"/>
          <w:lang w:val="en-US" w:eastAsia="en-GB"/>
        </w:rPr>
        <w:t>)</w:t>
      </w:r>
      <w:r w:rsidRPr="005D5DDB">
        <w:rPr>
          <w:rFonts w:ascii="Arial" w:eastAsia="Times New Roman" w:hAnsi="Arial" w:cs="Arial"/>
          <w:color w:val="000000" w:themeColor="text1"/>
          <w:sz w:val="22"/>
          <w:szCs w:val="22"/>
          <w:lang w:eastAsia="en-GB"/>
        </w:rPr>
        <w:t>, in a situation where the contract between those two persons provides that, if that tax were due, the recipient of the supply should bear the cost of it, and, second, no step to recover the VAT was taken in good time, with the result that any action by the supplier and the tax and customs administration to recover the unpaid VAT is time-barred.</w:t>
      </w:r>
    </w:p>
    <w:p w14:paraId="1D565E1C" w14:textId="77777777" w:rsidR="00793CDD" w:rsidRPr="005D5DDB" w:rsidRDefault="00793CDD" w:rsidP="00793CDD">
      <w:pPr>
        <w:pStyle w:val="ListParagraph"/>
        <w:spacing w:before="100" w:beforeAutospacing="1" w:after="240"/>
        <w:jc w:val="both"/>
        <w:rPr>
          <w:rFonts w:ascii="Arial" w:eastAsia="Times New Roman" w:hAnsi="Arial" w:cs="Arial"/>
          <w:color w:val="000000" w:themeColor="text1"/>
          <w:sz w:val="22"/>
          <w:szCs w:val="22"/>
          <w:lang w:eastAsia="en-GB"/>
        </w:rPr>
      </w:pPr>
    </w:p>
    <w:p w14:paraId="3615234C" w14:textId="77777777" w:rsidR="00473AE8" w:rsidRPr="005D5DDB" w:rsidRDefault="00473AE8" w:rsidP="00473AE8">
      <w:pPr>
        <w:pStyle w:val="ListParagraph"/>
        <w:numPr>
          <w:ilvl w:val="0"/>
          <w:numId w:val="10"/>
        </w:numPr>
        <w:spacing w:before="100" w:beforeAutospacing="1" w:after="240"/>
        <w:jc w:val="both"/>
        <w:rPr>
          <w:rFonts w:ascii="Arial" w:eastAsia="Times New Roman" w:hAnsi="Arial" w:cs="Arial"/>
          <w:color w:val="000000" w:themeColor="text1"/>
          <w:sz w:val="22"/>
          <w:szCs w:val="22"/>
          <w:lang w:eastAsia="en-GB"/>
        </w:rPr>
      </w:pPr>
      <w:r w:rsidRPr="005D5DDB">
        <w:rPr>
          <w:rFonts w:ascii="Arial" w:eastAsia="Times New Roman" w:hAnsi="Arial" w:cs="Arial"/>
          <w:color w:val="000000" w:themeColor="text1"/>
          <w:sz w:val="22"/>
          <w:szCs w:val="22"/>
          <w:lang w:eastAsia="en-GB"/>
        </w:rPr>
        <w:t>Question 3: Should the VAT Directive be interpreted as meaning that a recipient of supplies mistakenly exempted from VAT may rely on the right to deduct input VAT due or paid if it does not hold invoices containing the details set out in Article 226(9) and (10) of that directive.</w:t>
      </w:r>
    </w:p>
    <w:p w14:paraId="63F7FC50" w14:textId="77777777" w:rsidR="00473AE8" w:rsidRPr="00EA0CBF" w:rsidRDefault="00473AE8" w:rsidP="00473AE8">
      <w:pPr>
        <w:pStyle w:val="ListParagraph"/>
        <w:spacing w:before="100" w:beforeAutospacing="1" w:after="240"/>
        <w:jc w:val="both"/>
        <w:rPr>
          <w:rFonts w:ascii="Arial" w:eastAsia="Times New Roman" w:hAnsi="Arial" w:cs="Arial"/>
          <w:color w:val="000000" w:themeColor="text1"/>
          <w:sz w:val="18"/>
          <w:szCs w:val="18"/>
          <w:lang w:eastAsia="en-GB"/>
        </w:rPr>
      </w:pPr>
    </w:p>
    <w:p w14:paraId="3B9783DF" w14:textId="77777777" w:rsidR="00473AE8" w:rsidRPr="00EA0CBF" w:rsidRDefault="00473AE8" w:rsidP="00473AE8">
      <w:pPr>
        <w:pStyle w:val="ListParagraph"/>
        <w:spacing w:before="100" w:beforeAutospacing="1" w:after="240"/>
        <w:jc w:val="both"/>
        <w:rPr>
          <w:rFonts w:ascii="Arial" w:eastAsia="Times New Roman" w:hAnsi="Arial" w:cs="Arial"/>
          <w:color w:val="000000" w:themeColor="text1"/>
          <w:sz w:val="22"/>
          <w:szCs w:val="22"/>
          <w:lang w:eastAsia="en-GB"/>
        </w:rPr>
      </w:pPr>
    </w:p>
    <w:p w14:paraId="3EAAD0B0" w14:textId="1C6972FE"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EA0CBF">
        <w:rPr>
          <w:rFonts w:ascii="Arial" w:eastAsia="Times New Roman" w:hAnsi="Arial" w:cs="Arial"/>
          <w:b/>
          <w:bCs/>
          <w:color w:val="000000" w:themeColor="text1"/>
          <w:sz w:val="22"/>
          <w:szCs w:val="22"/>
          <w:shd w:val="clear" w:color="auto" w:fill="FFFFFF"/>
          <w:lang w:val="en-US" w:eastAsia="en-GB"/>
        </w:rPr>
        <w:t>Court decision</w:t>
      </w:r>
      <w:r w:rsidR="00B64732" w:rsidRPr="00EA0CBF">
        <w:rPr>
          <w:rFonts w:ascii="Arial" w:eastAsia="Times New Roman" w:hAnsi="Arial" w:cs="Arial"/>
          <w:b/>
          <w:bCs/>
          <w:color w:val="000000" w:themeColor="text1"/>
          <w:sz w:val="22"/>
          <w:szCs w:val="22"/>
          <w:shd w:val="clear" w:color="auto" w:fill="FFFFFF"/>
          <w:lang w:val="en-US" w:eastAsia="en-GB"/>
        </w:rPr>
        <w:t xml:space="preserve"> (AG </w:t>
      </w:r>
      <w:proofErr w:type="spellStart"/>
      <w:r w:rsidR="00B64732" w:rsidRPr="00EA0CBF">
        <w:rPr>
          <w:rFonts w:ascii="Arial" w:eastAsia="Times New Roman" w:hAnsi="Arial" w:cs="Arial"/>
          <w:b/>
          <w:bCs/>
          <w:color w:val="000000" w:themeColor="text1"/>
          <w:sz w:val="22"/>
          <w:szCs w:val="22"/>
          <w:shd w:val="clear" w:color="auto" w:fill="FFFFFF"/>
          <w:lang w:val="en-US" w:eastAsia="en-GB"/>
        </w:rPr>
        <w:t>Kokott</w:t>
      </w:r>
      <w:proofErr w:type="spellEnd"/>
      <w:r w:rsidR="00B64732" w:rsidRPr="00EA0CBF">
        <w:rPr>
          <w:rFonts w:ascii="Arial" w:eastAsia="Times New Roman" w:hAnsi="Arial" w:cs="Arial"/>
          <w:b/>
          <w:bCs/>
          <w:color w:val="000000" w:themeColor="text1"/>
          <w:sz w:val="22"/>
          <w:szCs w:val="22"/>
          <w:shd w:val="clear" w:color="auto" w:fill="FFFFFF"/>
          <w:lang w:val="en-US" w:eastAsia="en-GB"/>
        </w:rPr>
        <w:t>)</w:t>
      </w:r>
    </w:p>
    <w:p w14:paraId="3A14BF23" w14:textId="0CB187E4" w:rsidR="00473AE8" w:rsidRPr="00EA0CBF" w:rsidRDefault="00473AE8" w:rsidP="00473AE8">
      <w:pPr>
        <w:spacing w:before="100" w:beforeAutospacing="1" w:after="240"/>
        <w:jc w:val="both"/>
        <w:rPr>
          <w:rFonts w:ascii="Arial" w:hAnsi="Arial" w:cs="Arial"/>
          <w:color w:val="000000" w:themeColor="text1"/>
          <w:sz w:val="22"/>
          <w:szCs w:val="22"/>
        </w:rPr>
      </w:pPr>
      <w:r w:rsidRPr="00EA0CBF">
        <w:rPr>
          <w:rFonts w:ascii="Arial" w:eastAsia="Times New Roman" w:hAnsi="Arial" w:cs="Arial"/>
          <w:color w:val="000000" w:themeColor="text1"/>
          <w:sz w:val="22"/>
          <w:szCs w:val="22"/>
          <w:lang w:eastAsia="en-GB"/>
        </w:rPr>
        <w:t xml:space="preserve">On the 1st, 2nd and 4th questions, </w:t>
      </w:r>
      <w:r w:rsidRPr="00EA0CBF">
        <w:rPr>
          <w:rFonts w:ascii="Arial" w:hAnsi="Arial" w:cs="Arial"/>
          <w:color w:val="000000" w:themeColor="text1"/>
          <w:sz w:val="22"/>
          <w:szCs w:val="22"/>
          <w:lang w:val="en-US"/>
        </w:rPr>
        <w:t xml:space="preserve">the CJEU first recalls that </w:t>
      </w:r>
      <w:r w:rsidRPr="00EA0CBF">
        <w:rPr>
          <w:rFonts w:ascii="Arial" w:hAnsi="Arial" w:cs="Arial"/>
          <w:color w:val="000000" w:themeColor="text1"/>
          <w:sz w:val="22"/>
          <w:szCs w:val="22"/>
        </w:rPr>
        <w:t xml:space="preserve">the right to deduct is an integral part of the VAT </w:t>
      </w:r>
      <w:r w:rsidR="00793CDD" w:rsidRPr="00793CDD">
        <w:rPr>
          <w:rFonts w:ascii="Arial" w:hAnsi="Arial" w:cs="Arial"/>
          <w:color w:val="000000" w:themeColor="text1"/>
          <w:sz w:val="22"/>
          <w:szCs w:val="22"/>
          <w:lang w:val="en-US"/>
        </w:rPr>
        <w:t>syste</w:t>
      </w:r>
      <w:r w:rsidR="00793CDD">
        <w:rPr>
          <w:rFonts w:ascii="Arial" w:hAnsi="Arial" w:cs="Arial"/>
          <w:color w:val="000000" w:themeColor="text1"/>
          <w:sz w:val="22"/>
          <w:szCs w:val="22"/>
          <w:lang w:val="en-US"/>
        </w:rPr>
        <w:t>m</w:t>
      </w:r>
      <w:r w:rsidRPr="00EA0CBF">
        <w:rPr>
          <w:rFonts w:ascii="Arial" w:hAnsi="Arial" w:cs="Arial"/>
          <w:color w:val="000000" w:themeColor="text1"/>
          <w:sz w:val="22"/>
          <w:szCs w:val="22"/>
        </w:rPr>
        <w:t xml:space="preserve"> and </w:t>
      </w:r>
      <w:r w:rsidRPr="00EA0CBF">
        <w:rPr>
          <w:rFonts w:ascii="Arial" w:hAnsi="Arial" w:cs="Arial"/>
          <w:color w:val="000000" w:themeColor="text1"/>
          <w:sz w:val="22"/>
          <w:szCs w:val="22"/>
          <w:lang w:val="en-US"/>
        </w:rPr>
        <w:t xml:space="preserve">that it </w:t>
      </w:r>
      <w:r w:rsidRPr="00EA0CBF">
        <w:rPr>
          <w:rFonts w:ascii="Arial" w:hAnsi="Arial" w:cs="Arial"/>
          <w:color w:val="000000" w:themeColor="text1"/>
          <w:sz w:val="22"/>
          <w:szCs w:val="22"/>
        </w:rPr>
        <w:t>is exercisable immediately in respect of all the taxes charged on input transactions</w:t>
      </w:r>
      <w:r w:rsidRPr="00EA0CBF">
        <w:rPr>
          <w:rFonts w:ascii="Arial" w:hAnsi="Arial" w:cs="Arial"/>
          <w:color w:val="000000" w:themeColor="text1"/>
          <w:sz w:val="22"/>
          <w:szCs w:val="22"/>
          <w:lang w:val="en-US"/>
        </w:rPr>
        <w:t>.</w:t>
      </w:r>
      <w:r w:rsidRPr="00EA0CBF">
        <w:rPr>
          <w:rStyle w:val="FootnoteReference"/>
          <w:rFonts w:ascii="Arial" w:hAnsi="Arial" w:cs="Arial"/>
          <w:color w:val="000000" w:themeColor="text1"/>
          <w:sz w:val="22"/>
          <w:szCs w:val="22"/>
          <w:lang w:val="en-US"/>
        </w:rPr>
        <w:footnoteReference w:id="51"/>
      </w:r>
      <w:r w:rsidRPr="00EA0CBF">
        <w:rPr>
          <w:rFonts w:ascii="Arial" w:hAnsi="Arial" w:cs="Arial"/>
          <w:color w:val="000000" w:themeColor="text1"/>
          <w:sz w:val="22"/>
          <w:szCs w:val="22"/>
        </w:rPr>
        <w:t xml:space="preserve"> However, </w:t>
      </w:r>
      <w:r w:rsidRPr="00EA0CBF">
        <w:rPr>
          <w:rFonts w:ascii="Arial" w:hAnsi="Arial" w:cs="Arial"/>
          <w:color w:val="000000" w:themeColor="text1"/>
          <w:sz w:val="22"/>
          <w:szCs w:val="22"/>
          <w:lang w:val="en-US"/>
        </w:rPr>
        <w:t>the CJEU also recall</w:t>
      </w:r>
      <w:r w:rsidR="00793CDD">
        <w:rPr>
          <w:rFonts w:ascii="Arial" w:hAnsi="Arial" w:cs="Arial"/>
          <w:color w:val="000000" w:themeColor="text1"/>
          <w:sz w:val="22"/>
          <w:szCs w:val="22"/>
          <w:lang w:val="en-US"/>
        </w:rPr>
        <w:t>s</w:t>
      </w:r>
      <w:r w:rsidRPr="00EA0CBF">
        <w:rPr>
          <w:rFonts w:ascii="Arial" w:hAnsi="Arial" w:cs="Arial"/>
          <w:color w:val="000000" w:themeColor="text1"/>
          <w:sz w:val="22"/>
          <w:szCs w:val="22"/>
          <w:lang w:val="en-US"/>
        </w:rPr>
        <w:t xml:space="preserve"> that the </w:t>
      </w:r>
      <w:r w:rsidRPr="00EA0CBF">
        <w:rPr>
          <w:rFonts w:ascii="Arial" w:hAnsi="Arial" w:cs="Arial"/>
          <w:color w:val="000000" w:themeColor="text1"/>
          <w:sz w:val="22"/>
          <w:szCs w:val="22"/>
        </w:rPr>
        <w:t xml:space="preserve">right of deduction is subject to compliance with requirements, in particular the requirement, laid down in Article 168(a)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 xml:space="preserve">Directive that the VAT in respect of which deduction is sought must be </w:t>
      </w:r>
      <w:r w:rsidRPr="00EA0CBF">
        <w:rPr>
          <w:rFonts w:ascii="Arial" w:hAnsi="Arial" w:cs="Arial"/>
          <w:i/>
          <w:iCs/>
          <w:color w:val="000000" w:themeColor="text1"/>
          <w:sz w:val="22"/>
          <w:szCs w:val="22"/>
        </w:rPr>
        <w:t xml:space="preserve">due </w:t>
      </w:r>
      <w:r w:rsidRPr="00EA0CBF">
        <w:rPr>
          <w:rFonts w:ascii="Arial" w:hAnsi="Arial" w:cs="Arial"/>
          <w:color w:val="000000" w:themeColor="text1"/>
          <w:sz w:val="22"/>
          <w:szCs w:val="22"/>
        </w:rPr>
        <w:t xml:space="preserve">or </w:t>
      </w:r>
      <w:r w:rsidRPr="00EA0CBF">
        <w:rPr>
          <w:rFonts w:ascii="Arial" w:hAnsi="Arial" w:cs="Arial"/>
          <w:i/>
          <w:iCs/>
          <w:color w:val="000000" w:themeColor="text1"/>
          <w:sz w:val="22"/>
          <w:szCs w:val="22"/>
        </w:rPr>
        <w:t>paid</w:t>
      </w:r>
      <w:r w:rsidRPr="00EA0CBF">
        <w:rPr>
          <w:rFonts w:ascii="Arial" w:hAnsi="Arial" w:cs="Arial"/>
          <w:color w:val="000000" w:themeColor="text1"/>
          <w:sz w:val="22"/>
          <w:szCs w:val="22"/>
        </w:rPr>
        <w:t>.</w:t>
      </w:r>
      <w:r w:rsidRPr="00EA0CBF">
        <w:rPr>
          <w:rStyle w:val="FootnoteReference"/>
          <w:rFonts w:ascii="Arial" w:hAnsi="Arial" w:cs="Arial"/>
          <w:color w:val="000000" w:themeColor="text1"/>
          <w:sz w:val="22"/>
          <w:szCs w:val="22"/>
        </w:rPr>
        <w:footnoteReference w:id="52"/>
      </w:r>
    </w:p>
    <w:p w14:paraId="48F57B54" w14:textId="77777777" w:rsidR="00473AE8" w:rsidRPr="00EA0CBF" w:rsidRDefault="00473AE8" w:rsidP="00473AE8">
      <w:pPr>
        <w:spacing w:before="100" w:beforeAutospacing="1" w:after="24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lastRenderedPageBreak/>
        <w:t xml:space="preserve">To support their claim,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lang w:val="en-US"/>
        </w:rPr>
        <w:t xml:space="preserve"> has referred to the CJEU decision in </w:t>
      </w:r>
      <w:r w:rsidRPr="00EA0CBF">
        <w:rPr>
          <w:rFonts w:ascii="Arial" w:hAnsi="Arial" w:cs="Arial"/>
          <w:i/>
          <w:iCs/>
          <w:color w:val="000000" w:themeColor="text1"/>
          <w:sz w:val="22"/>
          <w:szCs w:val="22"/>
        </w:rPr>
        <w:t>Tulică and Plavoşin</w:t>
      </w:r>
      <w:r w:rsidRPr="00EA0CBF">
        <w:rPr>
          <w:rFonts w:ascii="Arial" w:hAnsi="Arial" w:cs="Arial"/>
          <w:i/>
          <w:iCs/>
          <w:color w:val="000000" w:themeColor="text1"/>
          <w:sz w:val="22"/>
          <w:szCs w:val="22"/>
          <w:lang w:val="en-US"/>
        </w:rPr>
        <w:t>.</w:t>
      </w:r>
      <w:r w:rsidRPr="00EA0CBF">
        <w:rPr>
          <w:rStyle w:val="FootnoteReference"/>
          <w:rFonts w:ascii="Arial" w:hAnsi="Arial" w:cs="Arial"/>
          <w:i/>
          <w:iCs/>
          <w:color w:val="000000" w:themeColor="text1"/>
          <w:sz w:val="22"/>
          <w:szCs w:val="22"/>
        </w:rPr>
        <w:footnoteReference w:id="53"/>
      </w:r>
      <w:r w:rsidRPr="00EA0CBF">
        <w:rPr>
          <w:rFonts w:ascii="Arial" w:hAnsi="Arial" w:cs="Arial"/>
          <w:i/>
          <w:iCs/>
          <w:color w:val="000000" w:themeColor="text1"/>
          <w:sz w:val="22"/>
          <w:szCs w:val="22"/>
          <w:lang w:val="en-US"/>
        </w:rPr>
        <w:t xml:space="preserve"> </w:t>
      </w:r>
      <w:r w:rsidRPr="00EA0CBF">
        <w:rPr>
          <w:rFonts w:ascii="Arial" w:hAnsi="Arial" w:cs="Arial"/>
          <w:color w:val="000000" w:themeColor="text1"/>
          <w:sz w:val="22"/>
          <w:szCs w:val="22"/>
          <w:lang w:val="en-US"/>
        </w:rPr>
        <w:t>In this decision, the CJEU had decided that</w:t>
      </w:r>
      <w:r w:rsidRPr="00EA0CBF">
        <w:rPr>
          <w:rFonts w:ascii="Arial" w:hAnsi="Arial" w:cs="Arial"/>
          <w:i/>
          <w:iCs/>
          <w:color w:val="000000" w:themeColor="text1"/>
          <w:sz w:val="22"/>
          <w:szCs w:val="22"/>
          <w:lang w:val="en-US"/>
        </w:rPr>
        <w:t xml:space="preserve"> </w:t>
      </w:r>
      <w:r w:rsidRPr="00EA0CBF">
        <w:rPr>
          <w:rFonts w:ascii="Arial" w:hAnsi="Arial" w:cs="Arial"/>
          <w:color w:val="000000" w:themeColor="text1"/>
          <w:sz w:val="22"/>
          <w:szCs w:val="22"/>
        </w:rPr>
        <w:t xml:space="preserve">when a contract of sale has been concluded without reference to VAT, </w:t>
      </w:r>
      <w:r w:rsidRPr="00EA0CBF">
        <w:rPr>
          <w:rFonts w:ascii="Arial" w:hAnsi="Arial" w:cs="Arial"/>
          <w:color w:val="000000" w:themeColor="text1"/>
          <w:sz w:val="22"/>
          <w:szCs w:val="22"/>
          <w:lang w:val="en-US"/>
        </w:rPr>
        <w:t xml:space="preserve">the agreed price could not be considered as the taxable amount (on which VAT should therefore be calculated on top) </w:t>
      </w:r>
      <w:r w:rsidRPr="00EA0CBF">
        <w:rPr>
          <w:rFonts w:ascii="Arial" w:hAnsi="Arial" w:cs="Arial"/>
          <w:color w:val="000000" w:themeColor="text1"/>
          <w:sz w:val="22"/>
          <w:szCs w:val="22"/>
        </w:rPr>
        <w:t xml:space="preserve">in a situation where the supplier has no means under national law of recovering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 xml:space="preserve">from the purchaser, </w:t>
      </w:r>
      <w:r w:rsidRPr="00EA0CBF">
        <w:rPr>
          <w:rFonts w:ascii="Arial" w:hAnsi="Arial" w:cs="Arial"/>
          <w:color w:val="000000" w:themeColor="text1"/>
          <w:sz w:val="22"/>
          <w:szCs w:val="22"/>
          <w:lang w:val="en-US"/>
        </w:rPr>
        <w:t>since this would</w:t>
      </w:r>
      <w:r w:rsidRPr="00EA0CBF">
        <w:rPr>
          <w:rFonts w:ascii="Arial" w:hAnsi="Arial" w:cs="Arial"/>
          <w:color w:val="000000" w:themeColor="text1"/>
          <w:sz w:val="22"/>
          <w:szCs w:val="22"/>
        </w:rPr>
        <w:t xml:space="preserve"> lead to a situation in which it is the supplier which bears the VAT burden</w:t>
      </w:r>
      <w:r w:rsidRPr="00EA0CBF">
        <w:rPr>
          <w:rFonts w:ascii="Arial" w:hAnsi="Arial" w:cs="Arial"/>
          <w:color w:val="000000" w:themeColor="text1"/>
          <w:sz w:val="22"/>
          <w:szCs w:val="22"/>
          <w:lang w:val="en-US"/>
        </w:rPr>
        <w:t xml:space="preserve">, in contradiction with, first, the principle </w:t>
      </w:r>
      <w:r w:rsidRPr="00EA0CBF">
        <w:rPr>
          <w:rFonts w:ascii="Arial" w:hAnsi="Arial" w:cs="Arial"/>
          <w:color w:val="000000" w:themeColor="text1"/>
          <w:sz w:val="22"/>
          <w:szCs w:val="22"/>
        </w:rPr>
        <w:t>that VAT is a tax on consumption to be borne by the end consumer</w:t>
      </w:r>
      <w:r w:rsidRPr="00EA0CBF">
        <w:rPr>
          <w:rStyle w:val="FootnoteReference"/>
          <w:rFonts w:ascii="Arial" w:hAnsi="Arial" w:cs="Arial"/>
          <w:color w:val="000000" w:themeColor="text1"/>
          <w:sz w:val="22"/>
          <w:szCs w:val="22"/>
        </w:rPr>
        <w:footnoteReference w:id="54"/>
      </w:r>
      <w:r w:rsidRPr="00EA0CBF">
        <w:rPr>
          <w:rFonts w:ascii="Arial" w:hAnsi="Arial" w:cs="Arial"/>
          <w:color w:val="000000" w:themeColor="text1"/>
          <w:sz w:val="22"/>
          <w:szCs w:val="22"/>
          <w:lang w:val="en-US"/>
        </w:rPr>
        <w:t xml:space="preserve"> and, second, </w:t>
      </w:r>
      <w:r w:rsidRPr="00EA0CBF">
        <w:rPr>
          <w:rFonts w:ascii="Arial" w:hAnsi="Arial" w:cs="Arial"/>
          <w:color w:val="000000" w:themeColor="text1"/>
          <w:sz w:val="22"/>
          <w:szCs w:val="22"/>
        </w:rPr>
        <w:t>with the rule that the tax authorities may not charge an amount of VAT which exceeds the amount paid by the taxable person.</w:t>
      </w:r>
      <w:r w:rsidRPr="00EA0CBF">
        <w:rPr>
          <w:rStyle w:val="FootnoteReference"/>
          <w:rFonts w:ascii="Arial" w:hAnsi="Arial" w:cs="Arial"/>
          <w:color w:val="000000" w:themeColor="text1"/>
          <w:sz w:val="22"/>
          <w:szCs w:val="22"/>
        </w:rPr>
        <w:footnoteReference w:id="55"/>
      </w:r>
      <w:r w:rsidRPr="00EA0CBF">
        <w:rPr>
          <w:rFonts w:ascii="Arial" w:hAnsi="Arial" w:cs="Arial"/>
          <w:color w:val="000000" w:themeColor="text1"/>
          <w:sz w:val="22"/>
          <w:szCs w:val="22"/>
          <w:lang w:val="en-US"/>
        </w:rPr>
        <w:t xml:space="preserve"> </w:t>
      </w:r>
    </w:p>
    <w:p w14:paraId="0C8928A6" w14:textId="77777777" w:rsidR="00473AE8" w:rsidRPr="00EA0CBF" w:rsidRDefault="00473AE8" w:rsidP="00473AE8">
      <w:pPr>
        <w:spacing w:before="100" w:beforeAutospacing="1" w:after="240"/>
        <w:jc w:val="both"/>
        <w:rPr>
          <w:rFonts w:ascii="Arial" w:hAnsi="Arial" w:cs="Arial"/>
          <w:color w:val="000000" w:themeColor="text1"/>
          <w:sz w:val="22"/>
          <w:szCs w:val="22"/>
          <w:lang w:val="en-US"/>
        </w:rPr>
      </w:pPr>
      <w:r w:rsidRPr="00EA0CBF">
        <w:rPr>
          <w:rFonts w:ascii="Arial" w:hAnsi="Arial" w:cs="Arial"/>
          <w:color w:val="000000" w:themeColor="text1"/>
          <w:sz w:val="22"/>
          <w:szCs w:val="22"/>
        </w:rPr>
        <w:t xml:space="preserve">However, </w:t>
      </w:r>
      <w:r w:rsidRPr="00EA0CBF">
        <w:rPr>
          <w:rFonts w:ascii="Arial" w:hAnsi="Arial" w:cs="Arial"/>
          <w:color w:val="000000" w:themeColor="text1"/>
          <w:sz w:val="22"/>
          <w:szCs w:val="22"/>
          <w:lang w:val="en-US"/>
        </w:rPr>
        <w:t xml:space="preserve">the CJEU notes that </w:t>
      </w:r>
      <w:r w:rsidRPr="00EA0CBF">
        <w:rPr>
          <w:rFonts w:ascii="Arial" w:hAnsi="Arial" w:cs="Arial"/>
          <w:color w:val="000000" w:themeColor="text1"/>
          <w:sz w:val="22"/>
          <w:szCs w:val="22"/>
        </w:rPr>
        <w:t xml:space="preserve">the circumstances </w:t>
      </w:r>
      <w:r w:rsidRPr="00EA0CBF">
        <w:rPr>
          <w:rFonts w:ascii="Arial" w:hAnsi="Arial" w:cs="Arial"/>
          <w:color w:val="000000" w:themeColor="text1"/>
          <w:sz w:val="22"/>
          <w:szCs w:val="22"/>
          <w:lang w:val="en-US"/>
        </w:rPr>
        <w:t xml:space="preserve">are different in this case, as </w:t>
      </w:r>
      <w:r w:rsidRPr="00EA0CBF">
        <w:rPr>
          <w:rFonts w:ascii="Arial" w:hAnsi="Arial" w:cs="Arial"/>
          <w:color w:val="000000" w:themeColor="text1"/>
          <w:sz w:val="22"/>
          <w:szCs w:val="22"/>
        </w:rPr>
        <w:t>the contract between Zipvit and Royal Mail expressly provided that the price of the supply was exclusive of VAT and that, if VAT were nevertheless due, the trader should bear the cost of it.</w:t>
      </w:r>
      <w:r w:rsidRPr="00EA0CBF">
        <w:rPr>
          <w:rStyle w:val="FootnoteReference"/>
          <w:rFonts w:ascii="Arial" w:hAnsi="Arial" w:cs="Arial"/>
          <w:color w:val="000000" w:themeColor="text1"/>
          <w:sz w:val="22"/>
          <w:szCs w:val="22"/>
        </w:rPr>
        <w:footnoteReference w:id="56"/>
      </w:r>
      <w:r w:rsidRPr="00EA0CBF">
        <w:rPr>
          <w:rFonts w:ascii="Arial" w:hAnsi="Arial" w:cs="Arial"/>
          <w:color w:val="000000" w:themeColor="text1"/>
          <w:sz w:val="22"/>
          <w:szCs w:val="22"/>
          <w:lang w:val="en-US"/>
        </w:rPr>
        <w:t xml:space="preserve"> Moreover, although it decided not to, it seems that </w:t>
      </w:r>
      <w:r w:rsidRPr="00EA0CBF">
        <w:rPr>
          <w:rFonts w:ascii="Arial" w:hAnsi="Arial" w:cs="Arial"/>
          <w:color w:val="000000" w:themeColor="text1"/>
          <w:sz w:val="22"/>
          <w:szCs w:val="22"/>
        </w:rPr>
        <w:t>it was legally not impossible for Royal Mail to recover from Zipvit the amount of VAT mistakenly unpaid.</w:t>
      </w:r>
      <w:r w:rsidRPr="00EA0CBF">
        <w:rPr>
          <w:rStyle w:val="FootnoteReference"/>
          <w:rFonts w:ascii="Arial" w:hAnsi="Arial" w:cs="Arial"/>
          <w:color w:val="000000" w:themeColor="text1"/>
          <w:sz w:val="22"/>
          <w:szCs w:val="22"/>
        </w:rPr>
        <w:footnoteReference w:id="57"/>
      </w:r>
    </w:p>
    <w:p w14:paraId="04E927B3" w14:textId="77777777" w:rsidR="00473AE8" w:rsidRPr="00EA0CBF" w:rsidRDefault="00473AE8" w:rsidP="00473AE8">
      <w:pPr>
        <w:spacing w:before="100" w:beforeAutospacing="1" w:after="24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Therefore, the CJUE decides that</w:t>
      </w:r>
      <w:r w:rsidRPr="00EA0CBF">
        <w:rPr>
          <w:rFonts w:ascii="Arial" w:hAnsi="Arial" w:cs="Arial"/>
          <w:color w:val="000000" w:themeColor="text1"/>
          <w:sz w:val="22"/>
          <w:szCs w:val="22"/>
        </w:rPr>
        <w:t xml:space="preserve"> the price invoiced to Zipvit for the supply of postal services </w:t>
      </w:r>
      <w:r w:rsidRPr="00EA0CBF">
        <w:rPr>
          <w:rFonts w:ascii="Arial" w:hAnsi="Arial" w:cs="Arial"/>
          <w:color w:val="000000" w:themeColor="text1"/>
          <w:sz w:val="22"/>
          <w:szCs w:val="22"/>
          <w:lang w:val="en-US"/>
        </w:rPr>
        <w:t>should be considered as</w:t>
      </w:r>
      <w:r w:rsidRPr="00EA0CBF">
        <w:rPr>
          <w:rFonts w:ascii="Arial" w:hAnsi="Arial" w:cs="Arial"/>
          <w:color w:val="000000" w:themeColor="text1"/>
          <w:sz w:val="22"/>
          <w:szCs w:val="22"/>
        </w:rPr>
        <w:t xml:space="preserve"> a price exclusive of VAT. </w:t>
      </w:r>
      <w:r w:rsidRPr="00EA0CBF">
        <w:rPr>
          <w:rFonts w:ascii="Arial" w:hAnsi="Arial" w:cs="Arial"/>
          <w:color w:val="000000" w:themeColor="text1"/>
          <w:sz w:val="22"/>
          <w:szCs w:val="22"/>
          <w:lang w:val="en-US"/>
        </w:rPr>
        <w:t xml:space="preserve">The CJEU the logically concludes that </w:t>
      </w:r>
      <w:r w:rsidRPr="00EA0CBF">
        <w:rPr>
          <w:rFonts w:ascii="Arial" w:hAnsi="Arial" w:cs="Arial"/>
          <w:color w:val="000000" w:themeColor="text1"/>
          <w:sz w:val="22"/>
          <w:szCs w:val="22"/>
        </w:rPr>
        <w:t>Zipvit cannot claim to deduct an amount of VAT for which it has not been charged</w:t>
      </w:r>
      <w:r w:rsidRPr="00EA0CBF">
        <w:rPr>
          <w:rFonts w:ascii="Arial" w:hAnsi="Arial" w:cs="Arial"/>
          <w:color w:val="000000" w:themeColor="text1"/>
          <w:sz w:val="22"/>
          <w:szCs w:val="22"/>
          <w:lang w:val="en-US"/>
        </w:rPr>
        <w:t>.</w:t>
      </w:r>
      <w:r w:rsidRPr="00EA0CBF">
        <w:rPr>
          <w:rStyle w:val="FootnoteReference"/>
          <w:rFonts w:ascii="Arial" w:hAnsi="Arial" w:cs="Arial"/>
          <w:color w:val="000000" w:themeColor="text1"/>
          <w:sz w:val="22"/>
          <w:szCs w:val="22"/>
          <w:lang w:val="en-US"/>
        </w:rPr>
        <w:footnoteReference w:id="58"/>
      </w:r>
    </w:p>
    <w:p w14:paraId="7FA4A4C3" w14:textId="77777777" w:rsidR="00473AE8" w:rsidRPr="00EA0CBF" w:rsidRDefault="00473AE8" w:rsidP="00473AE8">
      <w:pPr>
        <w:spacing w:before="100" w:beforeAutospacing="1" w:after="240"/>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The CJEU also rejects the arguments raised by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lang w:val="en-US"/>
        </w:rPr>
        <w:t xml:space="preserve"> on the basis of </w:t>
      </w:r>
      <w:r w:rsidRPr="00EA0CBF">
        <w:rPr>
          <w:rFonts w:ascii="Arial" w:hAnsi="Arial" w:cs="Arial"/>
          <w:color w:val="000000" w:themeColor="text1"/>
          <w:sz w:val="22"/>
          <w:szCs w:val="22"/>
        </w:rPr>
        <w:t xml:space="preserve">Articles 90 and 185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 xml:space="preserve">Directive </w:t>
      </w:r>
      <w:r w:rsidRPr="00EA0CBF">
        <w:rPr>
          <w:rFonts w:ascii="Arial" w:hAnsi="Arial" w:cs="Arial"/>
          <w:color w:val="000000" w:themeColor="text1"/>
          <w:sz w:val="22"/>
          <w:szCs w:val="22"/>
          <w:lang w:val="en-US"/>
        </w:rPr>
        <w:t xml:space="preserve">(concerning the reduction of the taxable amount and the related adjustment of input deductions), again because in this case </w:t>
      </w:r>
      <w:r w:rsidRPr="00EA0CBF">
        <w:rPr>
          <w:rFonts w:ascii="Arial" w:hAnsi="Arial" w:cs="Arial"/>
          <w:color w:val="000000" w:themeColor="text1"/>
          <w:sz w:val="22"/>
          <w:szCs w:val="22"/>
        </w:rPr>
        <w:t>an amount of VAT has never been charged on the price of the services supplied by Royal Mail to Zipvit</w:t>
      </w:r>
      <w:r w:rsidRPr="00EA0CBF">
        <w:rPr>
          <w:rFonts w:ascii="Arial" w:hAnsi="Arial" w:cs="Arial"/>
          <w:color w:val="000000" w:themeColor="text1"/>
          <w:sz w:val="22"/>
          <w:szCs w:val="22"/>
          <w:lang w:val="en-US"/>
        </w:rPr>
        <w:t>.</w:t>
      </w:r>
      <w:r w:rsidRPr="00EA0CBF">
        <w:rPr>
          <w:rStyle w:val="FootnoteReference"/>
          <w:rFonts w:ascii="Arial" w:hAnsi="Arial" w:cs="Arial"/>
          <w:color w:val="000000" w:themeColor="text1"/>
          <w:sz w:val="22"/>
          <w:szCs w:val="22"/>
          <w:lang w:val="en-US"/>
        </w:rPr>
        <w:footnoteReference w:id="59"/>
      </w:r>
      <w:r w:rsidRPr="00EA0CBF">
        <w:rPr>
          <w:rFonts w:ascii="Arial" w:hAnsi="Arial" w:cs="Arial"/>
          <w:color w:val="000000" w:themeColor="text1"/>
          <w:sz w:val="22"/>
          <w:szCs w:val="22"/>
          <w:lang w:val="en-US"/>
        </w:rPr>
        <w:t xml:space="preserve"> As a consequence, </w:t>
      </w:r>
      <w:r w:rsidRPr="00EA0CBF">
        <w:rPr>
          <w:rFonts w:ascii="Arial" w:hAnsi="Arial" w:cs="Arial"/>
          <w:color w:val="000000" w:themeColor="text1"/>
          <w:sz w:val="22"/>
          <w:szCs w:val="22"/>
        </w:rPr>
        <w:t xml:space="preserve">VAT cannot be regarded as being included in the price paid by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rPr>
        <w:t>.</w:t>
      </w:r>
      <w:r w:rsidRPr="00EA0CBF">
        <w:rPr>
          <w:rStyle w:val="FootnoteReference"/>
          <w:rFonts w:ascii="Arial" w:hAnsi="Arial" w:cs="Arial"/>
          <w:color w:val="000000" w:themeColor="text1"/>
          <w:sz w:val="22"/>
          <w:szCs w:val="22"/>
        </w:rPr>
        <w:footnoteReference w:id="60"/>
      </w:r>
    </w:p>
    <w:p w14:paraId="6A51C985" w14:textId="77777777" w:rsidR="00473AE8" w:rsidRPr="00EA0CBF" w:rsidRDefault="00473AE8" w:rsidP="00473AE8">
      <w:pPr>
        <w:spacing w:before="100" w:beforeAutospacing="1" w:after="240"/>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The CJEU then analyses the question whether </w:t>
      </w:r>
      <w:r w:rsidRPr="00EA0CBF">
        <w:rPr>
          <w:rFonts w:ascii="Arial" w:hAnsi="Arial" w:cs="Arial"/>
          <w:color w:val="000000" w:themeColor="text1"/>
          <w:sz w:val="22"/>
          <w:szCs w:val="22"/>
        </w:rPr>
        <w:t xml:space="preserve">VAT could nevertheless be regarded as being </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due</w:t>
      </w:r>
      <w:r w:rsidRPr="00EA0CBF">
        <w:rPr>
          <w:rFonts w:ascii="Arial" w:hAnsi="Arial" w:cs="Arial"/>
          <w:color w:val="000000" w:themeColor="text1"/>
          <w:sz w:val="22"/>
          <w:szCs w:val="22"/>
          <w:lang w:val="en-US"/>
        </w:rPr>
        <w:t xml:space="preserve">” by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lang w:val="en-US"/>
        </w:rPr>
        <w:t>. On this question the CJEU recalls that it</w:t>
      </w:r>
      <w:r w:rsidRPr="00EA0CBF">
        <w:rPr>
          <w:rFonts w:ascii="Arial" w:hAnsi="Arial" w:cs="Arial"/>
          <w:color w:val="000000" w:themeColor="text1"/>
          <w:sz w:val="22"/>
          <w:szCs w:val="22"/>
        </w:rPr>
        <w:t xml:space="preserve"> follows from </w:t>
      </w:r>
      <w:r w:rsidRPr="00EA0CBF">
        <w:rPr>
          <w:rFonts w:ascii="Arial" w:hAnsi="Arial" w:cs="Arial"/>
          <w:color w:val="000000" w:themeColor="text1"/>
          <w:sz w:val="22"/>
          <w:szCs w:val="22"/>
          <w:lang w:val="en-US"/>
        </w:rPr>
        <w:t xml:space="preserve">its </w:t>
      </w:r>
      <w:r w:rsidRPr="00EA0CBF">
        <w:rPr>
          <w:rFonts w:ascii="Arial" w:hAnsi="Arial" w:cs="Arial"/>
          <w:color w:val="000000" w:themeColor="text1"/>
          <w:sz w:val="22"/>
          <w:szCs w:val="22"/>
        </w:rPr>
        <w:t xml:space="preserve">the case-law that the term ‘due’, within the meaning of Article 168(a)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Directive refers to an enforceable tax claim and therefore requires that the taxable person has an obligation to pay the amount of VAT which that person seeks to deduct as input VAT.</w:t>
      </w:r>
      <w:r w:rsidRPr="00EA0CBF">
        <w:rPr>
          <w:rStyle w:val="FootnoteReference"/>
          <w:rFonts w:ascii="Arial" w:hAnsi="Arial" w:cs="Arial"/>
          <w:color w:val="000000" w:themeColor="text1"/>
          <w:sz w:val="22"/>
          <w:szCs w:val="22"/>
        </w:rPr>
        <w:footnoteReference w:id="61"/>
      </w:r>
      <w:r w:rsidRPr="00EA0CBF">
        <w:rPr>
          <w:rFonts w:ascii="Arial" w:hAnsi="Arial" w:cs="Arial"/>
          <w:color w:val="000000" w:themeColor="text1"/>
          <w:sz w:val="22"/>
          <w:szCs w:val="22"/>
          <w:lang w:val="en-US"/>
        </w:rPr>
        <w:t xml:space="preserve"> The CJEU then decides that while </w:t>
      </w:r>
      <w:r w:rsidRPr="00EA0CBF">
        <w:rPr>
          <w:rFonts w:ascii="Arial" w:hAnsi="Arial" w:cs="Arial"/>
          <w:color w:val="000000" w:themeColor="text1"/>
          <w:sz w:val="22"/>
          <w:szCs w:val="22"/>
        </w:rPr>
        <w:t>it is true that VAT is to become chargeable when the goods or services are supplied</w:t>
      </w:r>
      <w:r w:rsidRPr="00EA0CBF">
        <w:rPr>
          <w:rFonts w:ascii="Arial" w:hAnsi="Arial" w:cs="Arial"/>
          <w:color w:val="000000" w:themeColor="text1"/>
          <w:sz w:val="22"/>
          <w:szCs w:val="22"/>
          <w:lang w:val="en-US"/>
        </w:rPr>
        <w:t xml:space="preserve"> (Article 63 VAT Directive)</w:t>
      </w:r>
      <w:r w:rsidRPr="00EA0CBF">
        <w:rPr>
          <w:rFonts w:ascii="Arial" w:hAnsi="Arial" w:cs="Arial"/>
          <w:color w:val="000000" w:themeColor="text1"/>
          <w:sz w:val="22"/>
          <w:szCs w:val="22"/>
        </w:rPr>
        <w:t xml:space="preserve">, the mere fact that a supply exempt from VAT is ultimately regarded, once completed, as being subject to VAT </w:t>
      </w:r>
      <w:r w:rsidRPr="00EA0CBF">
        <w:rPr>
          <w:rFonts w:ascii="Arial" w:hAnsi="Arial" w:cs="Arial"/>
          <w:color w:val="000000" w:themeColor="text1"/>
          <w:sz w:val="22"/>
          <w:szCs w:val="22"/>
          <w:lang w:val="en-US"/>
        </w:rPr>
        <w:t>is not enough to conclude</w:t>
      </w:r>
      <w:r w:rsidRPr="00EA0CBF">
        <w:rPr>
          <w:rFonts w:ascii="Arial" w:hAnsi="Arial" w:cs="Arial"/>
          <w:color w:val="000000" w:themeColor="text1"/>
          <w:sz w:val="22"/>
          <w:szCs w:val="22"/>
        </w:rPr>
        <w:t xml:space="preserve"> that that tax is deductible if no request for payment of that tax has been sent to the recipient of that supply, even though it is not impossible for the supplier to address such a request to that recipient.</w:t>
      </w:r>
      <w:r w:rsidRPr="00EA0CBF">
        <w:rPr>
          <w:rFonts w:ascii="Arial" w:hAnsi="Arial" w:cs="Arial"/>
          <w:color w:val="000000" w:themeColor="text1"/>
          <w:sz w:val="22"/>
          <w:szCs w:val="22"/>
          <w:lang w:val="en-US"/>
        </w:rPr>
        <w:t xml:space="preserve"> Hence, the CJEU concludes that </w:t>
      </w:r>
      <w:r w:rsidRPr="00EA0CBF">
        <w:rPr>
          <w:rFonts w:ascii="Arial" w:hAnsi="Arial" w:cs="Arial"/>
          <w:color w:val="000000" w:themeColor="text1"/>
          <w:sz w:val="22"/>
          <w:szCs w:val="22"/>
        </w:rPr>
        <w:t xml:space="preserve">Article 168(a)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Directive must be interpreted as meaning that</w:t>
      </w:r>
      <w:r w:rsidRPr="00EA0CBF">
        <w:rPr>
          <w:rFonts w:ascii="Arial" w:hAnsi="Arial" w:cs="Arial"/>
          <w:color w:val="000000" w:themeColor="text1"/>
          <w:sz w:val="22"/>
          <w:szCs w:val="22"/>
          <w:lang w:val="en-US"/>
        </w:rPr>
        <w:t xml:space="preserve">, in the case at stake, </w:t>
      </w:r>
      <w:r w:rsidRPr="00EA0CBF">
        <w:rPr>
          <w:rFonts w:ascii="Arial" w:hAnsi="Arial" w:cs="Arial"/>
          <w:color w:val="000000" w:themeColor="text1"/>
          <w:sz w:val="22"/>
          <w:szCs w:val="22"/>
        </w:rPr>
        <w:t>VAT cannot be regarded as being due, within the meaning of that provision.</w:t>
      </w:r>
      <w:r w:rsidRPr="00EA0CBF">
        <w:rPr>
          <w:rStyle w:val="FootnoteReference"/>
          <w:rFonts w:ascii="Arial" w:hAnsi="Arial" w:cs="Arial"/>
          <w:color w:val="000000" w:themeColor="text1"/>
          <w:sz w:val="22"/>
          <w:szCs w:val="22"/>
        </w:rPr>
        <w:footnoteReference w:id="62"/>
      </w:r>
    </w:p>
    <w:p w14:paraId="5EACD6BF" w14:textId="77777777" w:rsidR="00473AE8" w:rsidRPr="00EA0CBF" w:rsidRDefault="00473AE8" w:rsidP="00473AE8">
      <w:pPr>
        <w:spacing w:before="100" w:beforeAutospacing="1" w:after="24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lastRenderedPageBreak/>
        <w:t xml:space="preserve">Summing up, the CJEU decided that no VAT can be considered as paid or even due in the case at stake, and accordingly that no amount of VAT could be deducted by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lang w:val="en-US"/>
        </w:rPr>
        <w:t>.</w:t>
      </w:r>
    </w:p>
    <w:p w14:paraId="27B738A7" w14:textId="77777777" w:rsidR="00473AE8" w:rsidRPr="00EA0CBF" w:rsidRDefault="00473AE8" w:rsidP="00473AE8">
      <w:pPr>
        <w:pStyle w:val="c01pointaltn"/>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Since the CJEU decided that no VAT could be considered as deductible by </w:t>
      </w:r>
      <w:proofErr w:type="spellStart"/>
      <w:r w:rsidRPr="00EA0CBF">
        <w:rPr>
          <w:rFonts w:ascii="Arial" w:hAnsi="Arial" w:cs="Arial"/>
          <w:color w:val="000000" w:themeColor="text1"/>
          <w:sz w:val="22"/>
          <w:szCs w:val="22"/>
          <w:lang w:val="en-US"/>
        </w:rPr>
        <w:t>Zipvit</w:t>
      </w:r>
      <w:proofErr w:type="spellEnd"/>
      <w:r w:rsidRPr="00EA0CBF">
        <w:rPr>
          <w:rFonts w:ascii="Arial" w:hAnsi="Arial" w:cs="Arial"/>
          <w:color w:val="000000" w:themeColor="text1"/>
          <w:sz w:val="22"/>
          <w:szCs w:val="22"/>
          <w:lang w:val="en-US"/>
        </w:rPr>
        <w:t xml:space="preserve">, it did not answer the third question concerning the contents of the invoice. </w:t>
      </w:r>
    </w:p>
    <w:p w14:paraId="3B051B49" w14:textId="77777777" w:rsidR="00473AE8" w:rsidRPr="00EA0CBF" w:rsidRDefault="00473AE8" w:rsidP="00473AE8">
      <w:pPr>
        <w:jc w:val="both"/>
        <w:rPr>
          <w:rFonts w:ascii="Arial" w:eastAsia="Times New Roman" w:hAnsi="Arial" w:cs="Arial"/>
          <w:b/>
          <w:bCs/>
          <w:color w:val="000000" w:themeColor="text1"/>
          <w:sz w:val="22"/>
          <w:szCs w:val="22"/>
          <w:shd w:val="clear" w:color="auto" w:fill="FFFFFF"/>
          <w:lang w:eastAsia="en-GB"/>
        </w:rPr>
      </w:pPr>
    </w:p>
    <w:p w14:paraId="4DF49756"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793CDD">
        <w:rPr>
          <w:rFonts w:ascii="Arial" w:eastAsia="Times New Roman" w:hAnsi="Arial" w:cs="Arial"/>
          <w:b/>
          <w:bCs/>
          <w:color w:val="FF0000"/>
          <w:sz w:val="22"/>
          <w:szCs w:val="22"/>
          <w:shd w:val="clear" w:color="auto" w:fill="FFFFFF"/>
          <w:lang w:val="en-US" w:eastAsia="en-GB"/>
        </w:rPr>
        <w:t xml:space="preserve">Preliminary </w:t>
      </w:r>
      <w:r w:rsidRPr="00EA0CBF">
        <w:rPr>
          <w:rFonts w:ascii="Arial" w:eastAsia="Times New Roman" w:hAnsi="Arial" w:cs="Arial"/>
          <w:b/>
          <w:bCs/>
          <w:color w:val="000000" w:themeColor="text1"/>
          <w:sz w:val="22"/>
          <w:szCs w:val="22"/>
          <w:shd w:val="clear" w:color="auto" w:fill="FFFFFF"/>
          <w:lang w:val="en-US" w:eastAsia="en-GB"/>
        </w:rPr>
        <w:t xml:space="preserve">comments (to be discussed with panel members) </w:t>
      </w:r>
    </w:p>
    <w:p w14:paraId="3B5E9396" w14:textId="77777777" w:rsidR="00473AE8" w:rsidRPr="00EA0CBF" w:rsidRDefault="00473AE8" w:rsidP="00473AE8">
      <w:pPr>
        <w:jc w:val="both"/>
        <w:rPr>
          <w:rFonts w:ascii="Arial" w:eastAsia="Times New Roman" w:hAnsi="Arial" w:cs="Arial"/>
          <w:b/>
          <w:bCs/>
          <w:color w:val="000000" w:themeColor="text1"/>
          <w:sz w:val="22"/>
          <w:szCs w:val="22"/>
          <w:shd w:val="clear" w:color="auto" w:fill="FFFFFF"/>
          <w:lang w:eastAsia="en-GB"/>
        </w:rPr>
      </w:pPr>
    </w:p>
    <w:p w14:paraId="3650B710" w14:textId="6F8D8CEB" w:rsidR="00473AE8" w:rsidRPr="00EA0CBF" w:rsidRDefault="00473AE8" w:rsidP="00473AE8">
      <w:pPr>
        <w:jc w:val="both"/>
        <w:rPr>
          <w:rFonts w:ascii="Arial" w:hAnsi="Arial" w:cs="Arial"/>
          <w:color w:val="000000" w:themeColor="text1"/>
          <w:sz w:val="22"/>
          <w:szCs w:val="22"/>
          <w:lang w:val="en-US"/>
        </w:rPr>
      </w:pPr>
      <w:r w:rsidRPr="00EA0CBF">
        <w:rPr>
          <w:rFonts w:ascii="Arial" w:eastAsia="Times New Roman" w:hAnsi="Arial" w:cs="Arial"/>
          <w:color w:val="000000" w:themeColor="text1"/>
          <w:sz w:val="22"/>
          <w:szCs w:val="22"/>
          <w:shd w:val="clear" w:color="auto" w:fill="FFFFFF"/>
          <w:lang w:val="en-US" w:eastAsia="en-GB"/>
        </w:rPr>
        <w:t xml:space="preserve">The outcome of this case </w:t>
      </w:r>
      <w:r w:rsidR="005D5DDB">
        <w:rPr>
          <w:rFonts w:ascii="Arial" w:eastAsia="Times New Roman" w:hAnsi="Arial" w:cs="Arial"/>
          <w:color w:val="000000" w:themeColor="text1"/>
          <w:sz w:val="22"/>
          <w:szCs w:val="22"/>
          <w:shd w:val="clear" w:color="auto" w:fill="FFFFFF"/>
          <w:lang w:val="en-US" w:eastAsia="en-GB"/>
        </w:rPr>
        <w:t>clear:</w:t>
      </w:r>
      <w:r w:rsidRPr="00EA0CBF">
        <w:rPr>
          <w:rFonts w:ascii="Arial" w:eastAsia="Times New Roman" w:hAnsi="Arial" w:cs="Arial"/>
          <w:color w:val="000000" w:themeColor="text1"/>
          <w:sz w:val="22"/>
          <w:szCs w:val="22"/>
          <w:shd w:val="clear" w:color="auto" w:fill="FFFFFF"/>
          <w:lang w:val="en-US" w:eastAsia="en-GB"/>
        </w:rPr>
        <w:t xml:space="preserve"> </w:t>
      </w:r>
      <w:r w:rsidRPr="00EA0CBF">
        <w:rPr>
          <w:rFonts w:ascii="Arial" w:hAnsi="Arial" w:cs="Arial"/>
          <w:color w:val="000000" w:themeColor="text1"/>
          <w:sz w:val="22"/>
          <w:szCs w:val="22"/>
          <w:lang w:val="en-US"/>
        </w:rPr>
        <w:t>No VAT can be considered as paid or even due when: (</w:t>
      </w:r>
      <w:proofErr w:type="spellStart"/>
      <w:r w:rsidRPr="00EA0CBF">
        <w:rPr>
          <w:rFonts w:ascii="Arial" w:hAnsi="Arial" w:cs="Arial"/>
          <w:color w:val="000000" w:themeColor="text1"/>
          <w:sz w:val="22"/>
          <w:szCs w:val="22"/>
          <w:lang w:val="en-US"/>
        </w:rPr>
        <w:t>i</w:t>
      </w:r>
      <w:proofErr w:type="spellEnd"/>
      <w:r w:rsidRPr="00EA0CBF">
        <w:rPr>
          <w:rFonts w:ascii="Arial" w:hAnsi="Arial" w:cs="Arial"/>
          <w:color w:val="000000" w:themeColor="text1"/>
          <w:sz w:val="22"/>
          <w:szCs w:val="22"/>
          <w:lang w:val="en-US"/>
        </w:rPr>
        <w:t>) the parties to the transaction erroneously considered that the supply was exempt (ii) the customer would have had the right to deduct the VAT if applied (iii) the supplier did not claim an additional payment from the customer. Accordingly, no amount of VAT can be deducted by the customer in such case.</w:t>
      </w:r>
    </w:p>
    <w:p w14:paraId="518BA4EC" w14:textId="452EF954" w:rsidR="00473AE8" w:rsidRPr="00EA0CBF" w:rsidRDefault="00473AE8" w:rsidP="00473AE8">
      <w:pPr>
        <w:pStyle w:val="c01pointaltn"/>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An interesting question </w:t>
      </w:r>
      <w:r w:rsidR="008369C7" w:rsidRPr="00EA0CBF">
        <w:rPr>
          <w:rFonts w:ascii="Arial" w:hAnsi="Arial" w:cs="Arial"/>
          <w:color w:val="000000" w:themeColor="text1"/>
          <w:sz w:val="22"/>
          <w:szCs w:val="22"/>
          <w:lang w:val="en-US"/>
        </w:rPr>
        <w:t xml:space="preserve">that </w:t>
      </w:r>
      <w:r w:rsidRPr="00EA0CBF">
        <w:rPr>
          <w:rFonts w:ascii="Arial" w:hAnsi="Arial" w:cs="Arial"/>
          <w:color w:val="000000" w:themeColor="text1"/>
          <w:sz w:val="22"/>
          <w:szCs w:val="22"/>
          <w:lang w:val="en-US"/>
        </w:rPr>
        <w:t xml:space="preserve">was not </w:t>
      </w:r>
      <w:r w:rsidR="008369C7" w:rsidRPr="00EA0CBF">
        <w:rPr>
          <w:rFonts w:ascii="Arial" w:hAnsi="Arial" w:cs="Arial"/>
          <w:color w:val="000000" w:themeColor="text1"/>
          <w:sz w:val="22"/>
          <w:szCs w:val="22"/>
          <w:lang w:val="en-US"/>
        </w:rPr>
        <w:t>addressed</w:t>
      </w:r>
      <w:r w:rsidRPr="00EA0CBF">
        <w:rPr>
          <w:rFonts w:ascii="Arial" w:hAnsi="Arial" w:cs="Arial"/>
          <w:color w:val="000000" w:themeColor="text1"/>
          <w:sz w:val="22"/>
          <w:szCs w:val="22"/>
          <w:lang w:val="en-US"/>
        </w:rPr>
        <w:t xml:space="preserve"> by the CJEU, but was discussed by the AG</w:t>
      </w:r>
      <w:r w:rsidR="008369C7"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is </w:t>
      </w:r>
      <w:r w:rsidR="008369C7" w:rsidRPr="00EA0CBF">
        <w:rPr>
          <w:rFonts w:ascii="Arial" w:hAnsi="Arial" w:cs="Arial"/>
          <w:color w:val="000000" w:themeColor="text1"/>
          <w:sz w:val="22"/>
          <w:szCs w:val="22"/>
          <w:lang w:val="en-US"/>
        </w:rPr>
        <w:t xml:space="preserve">whether the </w:t>
      </w:r>
      <w:r w:rsidRPr="00EA0CBF">
        <w:rPr>
          <w:rFonts w:ascii="Arial" w:hAnsi="Arial" w:cs="Arial"/>
          <w:color w:val="000000" w:themeColor="text1"/>
          <w:sz w:val="22"/>
          <w:szCs w:val="22"/>
          <w:lang w:val="en-US"/>
        </w:rPr>
        <w:t xml:space="preserve">“possession of an invoice” </w:t>
      </w:r>
      <w:r w:rsidR="005D5DDB">
        <w:rPr>
          <w:rFonts w:ascii="Arial" w:hAnsi="Arial" w:cs="Arial"/>
          <w:color w:val="000000" w:themeColor="text1"/>
          <w:sz w:val="22"/>
          <w:szCs w:val="22"/>
          <w:lang w:val="en-US"/>
        </w:rPr>
        <w:t xml:space="preserve">showing the VAT </w:t>
      </w:r>
      <w:r w:rsidR="008369C7" w:rsidRPr="00EA0CBF">
        <w:rPr>
          <w:rFonts w:ascii="Arial" w:hAnsi="Arial" w:cs="Arial"/>
          <w:color w:val="000000" w:themeColor="text1"/>
          <w:sz w:val="22"/>
          <w:szCs w:val="22"/>
          <w:lang w:val="en-US"/>
        </w:rPr>
        <w:t xml:space="preserve">is </w:t>
      </w:r>
      <w:r w:rsidRPr="00EA0CBF">
        <w:rPr>
          <w:rFonts w:ascii="Arial" w:hAnsi="Arial" w:cs="Arial"/>
          <w:color w:val="000000" w:themeColor="text1"/>
          <w:sz w:val="22"/>
          <w:szCs w:val="22"/>
          <w:lang w:val="en-US"/>
        </w:rPr>
        <w:t>a substantive condition of the right to deduct</w:t>
      </w:r>
      <w:r w:rsidR="008369C7"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In her Opinion, AG </w:t>
      </w:r>
      <w:proofErr w:type="spellStart"/>
      <w:r w:rsidRPr="00EA0CBF">
        <w:rPr>
          <w:rFonts w:ascii="Arial" w:hAnsi="Arial" w:cs="Arial"/>
          <w:color w:val="000000" w:themeColor="text1"/>
          <w:sz w:val="22"/>
          <w:szCs w:val="22"/>
          <w:lang w:val="en-US"/>
        </w:rPr>
        <w:t>Kokott</w:t>
      </w:r>
      <w:proofErr w:type="spellEnd"/>
      <w:r w:rsidRPr="00EA0CBF">
        <w:rPr>
          <w:rFonts w:ascii="Arial" w:hAnsi="Arial" w:cs="Arial"/>
          <w:color w:val="000000" w:themeColor="text1"/>
          <w:sz w:val="22"/>
          <w:szCs w:val="22"/>
          <w:lang w:val="en-US"/>
        </w:rPr>
        <w:t xml:space="preserve"> held that </w:t>
      </w:r>
      <w:r w:rsidRPr="00EA0CBF">
        <w:rPr>
          <w:rFonts w:ascii="Arial" w:hAnsi="Arial" w:cs="Arial"/>
          <w:color w:val="000000" w:themeColor="text1"/>
          <w:sz w:val="22"/>
          <w:szCs w:val="22"/>
        </w:rPr>
        <w:t>a deduction of input tax is not possible without possession of an invoice stating the VAT separately</w:t>
      </w:r>
      <w:r w:rsidRPr="00EA0CBF">
        <w:rPr>
          <w:rFonts w:ascii="Arial" w:hAnsi="Arial" w:cs="Arial"/>
          <w:color w:val="000000" w:themeColor="text1"/>
          <w:sz w:val="22"/>
          <w:szCs w:val="22"/>
          <w:lang w:val="en-US"/>
        </w:rPr>
        <w:t>, because:</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w:t>
      </w:r>
      <w:r w:rsidRPr="00793CDD">
        <w:rPr>
          <w:rFonts w:ascii="Arial" w:hAnsi="Arial" w:cs="Arial"/>
          <w:i/>
          <w:iCs/>
          <w:color w:val="000000" w:themeColor="text1"/>
          <w:sz w:val="22"/>
          <w:szCs w:val="22"/>
        </w:rPr>
        <w:t>a right of deduction in a given amount requires the recipient of the supply to have held at some point an invoice separately stating the VAT passed on in that amount</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w:t>
      </w:r>
      <w:r w:rsidR="00793CDD" w:rsidRPr="00793CDD">
        <w:rPr>
          <w:rFonts w:ascii="Arial" w:hAnsi="Arial" w:cs="Arial"/>
          <w:color w:val="000000" w:themeColor="text1"/>
          <w:sz w:val="22"/>
          <w:szCs w:val="22"/>
          <w:lang w:val="en-US"/>
        </w:rPr>
        <w:t xml:space="preserve">In her Opinion </w:t>
      </w:r>
      <w:r w:rsidRPr="00EA0CBF">
        <w:rPr>
          <w:rFonts w:ascii="Arial" w:hAnsi="Arial" w:cs="Arial"/>
          <w:color w:val="000000" w:themeColor="text1"/>
          <w:sz w:val="22"/>
          <w:szCs w:val="22"/>
          <w:lang w:val="en-US"/>
        </w:rPr>
        <w:t xml:space="preserve">AG </w:t>
      </w:r>
      <w:proofErr w:type="spellStart"/>
      <w:r w:rsidRPr="00EA0CBF">
        <w:rPr>
          <w:rFonts w:ascii="Arial" w:hAnsi="Arial" w:cs="Arial"/>
          <w:color w:val="000000" w:themeColor="text1"/>
          <w:sz w:val="22"/>
          <w:szCs w:val="22"/>
          <w:lang w:val="en-US"/>
        </w:rPr>
        <w:t>Kokott</w:t>
      </w:r>
      <w:proofErr w:type="spellEnd"/>
      <w:r w:rsidRPr="00EA0CBF">
        <w:rPr>
          <w:rFonts w:ascii="Arial" w:hAnsi="Arial" w:cs="Arial"/>
          <w:color w:val="000000" w:themeColor="text1"/>
          <w:sz w:val="22"/>
          <w:szCs w:val="22"/>
          <w:lang w:val="en-US"/>
        </w:rPr>
        <w:t xml:space="preserve"> refers to several cases such as </w:t>
      </w:r>
      <w:r w:rsidRPr="00793CDD">
        <w:rPr>
          <w:rFonts w:ascii="Arial" w:hAnsi="Arial" w:cs="Arial"/>
          <w:i/>
          <w:iCs/>
          <w:color w:val="000000" w:themeColor="text1"/>
          <w:sz w:val="22"/>
          <w:szCs w:val="22"/>
        </w:rPr>
        <w:t>Volkswagen</w:t>
      </w:r>
      <w:r w:rsidR="00793CDD" w:rsidRPr="00793CDD">
        <w:rPr>
          <w:rFonts w:ascii="Arial" w:hAnsi="Arial" w:cs="Arial"/>
          <w:i/>
          <w:iCs/>
          <w:color w:val="000000" w:themeColor="text1"/>
          <w:sz w:val="22"/>
          <w:szCs w:val="22"/>
          <w:lang w:val="en-US"/>
        </w:rPr>
        <w:t>,</w:t>
      </w:r>
      <w:r w:rsidRPr="00EA0CBF">
        <w:rPr>
          <w:rStyle w:val="FootnoteReference"/>
          <w:rFonts w:ascii="Arial" w:hAnsi="Arial" w:cs="Arial"/>
          <w:color w:val="000000" w:themeColor="text1"/>
          <w:sz w:val="22"/>
          <w:szCs w:val="22"/>
        </w:rPr>
        <w:footnoteReference w:id="63"/>
      </w:r>
      <w:r w:rsidRPr="00EA0CBF">
        <w:rPr>
          <w:rFonts w:ascii="Arial" w:hAnsi="Arial" w:cs="Arial"/>
          <w:color w:val="000000" w:themeColor="text1"/>
          <w:sz w:val="22"/>
          <w:szCs w:val="22"/>
          <w:lang w:val="en-US"/>
        </w:rPr>
        <w:t xml:space="preserve"> </w:t>
      </w:r>
      <w:r w:rsidRPr="00793CDD">
        <w:rPr>
          <w:rFonts w:ascii="Arial" w:hAnsi="Arial" w:cs="Arial"/>
          <w:i/>
          <w:iCs/>
          <w:color w:val="000000" w:themeColor="text1"/>
          <w:sz w:val="22"/>
          <w:szCs w:val="22"/>
        </w:rPr>
        <w:t>Biosafe – Indústria de Reciclagens</w:t>
      </w:r>
      <w:r w:rsidRPr="00EA0CBF">
        <w:rPr>
          <w:rStyle w:val="FootnoteReference"/>
          <w:rFonts w:ascii="Arial" w:hAnsi="Arial" w:cs="Arial"/>
          <w:color w:val="000000" w:themeColor="text1"/>
          <w:sz w:val="22"/>
          <w:szCs w:val="22"/>
        </w:rPr>
        <w:footnoteReference w:id="64"/>
      </w:r>
      <w:r w:rsidRPr="00EA0CBF">
        <w:rPr>
          <w:rFonts w:ascii="Arial" w:hAnsi="Arial" w:cs="Arial"/>
          <w:color w:val="000000" w:themeColor="text1"/>
          <w:sz w:val="22"/>
          <w:szCs w:val="22"/>
          <w:lang w:val="en-US"/>
        </w:rPr>
        <w:t xml:space="preserve"> and </w:t>
      </w:r>
      <w:r w:rsidRPr="00793CDD">
        <w:rPr>
          <w:rFonts w:ascii="Arial" w:hAnsi="Arial" w:cs="Arial"/>
          <w:i/>
          <w:iCs/>
          <w:color w:val="000000" w:themeColor="text1"/>
          <w:sz w:val="22"/>
          <w:szCs w:val="22"/>
          <w:lang w:val="en-US"/>
        </w:rPr>
        <w:t xml:space="preserve">Terra </w:t>
      </w:r>
      <w:proofErr w:type="spellStart"/>
      <w:r w:rsidRPr="00793CDD">
        <w:rPr>
          <w:rFonts w:ascii="Arial" w:hAnsi="Arial" w:cs="Arial"/>
          <w:i/>
          <w:iCs/>
          <w:color w:val="000000" w:themeColor="text1"/>
          <w:sz w:val="22"/>
          <w:szCs w:val="22"/>
          <w:lang w:val="en-US"/>
        </w:rPr>
        <w:t>Baudebarf</w:t>
      </w:r>
      <w:proofErr w:type="spellEnd"/>
      <w:r w:rsidR="008369C7" w:rsidRPr="00793CDD">
        <w:rPr>
          <w:rFonts w:ascii="Arial" w:hAnsi="Arial" w:cs="Arial"/>
          <w:i/>
          <w:iCs/>
          <w:color w:val="000000" w:themeColor="text1"/>
          <w:sz w:val="22"/>
          <w:szCs w:val="22"/>
          <w:lang w:val="en-US"/>
        </w:rPr>
        <w:t xml:space="preserve"> cases</w:t>
      </w:r>
      <w:r w:rsidRPr="00EA0CBF">
        <w:rPr>
          <w:rFonts w:ascii="Arial" w:hAnsi="Arial" w:cs="Arial"/>
          <w:color w:val="000000" w:themeColor="text1"/>
          <w:sz w:val="22"/>
          <w:szCs w:val="22"/>
          <w:lang w:val="en-US"/>
        </w:rPr>
        <w:t>,</w:t>
      </w:r>
      <w:r w:rsidRPr="00EA0CBF">
        <w:rPr>
          <w:rStyle w:val="FootnoteReference"/>
          <w:rFonts w:ascii="Arial" w:hAnsi="Arial" w:cs="Arial"/>
          <w:color w:val="000000" w:themeColor="text1"/>
          <w:sz w:val="22"/>
          <w:szCs w:val="22"/>
          <w:lang w:val="en-US"/>
        </w:rPr>
        <w:footnoteReference w:id="65"/>
      </w:r>
      <w:r w:rsidRPr="00EA0CBF">
        <w:rPr>
          <w:rFonts w:ascii="Arial" w:hAnsi="Arial" w:cs="Arial"/>
          <w:color w:val="000000" w:themeColor="text1"/>
          <w:sz w:val="22"/>
          <w:szCs w:val="22"/>
          <w:lang w:val="en-US"/>
        </w:rPr>
        <w:t xml:space="preserve"> in which the Court already decided that “an invoice” must exist. She also discussed why, in her view, the CJEU decision in </w:t>
      </w:r>
      <w:r w:rsidRPr="00793CDD">
        <w:rPr>
          <w:rFonts w:ascii="Arial" w:hAnsi="Arial" w:cs="Arial"/>
          <w:i/>
          <w:iCs/>
          <w:color w:val="000000" w:themeColor="text1"/>
          <w:sz w:val="22"/>
          <w:szCs w:val="22"/>
        </w:rPr>
        <w:t>Vădan</w:t>
      </w:r>
      <w:r w:rsidRPr="00EA0CBF">
        <w:rPr>
          <w:rStyle w:val="FootnoteReference"/>
          <w:rFonts w:ascii="Arial" w:hAnsi="Arial" w:cs="Arial"/>
          <w:color w:val="000000" w:themeColor="text1"/>
          <w:sz w:val="22"/>
          <w:szCs w:val="22"/>
        </w:rPr>
        <w:footnoteReference w:id="66"/>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does not suggest otherwise</w:t>
      </w:r>
      <w:r w:rsidRPr="00EA0CBF">
        <w:rPr>
          <w:rFonts w:ascii="Arial" w:hAnsi="Arial" w:cs="Arial"/>
          <w:color w:val="000000" w:themeColor="text1"/>
          <w:sz w:val="22"/>
          <w:szCs w:val="22"/>
          <w:lang w:val="en-US"/>
        </w:rPr>
        <w:t xml:space="preserve"> (because</w:t>
      </w:r>
      <w:r w:rsidRPr="00EA0CBF">
        <w:rPr>
          <w:rFonts w:ascii="Arial" w:hAnsi="Arial" w:cs="Arial"/>
          <w:color w:val="000000" w:themeColor="text1"/>
          <w:sz w:val="22"/>
          <w:szCs w:val="22"/>
        </w:rPr>
        <w:t> the ‘only’ question the Court had to answer in that case was whether a right of deduction can be based on an assessment resulting from an expert report on the usual right of deduction for the type of construction project concerned. The Court correctly found that it cannot. The right of deduction is based on the </w:t>
      </w:r>
      <w:r w:rsidRPr="00EA0CBF">
        <w:rPr>
          <w:rFonts w:ascii="Arial" w:hAnsi="Arial" w:cs="Arial"/>
          <w:i/>
          <w:iCs/>
          <w:color w:val="000000" w:themeColor="text1"/>
          <w:sz w:val="22"/>
          <w:szCs w:val="22"/>
        </w:rPr>
        <w:t>actual</w:t>
      </w:r>
      <w:r w:rsidRPr="00EA0CBF">
        <w:rPr>
          <w:rFonts w:ascii="Arial" w:hAnsi="Arial" w:cs="Arial"/>
          <w:color w:val="000000" w:themeColor="text1"/>
          <w:sz w:val="22"/>
          <w:szCs w:val="22"/>
        </w:rPr>
        <w:t> VAT burden, not on the </w:t>
      </w:r>
      <w:r w:rsidRPr="00EA0CBF">
        <w:rPr>
          <w:rFonts w:ascii="Arial" w:hAnsi="Arial" w:cs="Arial"/>
          <w:i/>
          <w:iCs/>
          <w:color w:val="000000" w:themeColor="text1"/>
          <w:sz w:val="22"/>
          <w:szCs w:val="22"/>
        </w:rPr>
        <w:t>usual</w:t>
      </w:r>
      <w:r w:rsidRPr="00EA0CBF">
        <w:rPr>
          <w:rFonts w:ascii="Arial" w:hAnsi="Arial" w:cs="Arial"/>
          <w:color w:val="000000" w:themeColor="text1"/>
          <w:sz w:val="22"/>
          <w:szCs w:val="22"/>
        </w:rPr>
        <w:t> VAT burden. The expert could only have proven the latter by assessment</w:t>
      </w:r>
      <w:r w:rsidRPr="00EA0CBF">
        <w:rPr>
          <w:rFonts w:ascii="Arial" w:hAnsi="Arial" w:cs="Arial"/>
          <w:color w:val="000000" w:themeColor="text1"/>
          <w:sz w:val="22"/>
          <w:szCs w:val="22"/>
          <w:lang w:val="en-US"/>
        </w:rPr>
        <w:t xml:space="preserve">). </w:t>
      </w:r>
    </w:p>
    <w:p w14:paraId="7542CFD7" w14:textId="77777777" w:rsidR="00473AE8" w:rsidRPr="00EA0CBF" w:rsidRDefault="00473AE8" w:rsidP="00473AE8">
      <w:pPr>
        <w:pStyle w:val="c01pointaltn"/>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According to AG </w:t>
      </w:r>
      <w:proofErr w:type="spellStart"/>
      <w:r w:rsidRPr="00EA0CBF">
        <w:rPr>
          <w:rFonts w:ascii="Arial" w:hAnsi="Arial" w:cs="Arial"/>
          <w:color w:val="000000" w:themeColor="text1"/>
          <w:sz w:val="22"/>
          <w:szCs w:val="22"/>
          <w:lang w:val="en-US"/>
        </w:rPr>
        <w:t>Kokott</w:t>
      </w:r>
      <w:proofErr w:type="spellEnd"/>
      <w:r w:rsidRPr="00EA0CBF">
        <w:rPr>
          <w:rFonts w:ascii="Arial" w:hAnsi="Arial" w:cs="Arial"/>
          <w:color w:val="000000" w:themeColor="text1"/>
          <w:sz w:val="22"/>
          <w:szCs w:val="22"/>
          <w:lang w:val="en-US"/>
        </w:rPr>
        <w:t xml:space="preserve">, a distinction must be made between the obligation to include </w:t>
      </w:r>
      <w:r w:rsidRPr="00EA0CBF">
        <w:rPr>
          <w:rFonts w:ascii="Arial" w:hAnsi="Arial" w:cs="Arial"/>
          <w:i/>
          <w:iCs/>
          <w:color w:val="000000" w:themeColor="text1"/>
          <w:sz w:val="22"/>
          <w:szCs w:val="22"/>
        </w:rPr>
        <w:t>all</w:t>
      </w:r>
      <w:r w:rsidRPr="00EA0CBF">
        <w:rPr>
          <w:rFonts w:ascii="Arial" w:hAnsi="Arial" w:cs="Arial"/>
          <w:color w:val="000000" w:themeColor="text1"/>
          <w:sz w:val="22"/>
          <w:szCs w:val="22"/>
        </w:rPr>
        <w:t xml:space="preserve"> the information specified in Article 226 of the VAT Directive </w:t>
      </w:r>
      <w:r w:rsidRPr="00EA0CBF">
        <w:rPr>
          <w:rFonts w:ascii="Arial" w:hAnsi="Arial" w:cs="Arial"/>
          <w:color w:val="000000" w:themeColor="text1"/>
          <w:sz w:val="22"/>
          <w:szCs w:val="22"/>
          <w:lang w:val="en-US"/>
        </w:rPr>
        <w:t>(which is only a formal condition, which means that,</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p</w:t>
      </w:r>
      <w:r w:rsidRPr="00EA0CBF">
        <w:rPr>
          <w:rFonts w:ascii="Arial" w:hAnsi="Arial" w:cs="Arial"/>
          <w:color w:val="000000" w:themeColor="text1"/>
          <w:sz w:val="22"/>
          <w:szCs w:val="22"/>
        </w:rPr>
        <w:t>rovided it is not essential, that information may also be added or amended at a later date</w:t>
      </w:r>
      <w:r w:rsidRPr="00EA0CBF">
        <w:rPr>
          <w:rFonts w:ascii="Arial" w:hAnsi="Arial" w:cs="Arial"/>
          <w:color w:val="000000" w:themeColor="text1"/>
          <w:sz w:val="22"/>
          <w:szCs w:val="22"/>
          <w:lang w:val="en-US"/>
        </w:rPr>
        <w:t xml:space="preserve">) and the obligation to be in possession of “an invoice” </w:t>
      </w:r>
      <w:r w:rsidRPr="00EA0CBF">
        <w:rPr>
          <w:rFonts w:ascii="Arial" w:hAnsi="Arial" w:cs="Arial"/>
          <w:color w:val="000000" w:themeColor="text1"/>
          <w:sz w:val="22"/>
          <w:szCs w:val="22"/>
        </w:rPr>
        <w:t xml:space="preserve">in accordance with Article 178 of the VAT </w:t>
      </w:r>
      <w:r w:rsidRPr="00EA0CBF">
        <w:rPr>
          <w:rFonts w:ascii="Arial" w:hAnsi="Arial" w:cs="Arial"/>
          <w:color w:val="000000" w:themeColor="text1"/>
          <w:sz w:val="22"/>
          <w:szCs w:val="22"/>
          <w:lang w:val="en-US"/>
        </w:rPr>
        <w:t>D</w:t>
      </w:r>
      <w:r w:rsidRPr="00EA0CBF">
        <w:rPr>
          <w:rFonts w:ascii="Arial" w:hAnsi="Arial" w:cs="Arial"/>
          <w:color w:val="000000" w:themeColor="text1"/>
          <w:sz w:val="22"/>
          <w:szCs w:val="22"/>
        </w:rPr>
        <w:t>irective</w:t>
      </w:r>
      <w:r w:rsidRPr="00EA0CBF">
        <w:rPr>
          <w:rFonts w:ascii="Arial" w:hAnsi="Arial" w:cs="Arial"/>
          <w:color w:val="000000" w:themeColor="text1"/>
          <w:sz w:val="22"/>
          <w:szCs w:val="22"/>
          <w:lang w:val="en-US"/>
        </w:rPr>
        <w:t>, which cannot be considered as only formal</w:t>
      </w:r>
      <w:r w:rsidRPr="00EA0CBF">
        <w:rPr>
          <w:rFonts w:ascii="Arial" w:hAnsi="Arial" w:cs="Arial"/>
          <w:color w:val="000000" w:themeColor="text1"/>
          <w:sz w:val="22"/>
          <w:szCs w:val="22"/>
        </w:rPr>
        <w:t xml:space="preserve">. </w:t>
      </w:r>
      <w:r w:rsidRPr="00EA0CBF">
        <w:rPr>
          <w:rFonts w:ascii="Arial" w:hAnsi="Arial" w:cs="Arial"/>
          <w:color w:val="000000" w:themeColor="text1"/>
          <w:sz w:val="22"/>
          <w:szCs w:val="22"/>
          <w:lang w:val="en-US"/>
        </w:rPr>
        <w:t xml:space="preserve">Unfortunately, the CJEU did not seize the opportunity to confirm whether this is a correct interpretation of the VAT Directive. </w:t>
      </w:r>
    </w:p>
    <w:p w14:paraId="250A6E08" w14:textId="705D6BD8" w:rsidR="005D5DDB" w:rsidRPr="00B43707" w:rsidRDefault="00473AE8" w:rsidP="00473AE8">
      <w:pPr>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In the next case we will see that the question “what kind of document” can be considered as a valid invoice for the purpose of the right to deduct is also still not clearly settled.</w:t>
      </w:r>
    </w:p>
    <w:p w14:paraId="5D7DD38E" w14:textId="3F29CE45" w:rsidR="005D5DDB" w:rsidRDefault="005D5DDB" w:rsidP="00473AE8">
      <w:pPr>
        <w:jc w:val="both"/>
        <w:rPr>
          <w:rFonts w:ascii="Arial" w:eastAsia="Times New Roman" w:hAnsi="Arial" w:cs="Arial"/>
          <w:color w:val="000000" w:themeColor="text1"/>
          <w:sz w:val="22"/>
          <w:szCs w:val="22"/>
          <w:lang w:val="en-US" w:eastAsia="en-GB"/>
        </w:rPr>
      </w:pPr>
    </w:p>
    <w:p w14:paraId="41DB052F" w14:textId="77777777" w:rsidR="005D5DDB" w:rsidRPr="00EA0CBF" w:rsidRDefault="005D5DDB" w:rsidP="00473AE8">
      <w:pPr>
        <w:jc w:val="both"/>
        <w:rPr>
          <w:rFonts w:ascii="Arial" w:eastAsia="Times New Roman" w:hAnsi="Arial" w:cs="Arial"/>
          <w:color w:val="000000" w:themeColor="text1"/>
          <w:sz w:val="22"/>
          <w:szCs w:val="22"/>
          <w:lang w:eastAsia="en-GB"/>
        </w:rPr>
      </w:pPr>
    </w:p>
    <w:p w14:paraId="27BB04A2" w14:textId="77777777" w:rsidR="00473AE8" w:rsidRPr="00EA0CBF" w:rsidRDefault="00473AE8" w:rsidP="00473AE8">
      <w:pPr>
        <w:pStyle w:val="ListParagraph"/>
        <w:numPr>
          <w:ilvl w:val="0"/>
          <w:numId w:val="1"/>
        </w:numPr>
        <w:jc w:val="both"/>
        <w:rPr>
          <w:rFonts w:ascii="Arial" w:eastAsia="Times New Roman" w:hAnsi="Arial" w:cs="Arial"/>
          <w:b/>
          <w:bCs/>
          <w:color w:val="000000" w:themeColor="text1"/>
          <w:sz w:val="22"/>
          <w:szCs w:val="22"/>
          <w:lang w:eastAsia="en-GB"/>
        </w:rPr>
      </w:pPr>
      <w:bookmarkStart w:id="1" w:name="_Toc109653231"/>
      <w:bookmarkEnd w:id="1"/>
      <w:r w:rsidRPr="00EA0CBF">
        <w:rPr>
          <w:rFonts w:ascii="Arial" w:eastAsia="Times New Roman" w:hAnsi="Arial" w:cs="Arial"/>
          <w:b/>
          <w:bCs/>
          <w:color w:val="000000" w:themeColor="text1"/>
          <w:sz w:val="22"/>
          <w:szCs w:val="22"/>
          <w:lang w:val="en-US" w:eastAsia="en-GB"/>
        </w:rPr>
        <w:t xml:space="preserve">C-235/21 RAIFFEISEN LEASING </w:t>
      </w:r>
    </w:p>
    <w:p w14:paraId="4CAD95F7" w14:textId="77777777" w:rsidR="00473AE8" w:rsidRPr="00EA0CBF" w:rsidRDefault="00473AE8" w:rsidP="00473AE8">
      <w:pPr>
        <w:pStyle w:val="ListParagraph"/>
        <w:ind w:left="360"/>
        <w:jc w:val="both"/>
        <w:rPr>
          <w:rFonts w:ascii="Arial" w:eastAsia="Times New Roman" w:hAnsi="Arial" w:cs="Arial"/>
          <w:b/>
          <w:bCs/>
          <w:color w:val="000000" w:themeColor="text1"/>
          <w:sz w:val="22"/>
          <w:szCs w:val="22"/>
          <w:lang w:eastAsia="en-GB"/>
        </w:rPr>
      </w:pPr>
    </w:p>
    <w:p w14:paraId="3A5EF9C6"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lang w:eastAsia="en-GB"/>
        </w:rPr>
      </w:pPr>
      <w:r w:rsidRPr="00EA0CBF">
        <w:rPr>
          <w:rFonts w:ascii="Arial" w:eastAsia="Times New Roman" w:hAnsi="Arial" w:cs="Arial"/>
          <w:b/>
          <w:bCs/>
          <w:color w:val="000000" w:themeColor="text1"/>
          <w:sz w:val="22"/>
          <w:szCs w:val="22"/>
          <w:lang w:val="en-US" w:eastAsia="en-GB"/>
        </w:rPr>
        <w:t>Facts and question raised</w:t>
      </w:r>
    </w:p>
    <w:p w14:paraId="6995A2A1" w14:textId="05AABD8C" w:rsidR="00040D1B" w:rsidRPr="00EA0CBF" w:rsidRDefault="00473AE8" w:rsidP="00473AE8">
      <w:pPr>
        <w:spacing w:before="100" w:beforeAutospacing="1" w:after="240"/>
        <w:jc w:val="both"/>
        <w:rPr>
          <w:rFonts w:ascii="Arial" w:eastAsia="Times New Roman" w:hAnsi="Arial" w:cs="Arial"/>
          <w:color w:val="000000" w:themeColor="text1"/>
          <w:sz w:val="22"/>
          <w:szCs w:val="22"/>
          <w:lang w:eastAsia="en-GB"/>
        </w:rPr>
      </w:pPr>
      <w:r w:rsidRPr="00EA0CBF">
        <w:rPr>
          <w:rFonts w:ascii="Arial" w:eastAsia="Times New Roman" w:hAnsi="Arial" w:cs="Arial"/>
          <w:color w:val="000000" w:themeColor="text1"/>
          <w:sz w:val="22"/>
          <w:szCs w:val="22"/>
          <w:lang w:eastAsia="en-GB"/>
        </w:rPr>
        <w:t xml:space="preserve">RED d.o.o. </w:t>
      </w:r>
      <w:r w:rsidRPr="00EA0CBF">
        <w:rPr>
          <w:rFonts w:ascii="Arial" w:eastAsia="Times New Roman" w:hAnsi="Arial" w:cs="Arial"/>
          <w:color w:val="000000" w:themeColor="text1"/>
          <w:sz w:val="22"/>
          <w:szCs w:val="22"/>
          <w:lang w:val="en-US" w:eastAsia="en-GB"/>
        </w:rPr>
        <w:t>(“RED”) owned</w:t>
      </w:r>
      <w:r w:rsidRPr="00EA0CBF">
        <w:rPr>
          <w:rFonts w:ascii="Arial" w:eastAsia="Times New Roman" w:hAnsi="Arial" w:cs="Arial"/>
          <w:color w:val="000000" w:themeColor="text1"/>
          <w:sz w:val="22"/>
          <w:szCs w:val="22"/>
          <w:lang w:eastAsia="en-GB"/>
        </w:rPr>
        <w:t xml:space="preserve"> land in Slovenia. </w:t>
      </w:r>
      <w:r w:rsidRPr="00EA0CBF">
        <w:rPr>
          <w:rFonts w:ascii="Arial" w:eastAsia="Times New Roman" w:hAnsi="Arial" w:cs="Arial"/>
          <w:color w:val="000000" w:themeColor="text1"/>
          <w:sz w:val="22"/>
          <w:szCs w:val="22"/>
          <w:lang w:val="en-US" w:eastAsia="en-GB"/>
        </w:rPr>
        <w:t>It</w:t>
      </w:r>
      <w:r w:rsidRPr="00EA0CBF">
        <w:rPr>
          <w:rFonts w:ascii="Arial" w:eastAsia="Times New Roman" w:hAnsi="Arial" w:cs="Arial"/>
          <w:color w:val="000000" w:themeColor="text1"/>
          <w:sz w:val="22"/>
          <w:szCs w:val="22"/>
          <w:lang w:eastAsia="en-GB"/>
        </w:rPr>
        <w:t xml:space="preserve"> wished to erect new buildings </w:t>
      </w:r>
      <w:r w:rsidRPr="00EA0CBF">
        <w:rPr>
          <w:rFonts w:ascii="Arial" w:eastAsia="Times New Roman" w:hAnsi="Arial" w:cs="Arial"/>
          <w:color w:val="000000" w:themeColor="text1"/>
          <w:sz w:val="22"/>
          <w:szCs w:val="22"/>
          <w:lang w:val="en-US" w:eastAsia="en-GB"/>
        </w:rPr>
        <w:t xml:space="preserve">on this plot land and, to that purpose, </w:t>
      </w:r>
      <w:r w:rsidRPr="00EA0CBF">
        <w:rPr>
          <w:rFonts w:ascii="Arial" w:eastAsia="Times New Roman" w:hAnsi="Arial" w:cs="Arial"/>
          <w:color w:val="000000" w:themeColor="text1"/>
          <w:sz w:val="22"/>
          <w:szCs w:val="22"/>
          <w:lang w:eastAsia="en-GB"/>
        </w:rPr>
        <w:t>concluded a sale-and-lease back agreement</w:t>
      </w:r>
      <w:r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with Raiffeisen Leasing</w:t>
      </w:r>
      <w:r w:rsidR="00793CDD" w:rsidRPr="00793CDD">
        <w:rPr>
          <w:rFonts w:ascii="Arial" w:eastAsia="Times New Roman" w:hAnsi="Arial" w:cs="Arial"/>
          <w:color w:val="000000" w:themeColor="text1"/>
          <w:sz w:val="22"/>
          <w:szCs w:val="22"/>
          <w:lang w:val="en-US" w:eastAsia="en-GB"/>
        </w:rPr>
        <w:t xml:space="preserve"> </w:t>
      </w:r>
      <w:r w:rsidR="00793CDD" w:rsidRPr="00EA0CBF">
        <w:rPr>
          <w:rFonts w:ascii="Arial" w:eastAsia="Times New Roman" w:hAnsi="Arial" w:cs="Arial"/>
          <w:color w:val="000000" w:themeColor="text1"/>
          <w:sz w:val="22"/>
          <w:szCs w:val="22"/>
          <w:lang w:val="en-US" w:eastAsia="en-GB"/>
        </w:rPr>
        <w:t>in November 2007</w:t>
      </w:r>
      <w:r w:rsidRPr="00EA0CBF">
        <w:rPr>
          <w:rFonts w:ascii="Arial" w:eastAsia="Times New Roman" w:hAnsi="Arial" w:cs="Arial"/>
          <w:color w:val="000000" w:themeColor="text1"/>
          <w:sz w:val="22"/>
          <w:szCs w:val="22"/>
          <w:lang w:eastAsia="en-GB"/>
        </w:rPr>
        <w:t xml:space="preserve">. Under the terms of that </w:t>
      </w:r>
      <w:r w:rsidRPr="00EA0CBF">
        <w:rPr>
          <w:rFonts w:ascii="Arial" w:eastAsia="Times New Roman" w:hAnsi="Arial" w:cs="Arial"/>
          <w:color w:val="000000" w:themeColor="text1"/>
          <w:sz w:val="22"/>
          <w:szCs w:val="22"/>
          <w:lang w:val="en-US" w:eastAsia="en-GB"/>
        </w:rPr>
        <w:t xml:space="preserve">financial lease </w:t>
      </w:r>
      <w:r w:rsidRPr="00EA0CBF">
        <w:rPr>
          <w:rFonts w:ascii="Arial" w:eastAsia="Times New Roman" w:hAnsi="Arial" w:cs="Arial"/>
          <w:color w:val="000000" w:themeColor="text1"/>
          <w:sz w:val="22"/>
          <w:szCs w:val="22"/>
          <w:lang w:eastAsia="en-GB"/>
        </w:rPr>
        <w:t xml:space="preserve">agreement, Raiffeisen Leasing was required to buy the land at a price and RED was required to pay Raiffeisen Leasing the monthly </w:t>
      </w:r>
      <w:r w:rsidRPr="00EA0CBF">
        <w:rPr>
          <w:rFonts w:ascii="Arial" w:eastAsia="Times New Roman" w:hAnsi="Arial" w:cs="Arial"/>
          <w:color w:val="000000" w:themeColor="text1"/>
          <w:sz w:val="22"/>
          <w:szCs w:val="22"/>
          <w:lang w:eastAsia="en-GB"/>
        </w:rPr>
        <w:lastRenderedPageBreak/>
        <w:t>lease instalments until the value of the land and the buildings to be constructed were repaid in full, namely a sum of EUR 1 294 786.56. The VAT amount of EUR 110 056.86 was included in th</w:t>
      </w:r>
      <w:r w:rsidRPr="00EA0CBF">
        <w:rPr>
          <w:rFonts w:ascii="Arial" w:eastAsia="Times New Roman" w:hAnsi="Arial" w:cs="Arial"/>
          <w:color w:val="000000" w:themeColor="text1"/>
          <w:sz w:val="22"/>
          <w:szCs w:val="22"/>
          <w:lang w:val="en-US" w:eastAsia="en-GB"/>
        </w:rPr>
        <w:t>e financial lease</w:t>
      </w:r>
      <w:r w:rsidRPr="00EA0CBF">
        <w:rPr>
          <w:rFonts w:ascii="Arial" w:eastAsia="Times New Roman" w:hAnsi="Arial" w:cs="Arial"/>
          <w:color w:val="000000" w:themeColor="text1"/>
          <w:sz w:val="22"/>
          <w:szCs w:val="22"/>
          <w:lang w:eastAsia="en-GB"/>
        </w:rPr>
        <w:t xml:space="preserve"> agreement (and stated separately). However, the VAT rate applied and the date of supply of the goods, two details which are expressly provided for in Article 226 of the VAT Directive, were not included. </w:t>
      </w:r>
      <w:r w:rsidRPr="00EA0CBF">
        <w:rPr>
          <w:rFonts w:ascii="Arial" w:eastAsia="Times New Roman" w:hAnsi="Arial" w:cs="Arial"/>
          <w:color w:val="000000" w:themeColor="text1"/>
          <w:sz w:val="22"/>
          <w:szCs w:val="22"/>
          <w:lang w:val="en-US" w:eastAsia="en-GB"/>
        </w:rPr>
        <w:t xml:space="preserve">Also, </w:t>
      </w:r>
      <w:r w:rsidRPr="00EA0CBF">
        <w:rPr>
          <w:rFonts w:ascii="Arial" w:eastAsia="Times New Roman" w:hAnsi="Arial" w:cs="Arial"/>
          <w:color w:val="000000" w:themeColor="text1"/>
          <w:sz w:val="22"/>
          <w:szCs w:val="22"/>
          <w:lang w:eastAsia="en-GB"/>
        </w:rPr>
        <w:t>Raiffeisen Leasing did not issue invoice</w:t>
      </w:r>
      <w:r w:rsidR="005D5DDB" w:rsidRPr="005D5DDB">
        <w:rPr>
          <w:rFonts w:ascii="Arial" w:eastAsia="Times New Roman" w:hAnsi="Arial" w:cs="Arial"/>
          <w:color w:val="000000" w:themeColor="text1"/>
          <w:sz w:val="22"/>
          <w:szCs w:val="22"/>
          <w:lang w:val="en-US" w:eastAsia="en-GB"/>
        </w:rPr>
        <w:t>s</w:t>
      </w:r>
      <w:r w:rsidRPr="00EA0CBF">
        <w:rPr>
          <w:rFonts w:ascii="Arial" w:eastAsia="Times New Roman" w:hAnsi="Arial" w:cs="Arial"/>
          <w:color w:val="000000" w:themeColor="text1"/>
          <w:sz w:val="22"/>
          <w:szCs w:val="22"/>
          <w:lang w:eastAsia="en-GB"/>
        </w:rPr>
        <w:t xml:space="preserve"> to RED </w:t>
      </w:r>
      <w:proofErr w:type="gramStart"/>
      <w:r w:rsidRPr="00EA0CBF">
        <w:rPr>
          <w:rFonts w:ascii="Arial" w:eastAsia="Times New Roman" w:hAnsi="Arial" w:cs="Arial"/>
          <w:color w:val="000000" w:themeColor="text1"/>
          <w:sz w:val="22"/>
          <w:szCs w:val="22"/>
          <w:lang w:eastAsia="en-GB"/>
        </w:rPr>
        <w:t>on the basis of</w:t>
      </w:r>
      <w:proofErr w:type="gramEnd"/>
      <w:r w:rsidRPr="00EA0CBF">
        <w:rPr>
          <w:rFonts w:ascii="Arial" w:eastAsia="Times New Roman" w:hAnsi="Arial" w:cs="Arial"/>
          <w:color w:val="000000" w:themeColor="text1"/>
          <w:sz w:val="22"/>
          <w:szCs w:val="22"/>
          <w:lang w:eastAsia="en-GB"/>
        </w:rPr>
        <w:t xml:space="preserve"> the </w:t>
      </w:r>
      <w:r w:rsidRPr="00EA0CBF">
        <w:rPr>
          <w:rFonts w:ascii="Arial" w:eastAsia="Times New Roman" w:hAnsi="Arial" w:cs="Arial"/>
          <w:color w:val="000000" w:themeColor="text1"/>
          <w:sz w:val="22"/>
          <w:szCs w:val="22"/>
          <w:lang w:val="en-US" w:eastAsia="en-GB"/>
        </w:rPr>
        <w:t>financial lease</w:t>
      </w:r>
      <w:r w:rsidRPr="00EA0CBF">
        <w:rPr>
          <w:rFonts w:ascii="Arial" w:eastAsia="Times New Roman" w:hAnsi="Arial" w:cs="Arial"/>
          <w:color w:val="000000" w:themeColor="text1"/>
          <w:sz w:val="22"/>
          <w:szCs w:val="22"/>
          <w:lang w:eastAsia="en-GB"/>
        </w:rPr>
        <w:t xml:space="preserve"> agreement, nor did it charge, declare or pay the VAT</w:t>
      </w:r>
      <w:r w:rsidRPr="00EA0CBF">
        <w:rPr>
          <w:rFonts w:ascii="Arial" w:eastAsia="Times New Roman" w:hAnsi="Arial" w:cs="Arial"/>
          <w:color w:val="000000" w:themeColor="text1"/>
          <w:sz w:val="22"/>
          <w:szCs w:val="22"/>
          <w:lang w:val="en-US" w:eastAsia="en-GB"/>
        </w:rPr>
        <w:t xml:space="preserve"> related to the monthly installments</w:t>
      </w:r>
      <w:r w:rsidRPr="00EA0CBF">
        <w:rPr>
          <w:rFonts w:ascii="Arial" w:eastAsia="Times New Roman" w:hAnsi="Arial" w:cs="Arial"/>
          <w:color w:val="000000" w:themeColor="text1"/>
          <w:sz w:val="22"/>
          <w:szCs w:val="22"/>
          <w:lang w:eastAsia="en-GB"/>
        </w:rPr>
        <w:t xml:space="preserve">. </w:t>
      </w:r>
      <w:r w:rsidR="00040D1B" w:rsidRPr="00EA0CBF">
        <w:rPr>
          <w:rFonts w:ascii="Arial" w:eastAsia="Times New Roman" w:hAnsi="Arial" w:cs="Arial"/>
          <w:color w:val="000000" w:themeColor="text1"/>
          <w:sz w:val="22"/>
          <w:szCs w:val="22"/>
          <w:lang w:val="en-US" w:eastAsia="en-GB"/>
        </w:rPr>
        <w:t>A separate contract was signed</w:t>
      </w:r>
      <w:r w:rsidR="00040D1B" w:rsidRPr="00EA0CBF">
        <w:rPr>
          <w:rFonts w:ascii="Arial" w:hAnsi="Arial" w:cs="Arial"/>
          <w:color w:val="000000" w:themeColor="text1"/>
          <w:sz w:val="22"/>
          <w:szCs w:val="22"/>
        </w:rPr>
        <w:t xml:space="preserve"> for the sale of land, in which a sale price including VAT was fixed. </w:t>
      </w:r>
      <w:r w:rsidR="00040D1B" w:rsidRPr="00EA0CBF">
        <w:rPr>
          <w:rFonts w:ascii="Arial" w:hAnsi="Arial" w:cs="Arial"/>
          <w:color w:val="000000" w:themeColor="text1"/>
          <w:sz w:val="22"/>
          <w:szCs w:val="22"/>
          <w:lang w:val="en-US"/>
        </w:rPr>
        <w:t xml:space="preserve">This time </w:t>
      </w:r>
      <w:r w:rsidR="00040D1B" w:rsidRPr="00EA0CBF">
        <w:rPr>
          <w:rFonts w:ascii="Arial" w:hAnsi="Arial" w:cs="Arial"/>
          <w:color w:val="000000" w:themeColor="text1"/>
          <w:sz w:val="22"/>
          <w:szCs w:val="22"/>
        </w:rPr>
        <w:t xml:space="preserve">RED issued an invoice in which the VAT was </w:t>
      </w:r>
      <w:proofErr w:type="gramStart"/>
      <w:r w:rsidR="00040D1B" w:rsidRPr="00EA0CBF">
        <w:rPr>
          <w:rFonts w:ascii="Arial" w:hAnsi="Arial" w:cs="Arial"/>
          <w:color w:val="000000" w:themeColor="text1"/>
          <w:sz w:val="22"/>
          <w:szCs w:val="22"/>
        </w:rPr>
        <w:t>taken into account</w:t>
      </w:r>
      <w:proofErr w:type="gramEnd"/>
      <w:r w:rsidR="00040D1B" w:rsidRPr="00EA0CBF">
        <w:rPr>
          <w:rFonts w:ascii="Arial" w:hAnsi="Arial" w:cs="Arial"/>
          <w:color w:val="000000" w:themeColor="text1"/>
          <w:sz w:val="22"/>
          <w:szCs w:val="22"/>
        </w:rPr>
        <w:t>.</w:t>
      </w:r>
    </w:p>
    <w:p w14:paraId="68A100FC" w14:textId="4FE88697"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eastAsia="en-GB"/>
        </w:rPr>
        <w:t>RED</w:t>
      </w:r>
      <w:r w:rsidR="004A560F" w:rsidRPr="00EA0CBF">
        <w:rPr>
          <w:rFonts w:ascii="Arial" w:eastAsia="Times New Roman" w:hAnsi="Arial" w:cs="Arial"/>
          <w:color w:val="000000" w:themeColor="text1"/>
          <w:sz w:val="22"/>
          <w:szCs w:val="22"/>
          <w:lang w:val="en-US" w:eastAsia="en-GB"/>
        </w:rPr>
        <w:t xml:space="preserve"> </w:t>
      </w:r>
      <w:r w:rsidRPr="00EA0CBF">
        <w:rPr>
          <w:rFonts w:ascii="Arial" w:eastAsia="Times New Roman" w:hAnsi="Arial" w:cs="Arial"/>
          <w:color w:val="000000" w:themeColor="text1"/>
          <w:sz w:val="22"/>
          <w:szCs w:val="22"/>
          <w:lang w:eastAsia="en-GB"/>
        </w:rPr>
        <w:t xml:space="preserve">exercised its right to deduct VAT on the basis of the </w:t>
      </w:r>
      <w:r w:rsidR="004A560F" w:rsidRPr="00EA0CBF">
        <w:rPr>
          <w:rFonts w:ascii="Arial" w:eastAsia="Times New Roman" w:hAnsi="Arial" w:cs="Arial"/>
          <w:color w:val="000000" w:themeColor="text1"/>
          <w:sz w:val="22"/>
          <w:szCs w:val="22"/>
          <w:lang w:val="en-US" w:eastAsia="en-GB"/>
        </w:rPr>
        <w:t xml:space="preserve">financial lease </w:t>
      </w:r>
      <w:r w:rsidRPr="00EA0CBF">
        <w:rPr>
          <w:rFonts w:ascii="Arial" w:eastAsia="Times New Roman" w:hAnsi="Arial" w:cs="Arial"/>
          <w:color w:val="000000" w:themeColor="text1"/>
          <w:sz w:val="22"/>
          <w:szCs w:val="22"/>
          <w:lang w:val="en-US" w:eastAsia="en-GB"/>
        </w:rPr>
        <w:t>agreement</w:t>
      </w:r>
      <w:r w:rsidRPr="00EA0CBF">
        <w:rPr>
          <w:rFonts w:ascii="Arial" w:eastAsia="Times New Roman" w:hAnsi="Arial" w:cs="Arial"/>
          <w:color w:val="000000" w:themeColor="text1"/>
          <w:sz w:val="22"/>
          <w:szCs w:val="22"/>
          <w:lang w:eastAsia="en-GB"/>
        </w:rPr>
        <w:t xml:space="preserve">, considering that </w:t>
      </w:r>
      <w:r w:rsidRPr="00EA0CBF">
        <w:rPr>
          <w:rFonts w:ascii="Arial" w:eastAsia="Times New Roman" w:hAnsi="Arial" w:cs="Arial"/>
          <w:color w:val="000000" w:themeColor="text1"/>
          <w:sz w:val="22"/>
          <w:szCs w:val="22"/>
          <w:lang w:val="en-US" w:eastAsia="en-GB"/>
        </w:rPr>
        <w:t>it</w:t>
      </w:r>
      <w:r w:rsidRPr="00EA0CBF">
        <w:rPr>
          <w:rFonts w:ascii="Arial" w:eastAsia="Times New Roman" w:hAnsi="Arial" w:cs="Arial"/>
          <w:color w:val="000000" w:themeColor="text1"/>
          <w:sz w:val="22"/>
          <w:szCs w:val="22"/>
          <w:lang w:eastAsia="en-GB"/>
        </w:rPr>
        <w:t xml:space="preserve"> constituted an invoice.</w:t>
      </w:r>
      <w:r w:rsidRPr="00EA0CBF">
        <w:rPr>
          <w:rFonts w:ascii="Arial" w:eastAsia="Times New Roman" w:hAnsi="Arial" w:cs="Arial"/>
          <w:color w:val="000000" w:themeColor="text1"/>
          <w:sz w:val="22"/>
          <w:szCs w:val="22"/>
          <w:lang w:val="en-US" w:eastAsia="en-GB"/>
        </w:rPr>
        <w:t xml:space="preserve"> </w:t>
      </w:r>
    </w:p>
    <w:p w14:paraId="03AFBE82" w14:textId="77777777" w:rsidR="00473AE8" w:rsidRPr="00EA0CBF" w:rsidRDefault="00473AE8" w:rsidP="00473AE8">
      <w:pPr>
        <w:spacing w:before="100" w:beforeAutospacing="1" w:after="240"/>
        <w:jc w:val="both"/>
        <w:rPr>
          <w:rFonts w:ascii="Arial" w:eastAsia="Times New Roman" w:hAnsi="Arial" w:cs="Arial"/>
          <w:color w:val="000000" w:themeColor="text1"/>
          <w:sz w:val="22"/>
          <w:szCs w:val="22"/>
          <w:lang w:val="en-US" w:eastAsia="en-GB"/>
        </w:rPr>
      </w:pPr>
      <w:r w:rsidRPr="00EA0CBF">
        <w:rPr>
          <w:rFonts w:ascii="Arial" w:eastAsia="Times New Roman" w:hAnsi="Arial" w:cs="Arial"/>
          <w:color w:val="000000" w:themeColor="text1"/>
          <w:sz w:val="22"/>
          <w:szCs w:val="22"/>
          <w:lang w:val="en-US" w:eastAsia="en-GB"/>
        </w:rPr>
        <w:t>The question raised by t</w:t>
      </w:r>
      <w:r w:rsidRPr="00EA0CBF">
        <w:rPr>
          <w:rFonts w:ascii="Arial" w:eastAsia="Times New Roman" w:hAnsi="Arial" w:cs="Arial"/>
          <w:color w:val="000000" w:themeColor="text1"/>
          <w:sz w:val="22"/>
          <w:szCs w:val="22"/>
          <w:lang w:eastAsia="en-GB"/>
        </w:rPr>
        <w:t xml:space="preserve">he referring court </w:t>
      </w:r>
      <w:r w:rsidRPr="00EA0CBF">
        <w:rPr>
          <w:rFonts w:ascii="Arial" w:eastAsia="Times New Roman" w:hAnsi="Arial" w:cs="Arial"/>
          <w:color w:val="000000" w:themeColor="text1"/>
          <w:sz w:val="22"/>
          <w:szCs w:val="22"/>
          <w:lang w:val="en-US" w:eastAsia="en-GB"/>
        </w:rPr>
        <w:t xml:space="preserve">in this case </w:t>
      </w:r>
      <w:r w:rsidRPr="00EA0CBF">
        <w:rPr>
          <w:rFonts w:ascii="Arial" w:eastAsia="Times New Roman" w:hAnsi="Arial" w:cs="Arial"/>
          <w:color w:val="000000" w:themeColor="text1"/>
          <w:sz w:val="22"/>
          <w:szCs w:val="22"/>
          <w:lang w:eastAsia="en-GB"/>
        </w:rPr>
        <w:t xml:space="preserve">seeks to ascertain whether a contractual agreement can be regarded as an invoice, within the meaning of Article 203 of </w:t>
      </w:r>
      <w:r w:rsidRPr="00EA0CBF">
        <w:rPr>
          <w:rFonts w:ascii="Arial" w:eastAsia="Times New Roman" w:hAnsi="Arial" w:cs="Arial"/>
          <w:color w:val="000000" w:themeColor="text1"/>
          <w:sz w:val="22"/>
          <w:szCs w:val="22"/>
          <w:lang w:val="en-US" w:eastAsia="en-GB"/>
        </w:rPr>
        <w:t xml:space="preserve">the VAT </w:t>
      </w:r>
      <w:r w:rsidRPr="00EA0CBF">
        <w:rPr>
          <w:rFonts w:ascii="Arial" w:eastAsia="Times New Roman" w:hAnsi="Arial" w:cs="Arial"/>
          <w:color w:val="000000" w:themeColor="text1"/>
          <w:sz w:val="22"/>
          <w:szCs w:val="22"/>
          <w:lang w:eastAsia="en-GB"/>
        </w:rPr>
        <w:t xml:space="preserve">Directive, </w:t>
      </w:r>
      <w:r w:rsidRPr="00EA0CBF">
        <w:rPr>
          <w:rFonts w:ascii="Arial" w:eastAsia="Times New Roman" w:hAnsi="Arial" w:cs="Arial"/>
          <w:color w:val="000000" w:themeColor="text1"/>
          <w:sz w:val="22"/>
          <w:szCs w:val="22"/>
          <w:lang w:val="en-US" w:eastAsia="en-GB"/>
        </w:rPr>
        <w:t>as follows:</w:t>
      </w:r>
    </w:p>
    <w:p w14:paraId="082C377A"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‘(1)      May a written contractual agreement be regarded as an invoice, for the purposes of Article 203 of Directive [2006/112], only if it contains all of the information that is required to be set out in an invoice in accordance with Chapter 3 (“Invoicing”) [of Title XI] of [that directive]?</w:t>
      </w:r>
    </w:p>
    <w:p w14:paraId="23590A48"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In the event that that question is answered in the negative,</w:t>
      </w:r>
    </w:p>
    <w:p w14:paraId="29EC2028"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(2)      On the basis of what information and circumstances may a written contractual agreement in any event be regarded (also) as an invoice giving rise to an obligation to pay VAT within the meaning of Article 203 of Directive [2006/112]?</w:t>
      </w:r>
    </w:p>
    <w:p w14:paraId="629A7A9E"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More specifically,</w:t>
      </w:r>
    </w:p>
    <w:p w14:paraId="5B5EE24D" w14:textId="77777777" w:rsidR="00473AE8" w:rsidRPr="00EA0CBF" w:rsidRDefault="00473AE8" w:rsidP="00473AE8">
      <w:pPr>
        <w:spacing w:after="240"/>
        <w:ind w:left="720"/>
        <w:jc w:val="both"/>
        <w:rPr>
          <w:rFonts w:ascii="Arial" w:eastAsia="Times New Roman" w:hAnsi="Arial" w:cs="Arial"/>
          <w:color w:val="000000" w:themeColor="text1"/>
          <w:sz w:val="18"/>
          <w:szCs w:val="18"/>
          <w:lang w:eastAsia="en-GB"/>
        </w:rPr>
      </w:pPr>
      <w:r w:rsidRPr="00EA0CBF">
        <w:rPr>
          <w:rFonts w:ascii="Arial" w:eastAsia="Times New Roman" w:hAnsi="Arial" w:cs="Arial"/>
          <w:color w:val="000000" w:themeColor="text1"/>
          <w:sz w:val="18"/>
          <w:szCs w:val="18"/>
          <w:lang w:eastAsia="en-GB"/>
        </w:rPr>
        <w:t>(3)      May a written contractual agreement, concluded by two taxable persons subject to VAT and concerning the supply of goods or services, be regarded as an invoice within the meaning of Article 203 of Directive [2006/112] if it evidences an express and objectively identifiable intention on the part of the seller or the provider of services, as a contracting party, to issue an invoice for a specific transaction, such that the purchaser could reasonably assume that it had, on the basis thereof, a right to deduct the input VAT paid?’</w:t>
      </w:r>
    </w:p>
    <w:p w14:paraId="621C9B2F" w14:textId="77777777" w:rsidR="00473AE8" w:rsidRPr="00EA0CBF" w:rsidRDefault="00473AE8" w:rsidP="00473AE8">
      <w:pPr>
        <w:jc w:val="both"/>
        <w:rPr>
          <w:rFonts w:ascii="Arial" w:eastAsia="Times New Roman" w:hAnsi="Arial" w:cs="Arial"/>
          <w:b/>
          <w:bCs/>
          <w:color w:val="000000" w:themeColor="text1"/>
          <w:sz w:val="22"/>
          <w:szCs w:val="22"/>
          <w:lang w:eastAsia="en-GB"/>
        </w:rPr>
      </w:pPr>
    </w:p>
    <w:p w14:paraId="7E7A3389" w14:textId="799E010A"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lang w:eastAsia="en-GB"/>
        </w:rPr>
      </w:pPr>
      <w:r w:rsidRPr="00EA0CBF">
        <w:rPr>
          <w:rFonts w:ascii="Arial" w:eastAsia="Times New Roman" w:hAnsi="Arial" w:cs="Arial"/>
          <w:b/>
          <w:bCs/>
          <w:color w:val="000000" w:themeColor="text1"/>
          <w:sz w:val="22"/>
          <w:szCs w:val="22"/>
          <w:lang w:val="en-US" w:eastAsia="en-GB"/>
        </w:rPr>
        <w:t>Court decision</w:t>
      </w:r>
      <w:r w:rsidR="00B64732" w:rsidRPr="00EA0CBF">
        <w:rPr>
          <w:rFonts w:ascii="Arial" w:eastAsia="Times New Roman" w:hAnsi="Arial" w:cs="Arial"/>
          <w:b/>
          <w:bCs/>
          <w:color w:val="000000" w:themeColor="text1"/>
          <w:sz w:val="22"/>
          <w:szCs w:val="22"/>
          <w:lang w:val="en-US" w:eastAsia="en-GB"/>
        </w:rPr>
        <w:t xml:space="preserve"> (AG </w:t>
      </w:r>
      <w:proofErr w:type="spellStart"/>
      <w:r w:rsidR="00B64732" w:rsidRPr="00EA0CBF">
        <w:rPr>
          <w:rFonts w:ascii="Arial" w:eastAsia="Times New Roman" w:hAnsi="Arial" w:cs="Arial"/>
          <w:b/>
          <w:bCs/>
          <w:color w:val="000000" w:themeColor="text1"/>
          <w:sz w:val="22"/>
          <w:szCs w:val="22"/>
          <w:lang w:val="en-US" w:eastAsia="en-GB"/>
        </w:rPr>
        <w:t>Rantos</w:t>
      </w:r>
      <w:proofErr w:type="spellEnd"/>
      <w:r w:rsidR="00B64732" w:rsidRPr="00EA0CBF">
        <w:rPr>
          <w:rFonts w:ascii="Arial" w:eastAsia="Times New Roman" w:hAnsi="Arial" w:cs="Arial"/>
          <w:b/>
          <w:bCs/>
          <w:color w:val="000000" w:themeColor="text1"/>
          <w:sz w:val="22"/>
          <w:szCs w:val="22"/>
          <w:lang w:val="en-US" w:eastAsia="en-GB"/>
        </w:rPr>
        <w:t>)</w:t>
      </w:r>
    </w:p>
    <w:p w14:paraId="31180A54"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The CJEU starts by recalling that, in accordance with Article 203 of the VAT Directive, </w:t>
      </w:r>
      <w:r w:rsidRPr="00EA0CBF">
        <w:rPr>
          <w:rFonts w:ascii="Arial" w:hAnsi="Arial" w:cs="Arial"/>
          <w:color w:val="000000" w:themeColor="text1"/>
          <w:sz w:val="22"/>
          <w:szCs w:val="22"/>
        </w:rPr>
        <w:t>the VAT indicated on an invoice is payable by the issuer of the invoice even in the absence of any actual taxable transaction.</w:t>
      </w:r>
      <w:r w:rsidRPr="00EA0CBF">
        <w:rPr>
          <w:rStyle w:val="FootnoteReference"/>
          <w:rFonts w:ascii="Arial" w:hAnsi="Arial" w:cs="Arial"/>
          <w:color w:val="000000" w:themeColor="text1"/>
          <w:sz w:val="22"/>
          <w:szCs w:val="22"/>
        </w:rPr>
        <w:footnoteReference w:id="67"/>
      </w:r>
      <w:r w:rsidRPr="00EA0CBF">
        <w:rPr>
          <w:rFonts w:ascii="Arial" w:hAnsi="Arial" w:cs="Arial"/>
          <w:color w:val="000000" w:themeColor="text1"/>
          <w:sz w:val="22"/>
          <w:szCs w:val="22"/>
          <w:lang w:val="en-US"/>
        </w:rPr>
        <w:t xml:space="preserve"> It then recalls the purpose of this rule: </w:t>
      </w:r>
      <w:r w:rsidRPr="00EA0CBF">
        <w:rPr>
          <w:rFonts w:ascii="Arial" w:hAnsi="Arial" w:cs="Arial"/>
          <w:color w:val="000000" w:themeColor="text1"/>
          <w:sz w:val="22"/>
          <w:szCs w:val="22"/>
        </w:rPr>
        <w:t xml:space="preserve">Article 203 of </w:t>
      </w:r>
      <w:r w:rsidRPr="00EA0CBF">
        <w:rPr>
          <w:rFonts w:ascii="Arial" w:hAnsi="Arial" w:cs="Arial"/>
          <w:color w:val="000000" w:themeColor="text1"/>
          <w:sz w:val="22"/>
          <w:szCs w:val="22"/>
          <w:lang w:val="en-US"/>
        </w:rPr>
        <w:t xml:space="preserve">the VAT Directive </w:t>
      </w:r>
      <w:r w:rsidRPr="00EA0CBF">
        <w:rPr>
          <w:rFonts w:ascii="Arial" w:hAnsi="Arial" w:cs="Arial"/>
          <w:color w:val="000000" w:themeColor="text1"/>
          <w:sz w:val="22"/>
          <w:szCs w:val="22"/>
        </w:rPr>
        <w:t>is intended to eliminate the risk of loss of tax revenue which the right of deduction provided for by that directive might entail.</w:t>
      </w:r>
      <w:r w:rsidRPr="00EA0CBF">
        <w:rPr>
          <w:rStyle w:val="FootnoteReference"/>
          <w:rFonts w:ascii="Arial" w:hAnsi="Arial" w:cs="Arial"/>
          <w:color w:val="000000" w:themeColor="text1"/>
          <w:sz w:val="22"/>
          <w:szCs w:val="22"/>
        </w:rPr>
        <w:footnoteReference w:id="68"/>
      </w:r>
    </w:p>
    <w:p w14:paraId="0251003A"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The CJEU also recalls that the objective of Article 226 of the VAT Directive (listing the details that must be shown on an invoice) is to </w:t>
      </w:r>
      <w:r w:rsidRPr="00EA0CBF">
        <w:rPr>
          <w:rFonts w:ascii="Arial" w:hAnsi="Arial" w:cs="Arial"/>
          <w:color w:val="000000" w:themeColor="text1"/>
          <w:sz w:val="22"/>
          <w:szCs w:val="22"/>
        </w:rPr>
        <w:t>allow the tax authorities to monitor payment of the tax due and, if appropriate, the existence of the right to deduct VAT.</w:t>
      </w:r>
      <w:r w:rsidRPr="00EA0CBF">
        <w:rPr>
          <w:rStyle w:val="FootnoteReference"/>
          <w:rFonts w:ascii="Arial" w:hAnsi="Arial" w:cs="Arial"/>
          <w:color w:val="000000" w:themeColor="text1"/>
          <w:sz w:val="22"/>
          <w:szCs w:val="22"/>
        </w:rPr>
        <w:footnoteReference w:id="69"/>
      </w:r>
      <w:r w:rsidRPr="00EA0CBF">
        <w:rPr>
          <w:rFonts w:ascii="Arial" w:hAnsi="Arial" w:cs="Arial"/>
          <w:color w:val="000000" w:themeColor="text1"/>
          <w:sz w:val="22"/>
          <w:szCs w:val="22"/>
          <w:lang w:val="en-US"/>
        </w:rPr>
        <w:t xml:space="preserve"> In that respect, it also recalls that </w:t>
      </w:r>
      <w:r w:rsidRPr="00EA0CBF">
        <w:rPr>
          <w:rFonts w:ascii="Arial" w:hAnsi="Arial" w:cs="Arial"/>
          <w:color w:val="000000" w:themeColor="text1"/>
          <w:sz w:val="22"/>
          <w:szCs w:val="22"/>
        </w:rPr>
        <w:t xml:space="preserve">the fundamental principle of the neutrality of VAT requires deduction of input VAT to be allowed if the substantive requirements are satisfied, even if the taxable persons have failed to comply with some formal conditions. </w:t>
      </w:r>
      <w:r w:rsidRPr="00EA0CBF">
        <w:rPr>
          <w:rFonts w:ascii="Arial" w:hAnsi="Arial" w:cs="Arial"/>
          <w:color w:val="000000" w:themeColor="text1"/>
          <w:sz w:val="22"/>
          <w:szCs w:val="22"/>
          <w:lang w:val="en-US"/>
        </w:rPr>
        <w:t>Accordingly</w:t>
      </w:r>
      <w:r w:rsidRPr="00EA0CBF">
        <w:rPr>
          <w:rFonts w:ascii="Arial" w:hAnsi="Arial" w:cs="Arial"/>
          <w:color w:val="000000" w:themeColor="text1"/>
          <w:sz w:val="22"/>
          <w:szCs w:val="22"/>
        </w:rPr>
        <w:t xml:space="preserve">, where the tax authorities have the </w:t>
      </w:r>
      <w:r w:rsidRPr="00EA0CBF">
        <w:rPr>
          <w:rFonts w:ascii="Arial" w:hAnsi="Arial" w:cs="Arial"/>
          <w:color w:val="000000" w:themeColor="text1"/>
          <w:sz w:val="22"/>
          <w:szCs w:val="22"/>
        </w:rPr>
        <w:lastRenderedPageBreak/>
        <w:t>information necessary to establish that the substantive requirements have been satisfied, they cannot</w:t>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impose additional conditions which may have the effect of rendering that right ineffective for practical purposes.</w:t>
      </w:r>
      <w:r w:rsidRPr="00EA0CBF">
        <w:rPr>
          <w:rStyle w:val="FootnoteReference"/>
          <w:rFonts w:ascii="Arial" w:hAnsi="Arial" w:cs="Arial"/>
          <w:color w:val="000000" w:themeColor="text1"/>
          <w:sz w:val="22"/>
          <w:szCs w:val="22"/>
        </w:rPr>
        <w:footnoteReference w:id="70"/>
      </w:r>
      <w:r w:rsidRPr="00EA0CBF">
        <w:rPr>
          <w:rFonts w:ascii="Arial" w:hAnsi="Arial" w:cs="Arial"/>
          <w:color w:val="000000" w:themeColor="text1"/>
          <w:sz w:val="22"/>
          <w:szCs w:val="22"/>
          <w:lang w:val="en-US"/>
        </w:rPr>
        <w:t xml:space="preserve"> In other words: </w:t>
      </w:r>
      <w:r w:rsidRPr="00EA0CBF">
        <w:rPr>
          <w:rFonts w:ascii="Arial" w:hAnsi="Arial" w:cs="Arial"/>
          <w:color w:val="000000" w:themeColor="text1"/>
          <w:sz w:val="22"/>
          <w:szCs w:val="22"/>
        </w:rPr>
        <w:t xml:space="preserve">the tax authorities cannot refuse the right to deduct VAT on the sole ground that an invoice does not satisfy the conditions required by Article 226(6) and (7)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Directive if they have available all the information to ascertain whether the substantive conditions for that right are satisfied</w:t>
      </w:r>
      <w:r w:rsidRPr="00EA0CBF">
        <w:rPr>
          <w:rFonts w:ascii="Arial" w:hAnsi="Arial" w:cs="Arial"/>
          <w:color w:val="000000" w:themeColor="text1"/>
          <w:sz w:val="22"/>
          <w:szCs w:val="22"/>
          <w:lang w:val="en-US"/>
        </w:rPr>
        <w:t>.</w:t>
      </w:r>
      <w:r w:rsidRPr="00EA0CBF">
        <w:rPr>
          <w:rStyle w:val="FootnoteReference"/>
          <w:rFonts w:ascii="Arial" w:hAnsi="Arial" w:cs="Arial"/>
          <w:color w:val="000000" w:themeColor="text1"/>
          <w:sz w:val="22"/>
          <w:szCs w:val="22"/>
          <w:lang w:val="en-US"/>
        </w:rPr>
        <w:footnoteReference w:id="71"/>
      </w:r>
    </w:p>
    <w:p w14:paraId="78825E06" w14:textId="77777777" w:rsidR="00473AE8" w:rsidRPr="00EA0CBF" w:rsidRDefault="00473AE8" w:rsidP="00473AE8">
      <w:pPr>
        <w:pStyle w:val="c01pointnumerotealtn"/>
        <w:spacing w:after="240" w:afterAutospacing="0"/>
        <w:ind w:left="28"/>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If </w:t>
      </w:r>
      <w:r w:rsidRPr="00EA0CBF">
        <w:rPr>
          <w:rFonts w:ascii="Arial" w:hAnsi="Arial" w:cs="Arial"/>
          <w:color w:val="000000" w:themeColor="text1"/>
          <w:sz w:val="22"/>
          <w:szCs w:val="22"/>
        </w:rPr>
        <w:t xml:space="preserve">the objective of Article 203 of </w:t>
      </w:r>
      <w:r w:rsidRPr="00EA0CBF">
        <w:rPr>
          <w:rFonts w:ascii="Arial" w:hAnsi="Arial" w:cs="Arial"/>
          <w:color w:val="000000" w:themeColor="text1"/>
          <w:sz w:val="22"/>
          <w:szCs w:val="22"/>
          <w:lang w:val="en-US"/>
        </w:rPr>
        <w:t xml:space="preserve">the VAT </w:t>
      </w:r>
      <w:r w:rsidRPr="00EA0CBF">
        <w:rPr>
          <w:rFonts w:ascii="Arial" w:hAnsi="Arial" w:cs="Arial"/>
          <w:color w:val="000000" w:themeColor="text1"/>
          <w:sz w:val="22"/>
          <w:szCs w:val="22"/>
        </w:rPr>
        <w:t xml:space="preserve">Directive is to eliminate the risk of loss of tax revenue, </w:t>
      </w:r>
      <w:r w:rsidRPr="00EA0CBF">
        <w:rPr>
          <w:rFonts w:ascii="Arial" w:hAnsi="Arial" w:cs="Arial"/>
          <w:color w:val="000000" w:themeColor="text1"/>
          <w:sz w:val="22"/>
          <w:szCs w:val="22"/>
          <w:lang w:val="en-US"/>
        </w:rPr>
        <w:t xml:space="preserve">and if </w:t>
      </w:r>
      <w:r w:rsidRPr="00EA0CBF">
        <w:rPr>
          <w:rFonts w:ascii="Arial" w:hAnsi="Arial" w:cs="Arial"/>
          <w:color w:val="000000" w:themeColor="text1"/>
          <w:sz w:val="22"/>
          <w:szCs w:val="22"/>
        </w:rPr>
        <w:t xml:space="preserve">that risk may be avoided where the tax authorities have the information necessary to establish whether the substantive requirements for the right to deduct VAT have been met, </w:t>
      </w:r>
      <w:r w:rsidRPr="00EA0CBF">
        <w:rPr>
          <w:rFonts w:ascii="Arial" w:hAnsi="Arial" w:cs="Arial"/>
          <w:color w:val="000000" w:themeColor="text1"/>
          <w:sz w:val="22"/>
          <w:szCs w:val="22"/>
          <w:lang w:val="en-US"/>
        </w:rPr>
        <w:t xml:space="preserve">then the CJEU decides that it does not matter </w:t>
      </w:r>
      <w:r w:rsidRPr="00EA0CBF">
        <w:rPr>
          <w:rFonts w:ascii="Arial" w:hAnsi="Arial" w:cs="Arial"/>
          <w:color w:val="000000" w:themeColor="text1"/>
          <w:sz w:val="22"/>
          <w:szCs w:val="22"/>
        </w:rPr>
        <w:t>whether the VAT has been indicated in a document entitled ‘invoice’ or in another document, such as a contractual agreement concluded by the parties.</w:t>
      </w:r>
      <w:r w:rsidRPr="00EA0CBF">
        <w:rPr>
          <w:rStyle w:val="FootnoteReference"/>
          <w:rFonts w:ascii="Arial" w:hAnsi="Arial" w:cs="Arial"/>
          <w:color w:val="000000" w:themeColor="text1"/>
          <w:sz w:val="22"/>
          <w:szCs w:val="22"/>
        </w:rPr>
        <w:footnoteReference w:id="72"/>
      </w:r>
      <w:r w:rsidRPr="00EA0CBF">
        <w:rPr>
          <w:rFonts w:ascii="Arial" w:hAnsi="Arial" w:cs="Arial"/>
          <w:color w:val="000000" w:themeColor="text1"/>
          <w:sz w:val="22"/>
          <w:szCs w:val="22"/>
          <w:lang w:val="en-US"/>
        </w:rPr>
        <w:t xml:space="preserve"> It also finds that </w:t>
      </w:r>
      <w:proofErr w:type="spellStart"/>
      <w:r w:rsidRPr="00EA0CBF">
        <w:rPr>
          <w:rFonts w:ascii="Arial" w:hAnsi="Arial" w:cs="Arial"/>
          <w:color w:val="000000" w:themeColor="text1"/>
          <w:sz w:val="22"/>
          <w:szCs w:val="22"/>
          <w:lang w:val="en-US"/>
        </w:rPr>
        <w:t>i</w:t>
      </w:r>
      <w:proofErr w:type="spellEnd"/>
      <w:r w:rsidRPr="00EA0CBF">
        <w:rPr>
          <w:rFonts w:ascii="Arial" w:hAnsi="Arial" w:cs="Arial"/>
          <w:color w:val="000000" w:themeColor="text1"/>
          <w:sz w:val="22"/>
          <w:szCs w:val="22"/>
        </w:rPr>
        <w:t>t is not relevant</w:t>
      </w:r>
      <w:r w:rsidRPr="00EA0CBF">
        <w:rPr>
          <w:rFonts w:ascii="Arial" w:hAnsi="Arial" w:cs="Arial"/>
          <w:color w:val="000000" w:themeColor="text1"/>
          <w:sz w:val="22"/>
          <w:szCs w:val="22"/>
          <w:lang w:val="en-US"/>
        </w:rPr>
        <w:t xml:space="preserve"> </w:t>
      </w:r>
      <w:r w:rsidRPr="00EA0CBF">
        <w:rPr>
          <w:rFonts w:ascii="Arial" w:hAnsi="Arial" w:cs="Arial"/>
          <w:color w:val="000000" w:themeColor="text1"/>
          <w:sz w:val="22"/>
          <w:szCs w:val="22"/>
        </w:rPr>
        <w:t>to examine whether, assuming that the document in question is a contractual agreement, it objectively demonstrates the intention of the parties to that agreement that it constitutes an invoice which is capable of giving rise to an expectation on the part of a co-contractor that it will, on the basis of that agreement, be able to deduct input VAT.</w:t>
      </w:r>
      <w:r w:rsidRPr="00EA0CBF">
        <w:rPr>
          <w:rStyle w:val="FootnoteReference"/>
          <w:rFonts w:ascii="Arial" w:hAnsi="Arial" w:cs="Arial"/>
          <w:color w:val="000000" w:themeColor="text1"/>
          <w:sz w:val="22"/>
          <w:szCs w:val="22"/>
        </w:rPr>
        <w:footnoteReference w:id="73"/>
      </w:r>
    </w:p>
    <w:p w14:paraId="3C5E0BC9"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rPr>
      </w:pPr>
      <w:r w:rsidRPr="00EA0CBF">
        <w:rPr>
          <w:rFonts w:ascii="Arial" w:hAnsi="Arial" w:cs="Arial"/>
          <w:color w:val="000000" w:themeColor="text1"/>
          <w:sz w:val="22"/>
          <w:szCs w:val="22"/>
          <w:lang w:val="en-US"/>
        </w:rPr>
        <w:t xml:space="preserve">In the case at stake the CJEU thus decides that the </w:t>
      </w:r>
      <w:r w:rsidRPr="00EA0CBF">
        <w:rPr>
          <w:rFonts w:ascii="Arial" w:hAnsi="Arial" w:cs="Arial"/>
          <w:color w:val="000000" w:themeColor="text1"/>
          <w:sz w:val="22"/>
          <w:szCs w:val="22"/>
        </w:rPr>
        <w:t xml:space="preserve">referring court </w:t>
      </w:r>
      <w:r w:rsidRPr="00EA0CBF">
        <w:rPr>
          <w:rFonts w:ascii="Arial" w:hAnsi="Arial" w:cs="Arial"/>
          <w:color w:val="000000" w:themeColor="text1"/>
          <w:sz w:val="22"/>
          <w:szCs w:val="22"/>
          <w:lang w:val="en-US"/>
        </w:rPr>
        <w:t>must</w:t>
      </w:r>
      <w:r w:rsidRPr="00EA0CBF">
        <w:rPr>
          <w:rFonts w:ascii="Arial" w:hAnsi="Arial" w:cs="Arial"/>
          <w:color w:val="000000" w:themeColor="text1"/>
          <w:sz w:val="22"/>
          <w:szCs w:val="22"/>
        </w:rPr>
        <w:t xml:space="preserve"> assess, in the context of all the relevant circumstances at issue and, in particular, of all the provisions of the </w:t>
      </w:r>
      <w:r w:rsidRPr="00EA0CBF">
        <w:rPr>
          <w:rFonts w:ascii="Arial" w:hAnsi="Arial" w:cs="Arial"/>
          <w:color w:val="000000" w:themeColor="text1"/>
          <w:sz w:val="22"/>
          <w:szCs w:val="22"/>
          <w:lang w:val="en-US"/>
        </w:rPr>
        <w:t>financial lease</w:t>
      </w:r>
      <w:r w:rsidRPr="00EA0CBF">
        <w:rPr>
          <w:rFonts w:ascii="Arial" w:hAnsi="Arial" w:cs="Arial"/>
          <w:color w:val="000000" w:themeColor="text1"/>
          <w:sz w:val="22"/>
          <w:szCs w:val="22"/>
        </w:rPr>
        <w:t xml:space="preserve"> agreement, whether that agreement actually contains the information necessary in the present case for the tax authority to be able to establish whether the substantive conditions for the right to deduct input VAT are satisfied.</w:t>
      </w:r>
      <w:r w:rsidRPr="00EA0CBF">
        <w:rPr>
          <w:rStyle w:val="FootnoteReference"/>
          <w:rFonts w:ascii="Arial" w:hAnsi="Arial" w:cs="Arial"/>
          <w:color w:val="000000" w:themeColor="text1"/>
          <w:sz w:val="22"/>
          <w:szCs w:val="22"/>
        </w:rPr>
        <w:footnoteReference w:id="74"/>
      </w:r>
      <w:r w:rsidRPr="00EA0CBF">
        <w:rPr>
          <w:rFonts w:ascii="Arial" w:hAnsi="Arial" w:cs="Arial"/>
          <w:color w:val="000000" w:themeColor="text1"/>
          <w:sz w:val="22"/>
          <w:szCs w:val="22"/>
          <w:lang w:val="en-US"/>
        </w:rPr>
        <w:t xml:space="preserve"> The CJEU notes that </w:t>
      </w:r>
      <w:r w:rsidRPr="00EA0CBF">
        <w:rPr>
          <w:rFonts w:ascii="Arial" w:hAnsi="Arial" w:cs="Arial"/>
          <w:color w:val="000000" w:themeColor="text1"/>
          <w:sz w:val="22"/>
          <w:szCs w:val="22"/>
        </w:rPr>
        <w:t xml:space="preserve">the </w:t>
      </w:r>
      <w:r w:rsidRPr="00EA0CBF">
        <w:rPr>
          <w:rFonts w:ascii="Arial" w:hAnsi="Arial" w:cs="Arial"/>
          <w:color w:val="000000" w:themeColor="text1"/>
          <w:sz w:val="22"/>
          <w:szCs w:val="22"/>
          <w:lang w:val="en-US"/>
        </w:rPr>
        <w:t>financial lease</w:t>
      </w:r>
      <w:r w:rsidRPr="00EA0CBF">
        <w:rPr>
          <w:rFonts w:ascii="Arial" w:hAnsi="Arial" w:cs="Arial"/>
          <w:color w:val="000000" w:themeColor="text1"/>
          <w:sz w:val="22"/>
          <w:szCs w:val="22"/>
        </w:rPr>
        <w:t xml:space="preserve"> agreement </w:t>
      </w:r>
      <w:r w:rsidRPr="00EA0CBF">
        <w:rPr>
          <w:rFonts w:ascii="Arial" w:hAnsi="Arial" w:cs="Arial"/>
          <w:color w:val="000000" w:themeColor="text1"/>
          <w:sz w:val="22"/>
          <w:szCs w:val="22"/>
          <w:lang w:val="en-US"/>
        </w:rPr>
        <w:t xml:space="preserve">at stake </w:t>
      </w:r>
      <w:r w:rsidRPr="00EA0CBF">
        <w:rPr>
          <w:rFonts w:ascii="Arial" w:hAnsi="Arial" w:cs="Arial"/>
          <w:color w:val="000000" w:themeColor="text1"/>
          <w:sz w:val="22"/>
          <w:szCs w:val="22"/>
        </w:rPr>
        <w:t xml:space="preserve">indicated the amount of VAT but not the VAT rate, </w:t>
      </w:r>
      <w:r w:rsidRPr="00EA0CBF">
        <w:rPr>
          <w:rFonts w:ascii="Arial" w:hAnsi="Arial" w:cs="Arial"/>
          <w:color w:val="000000" w:themeColor="text1"/>
          <w:sz w:val="22"/>
          <w:szCs w:val="22"/>
          <w:lang w:val="en-US"/>
        </w:rPr>
        <w:t xml:space="preserve">and decides that </w:t>
      </w:r>
      <w:r w:rsidRPr="00EA0CBF">
        <w:rPr>
          <w:rFonts w:ascii="Arial" w:hAnsi="Arial" w:cs="Arial"/>
          <w:color w:val="000000" w:themeColor="text1"/>
          <w:sz w:val="22"/>
          <w:szCs w:val="22"/>
        </w:rPr>
        <w:t>it is for the referring court to ascertain whether that rate could nevertheless have been deduced from that agreement.</w:t>
      </w:r>
      <w:r w:rsidRPr="00EA0CBF">
        <w:rPr>
          <w:rStyle w:val="FootnoteReference"/>
          <w:rFonts w:ascii="Arial" w:hAnsi="Arial" w:cs="Arial"/>
          <w:color w:val="000000" w:themeColor="text1"/>
          <w:sz w:val="22"/>
          <w:szCs w:val="22"/>
        </w:rPr>
        <w:footnoteReference w:id="75"/>
      </w:r>
    </w:p>
    <w:p w14:paraId="7EF6F54F"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Based on the above the CJEU decides that:</w:t>
      </w:r>
    </w:p>
    <w:p w14:paraId="0EAA03AD" w14:textId="41E2EDD3" w:rsidR="00793CDD" w:rsidRPr="004259FB" w:rsidRDefault="00473AE8" w:rsidP="005D5DDB">
      <w:pPr>
        <w:pStyle w:val="c01pointnumerotealtn"/>
        <w:spacing w:after="240" w:afterAutospacing="0"/>
        <w:ind w:left="720"/>
        <w:jc w:val="both"/>
        <w:rPr>
          <w:rFonts w:ascii="Arial" w:hAnsi="Arial" w:cs="Arial"/>
          <w:color w:val="000000" w:themeColor="text1"/>
          <w:sz w:val="18"/>
          <w:szCs w:val="18"/>
        </w:rPr>
      </w:pPr>
      <w:r w:rsidRPr="00EA0CBF">
        <w:rPr>
          <w:rFonts w:ascii="Arial" w:hAnsi="Arial" w:cs="Arial"/>
          <w:color w:val="000000" w:themeColor="text1"/>
          <w:sz w:val="18"/>
          <w:szCs w:val="18"/>
          <w:lang w:val="en-US"/>
        </w:rPr>
        <w:t>“</w:t>
      </w:r>
      <w:r w:rsidRPr="004259FB">
        <w:rPr>
          <w:rFonts w:ascii="Arial" w:hAnsi="Arial" w:cs="Arial"/>
          <w:color w:val="000000" w:themeColor="text1"/>
          <w:sz w:val="18"/>
          <w:szCs w:val="18"/>
        </w:rPr>
        <w:t>Article 203 of Council Directive 2006/112/EC of 28 November 2006, on the common system of value added tax,</w:t>
      </w:r>
      <w:r w:rsidRPr="00EA0CBF">
        <w:rPr>
          <w:rFonts w:ascii="Arial" w:hAnsi="Arial" w:cs="Arial"/>
          <w:color w:val="000000" w:themeColor="text1"/>
          <w:sz w:val="18"/>
          <w:szCs w:val="18"/>
          <w:lang w:val="en-US"/>
        </w:rPr>
        <w:t xml:space="preserve"> </w:t>
      </w:r>
      <w:r w:rsidRPr="004259FB">
        <w:rPr>
          <w:rFonts w:ascii="Arial" w:hAnsi="Arial" w:cs="Arial"/>
          <w:color w:val="000000" w:themeColor="text1"/>
          <w:sz w:val="18"/>
          <w:szCs w:val="18"/>
        </w:rPr>
        <w:t>must be interpreted as meaning that a contractual sale-and-lease back agreement, the conclusion of which was not followed by the issue of an invoice by the parties, may be regarded as an invoice, within the meaning of that provision, where that contractual agreement contains all the information necessary for the tax authorities of a Member State to be able to establish whether the substantive conditions for the right to deduct value added tax are satisfied in the case, which is for the referring court to ascertain</w:t>
      </w:r>
      <w:r w:rsidRPr="00EA0CBF">
        <w:rPr>
          <w:rFonts w:ascii="Arial" w:hAnsi="Arial" w:cs="Arial"/>
          <w:color w:val="000000" w:themeColor="text1"/>
          <w:sz w:val="18"/>
          <w:szCs w:val="18"/>
          <w:lang w:val="en-US"/>
        </w:rPr>
        <w:t>”</w:t>
      </w:r>
      <w:r w:rsidRPr="004259FB">
        <w:rPr>
          <w:rFonts w:ascii="Arial" w:hAnsi="Arial" w:cs="Arial"/>
          <w:color w:val="000000" w:themeColor="text1"/>
          <w:sz w:val="18"/>
          <w:szCs w:val="18"/>
        </w:rPr>
        <w:t>.</w:t>
      </w:r>
    </w:p>
    <w:p w14:paraId="6E848453" w14:textId="77777777" w:rsidR="00473AE8" w:rsidRPr="00EA0CBF" w:rsidRDefault="00473AE8" w:rsidP="00473AE8">
      <w:pPr>
        <w:pStyle w:val="ListParagraph"/>
        <w:numPr>
          <w:ilvl w:val="1"/>
          <w:numId w:val="1"/>
        </w:numPr>
        <w:jc w:val="both"/>
        <w:rPr>
          <w:rFonts w:ascii="Arial" w:eastAsia="Times New Roman" w:hAnsi="Arial" w:cs="Arial"/>
          <w:b/>
          <w:bCs/>
          <w:color w:val="000000" w:themeColor="text1"/>
          <w:sz w:val="22"/>
          <w:szCs w:val="22"/>
          <w:shd w:val="clear" w:color="auto" w:fill="FFFFFF"/>
          <w:lang w:val="en-US" w:eastAsia="en-GB"/>
        </w:rPr>
      </w:pPr>
      <w:r w:rsidRPr="00793CDD">
        <w:rPr>
          <w:rFonts w:ascii="Arial" w:eastAsia="Times New Roman" w:hAnsi="Arial" w:cs="Arial"/>
          <w:b/>
          <w:bCs/>
          <w:color w:val="FF0000"/>
          <w:sz w:val="22"/>
          <w:szCs w:val="22"/>
          <w:shd w:val="clear" w:color="auto" w:fill="FFFFFF"/>
          <w:lang w:val="en-US" w:eastAsia="en-GB"/>
        </w:rPr>
        <w:t xml:space="preserve">Preliminary </w:t>
      </w:r>
      <w:r w:rsidRPr="00EA0CBF">
        <w:rPr>
          <w:rFonts w:ascii="Arial" w:eastAsia="Times New Roman" w:hAnsi="Arial" w:cs="Arial"/>
          <w:b/>
          <w:bCs/>
          <w:color w:val="000000" w:themeColor="text1"/>
          <w:sz w:val="22"/>
          <w:szCs w:val="22"/>
          <w:shd w:val="clear" w:color="auto" w:fill="FFFFFF"/>
          <w:lang w:val="en-US" w:eastAsia="en-GB"/>
        </w:rPr>
        <w:t xml:space="preserve">comments (to be discussed with panel members) </w:t>
      </w:r>
    </w:p>
    <w:p w14:paraId="6CD54C00" w14:textId="02366979"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In this case</w:t>
      </w:r>
      <w:r w:rsidR="005D5DDB">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 where there was no “proper invoice”</w:t>
      </w:r>
      <w:r w:rsidR="004A560F" w:rsidRPr="00EA0CBF">
        <w:rPr>
          <w:rFonts w:ascii="Arial" w:hAnsi="Arial" w:cs="Arial"/>
          <w:color w:val="000000" w:themeColor="text1"/>
          <w:sz w:val="22"/>
          <w:szCs w:val="22"/>
          <w:lang w:val="en-US"/>
        </w:rPr>
        <w:t xml:space="preserve"> but where an agreed price + VAT had been paid by </w:t>
      </w:r>
      <w:r w:rsidR="003123FE" w:rsidRPr="00EA0CBF">
        <w:rPr>
          <w:rFonts w:ascii="Arial" w:hAnsi="Arial" w:cs="Arial"/>
          <w:color w:val="000000" w:themeColor="text1"/>
          <w:sz w:val="22"/>
          <w:szCs w:val="22"/>
          <w:lang w:val="en-US"/>
        </w:rPr>
        <w:t>the lessee</w:t>
      </w:r>
      <w:r w:rsidRPr="00EA0CBF">
        <w:rPr>
          <w:rFonts w:ascii="Arial" w:hAnsi="Arial" w:cs="Arial"/>
          <w:color w:val="000000" w:themeColor="text1"/>
          <w:sz w:val="22"/>
          <w:szCs w:val="22"/>
          <w:lang w:val="en-US"/>
        </w:rPr>
        <w:t xml:space="preserve">, the CJEU thus decided that the contract concluded by the parties could validly be considered as playing the role of an invoice for the purpose of the exercise of the </w:t>
      </w:r>
      <w:r w:rsidR="003123FE" w:rsidRPr="00EA0CBF">
        <w:rPr>
          <w:rFonts w:ascii="Arial" w:hAnsi="Arial" w:cs="Arial"/>
          <w:color w:val="000000" w:themeColor="text1"/>
          <w:sz w:val="22"/>
          <w:szCs w:val="22"/>
          <w:lang w:val="en-US"/>
        </w:rPr>
        <w:t xml:space="preserve">lessee’s </w:t>
      </w:r>
      <w:r w:rsidRPr="00EA0CBF">
        <w:rPr>
          <w:rFonts w:ascii="Arial" w:hAnsi="Arial" w:cs="Arial"/>
          <w:color w:val="000000" w:themeColor="text1"/>
          <w:sz w:val="22"/>
          <w:szCs w:val="22"/>
          <w:lang w:val="en-US"/>
        </w:rPr>
        <w:t xml:space="preserve">right to deduct. The Court found that it is not necessary that the parties intended to consider the contract as playing that extra role, provided however that </w:t>
      </w:r>
      <w:r w:rsidR="00793CDD">
        <w:rPr>
          <w:rFonts w:ascii="Arial" w:hAnsi="Arial" w:cs="Arial"/>
          <w:color w:val="000000" w:themeColor="text1"/>
          <w:sz w:val="22"/>
          <w:szCs w:val="22"/>
          <w:lang w:val="en-US"/>
        </w:rPr>
        <w:t>the contract</w:t>
      </w:r>
      <w:r w:rsidRPr="00EA0CBF">
        <w:rPr>
          <w:rFonts w:ascii="Arial" w:hAnsi="Arial" w:cs="Arial"/>
          <w:color w:val="000000" w:themeColor="text1"/>
          <w:sz w:val="22"/>
          <w:szCs w:val="22"/>
          <w:lang w:val="en-US"/>
        </w:rPr>
        <w:t xml:space="preserve"> contains all necessary information to enable the tax authorities to verify that the substantive conditions for the deduction of the VAT are met. If, as was the case here, the VAT rate and the date of the supply were not explicitly indicated in the contract, this means that the national court must </w:t>
      </w:r>
      <w:r w:rsidRPr="00EA0CBF">
        <w:rPr>
          <w:rFonts w:ascii="Arial" w:hAnsi="Arial" w:cs="Arial"/>
          <w:color w:val="000000" w:themeColor="text1"/>
          <w:sz w:val="22"/>
          <w:szCs w:val="22"/>
          <w:lang w:val="en-US"/>
        </w:rPr>
        <w:lastRenderedPageBreak/>
        <w:t xml:space="preserve">determine on a </w:t>
      </w:r>
      <w:proofErr w:type="gramStart"/>
      <w:r w:rsidRPr="00EA0CBF">
        <w:rPr>
          <w:rFonts w:ascii="Arial" w:hAnsi="Arial" w:cs="Arial"/>
          <w:color w:val="000000" w:themeColor="text1"/>
          <w:sz w:val="22"/>
          <w:szCs w:val="22"/>
          <w:lang w:val="en-US"/>
        </w:rPr>
        <w:t>case by case</w:t>
      </w:r>
      <w:proofErr w:type="gramEnd"/>
      <w:r w:rsidRPr="00EA0CBF">
        <w:rPr>
          <w:rFonts w:ascii="Arial" w:hAnsi="Arial" w:cs="Arial"/>
          <w:color w:val="000000" w:themeColor="text1"/>
          <w:sz w:val="22"/>
          <w:szCs w:val="22"/>
          <w:lang w:val="en-US"/>
        </w:rPr>
        <w:t xml:space="preserve"> basis whether these elements can be “deduced” from the contract.</w:t>
      </w:r>
    </w:p>
    <w:p w14:paraId="4DD192E9" w14:textId="77777777"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This decision is in line with </w:t>
      </w:r>
      <w:r w:rsidRPr="00EA0CBF">
        <w:rPr>
          <w:rFonts w:ascii="Arial" w:hAnsi="Arial" w:cs="Arial"/>
          <w:color w:val="000000" w:themeColor="text1"/>
          <w:sz w:val="22"/>
          <w:szCs w:val="22"/>
        </w:rPr>
        <w:t xml:space="preserve">AG Rantos </w:t>
      </w:r>
      <w:r w:rsidRPr="00EA0CBF">
        <w:rPr>
          <w:rFonts w:ascii="Arial" w:hAnsi="Arial" w:cs="Arial"/>
          <w:color w:val="000000" w:themeColor="text1"/>
          <w:sz w:val="22"/>
          <w:szCs w:val="22"/>
          <w:lang w:val="en-US"/>
        </w:rPr>
        <w:t>Opinion</w:t>
      </w:r>
      <w:r w:rsidRPr="00EA0CBF">
        <w:rPr>
          <w:rFonts w:ascii="Arial" w:hAnsi="Arial" w:cs="Arial"/>
          <w:color w:val="000000" w:themeColor="text1"/>
          <w:sz w:val="22"/>
          <w:szCs w:val="22"/>
        </w:rPr>
        <w:t xml:space="preserve"> that</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 xml:space="preserve"> “</w:t>
      </w:r>
      <w:r w:rsidRPr="00EA0CBF">
        <w:rPr>
          <w:rFonts w:ascii="Arial" w:hAnsi="Arial" w:cs="Arial"/>
          <w:i/>
          <w:iCs/>
          <w:color w:val="000000" w:themeColor="text1"/>
          <w:sz w:val="22"/>
          <w:szCs w:val="22"/>
        </w:rPr>
        <w:t>it is quite conceivable that a lease agreement containing sufficient information to allow the tax authorities to monitor payment of the tax due and, if appropriate, the existence of the right to deduct VAT may, in exceptional cases, be regarded as an ‘invoice’ within the meaning of the VAT Directive</w:t>
      </w:r>
      <w:r w:rsidRPr="00EA0CBF">
        <w:rPr>
          <w:rFonts w:ascii="Arial" w:hAnsi="Arial" w:cs="Arial"/>
          <w:color w:val="000000" w:themeColor="text1"/>
          <w:sz w:val="22"/>
          <w:szCs w:val="22"/>
        </w:rPr>
        <w:t>”.</w:t>
      </w:r>
      <w:r w:rsidRPr="00EA0CBF">
        <w:rPr>
          <w:rFonts w:ascii="Arial" w:hAnsi="Arial" w:cs="Arial"/>
          <w:color w:val="000000" w:themeColor="text1"/>
          <w:sz w:val="22"/>
          <w:szCs w:val="22"/>
          <w:lang w:val="en-US"/>
        </w:rPr>
        <w:t xml:space="preserve"> </w:t>
      </w:r>
    </w:p>
    <w:p w14:paraId="546E2B21" w14:textId="766DD597" w:rsidR="00473AE8" w:rsidRPr="00EA0CBF" w:rsidRDefault="00473AE8"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It is also a priori not in contradiction with AG </w:t>
      </w:r>
      <w:proofErr w:type="spellStart"/>
      <w:r w:rsidRPr="00EA0CBF">
        <w:rPr>
          <w:rFonts w:ascii="Arial" w:hAnsi="Arial" w:cs="Arial"/>
          <w:color w:val="000000" w:themeColor="text1"/>
          <w:sz w:val="22"/>
          <w:szCs w:val="22"/>
          <w:lang w:val="en-US"/>
        </w:rPr>
        <w:t>Kokott’s</w:t>
      </w:r>
      <w:proofErr w:type="spellEnd"/>
      <w:r w:rsidRPr="00EA0CBF">
        <w:rPr>
          <w:rFonts w:ascii="Arial" w:hAnsi="Arial" w:cs="Arial"/>
          <w:color w:val="000000" w:themeColor="text1"/>
          <w:sz w:val="22"/>
          <w:szCs w:val="22"/>
          <w:lang w:val="en-US"/>
        </w:rPr>
        <w:t xml:space="preserve"> Opinion in the </w:t>
      </w:r>
      <w:proofErr w:type="spellStart"/>
      <w:r w:rsidRPr="00793CDD">
        <w:rPr>
          <w:rFonts w:ascii="Arial" w:hAnsi="Arial" w:cs="Arial"/>
          <w:i/>
          <w:iCs/>
          <w:color w:val="000000" w:themeColor="text1"/>
          <w:sz w:val="22"/>
          <w:szCs w:val="22"/>
          <w:lang w:val="en-US"/>
        </w:rPr>
        <w:t>Wilo</w:t>
      </w:r>
      <w:proofErr w:type="spellEnd"/>
      <w:r w:rsidRPr="00793CDD">
        <w:rPr>
          <w:rFonts w:ascii="Arial" w:hAnsi="Arial" w:cs="Arial"/>
          <w:i/>
          <w:iCs/>
          <w:color w:val="000000" w:themeColor="text1"/>
          <w:sz w:val="22"/>
          <w:szCs w:val="22"/>
          <w:lang w:val="en-US"/>
        </w:rPr>
        <w:t xml:space="preserve"> </w:t>
      </w:r>
      <w:proofErr w:type="spellStart"/>
      <w:r w:rsidRPr="00793CDD">
        <w:rPr>
          <w:rFonts w:ascii="Arial" w:hAnsi="Arial" w:cs="Arial"/>
          <w:i/>
          <w:iCs/>
          <w:color w:val="000000" w:themeColor="text1"/>
          <w:sz w:val="22"/>
          <w:szCs w:val="22"/>
          <w:lang w:val="en-US"/>
        </w:rPr>
        <w:t>Salmson</w:t>
      </w:r>
      <w:proofErr w:type="spellEnd"/>
      <w:r w:rsidRPr="00EA0CBF">
        <w:rPr>
          <w:rFonts w:ascii="Arial" w:hAnsi="Arial" w:cs="Arial"/>
          <w:color w:val="000000" w:themeColor="text1"/>
          <w:sz w:val="22"/>
          <w:szCs w:val="22"/>
          <w:lang w:val="en-US"/>
        </w:rPr>
        <w:t xml:space="preserve"> case that: “</w:t>
      </w:r>
      <w:r w:rsidRPr="00EA0CBF">
        <w:rPr>
          <w:rFonts w:ascii="Arial" w:hAnsi="Arial" w:cs="Arial"/>
          <w:i/>
          <w:iCs/>
          <w:color w:val="000000" w:themeColor="text1"/>
          <w:sz w:val="22"/>
          <w:szCs w:val="22"/>
        </w:rPr>
        <w:t>a document is in fact an invoice within the meaning of Article 178(a) of the VAT Directive if it enables both the recipient of the supply and the tax authorities to establish which supplier has charged which recipient of the supply which amount in VAT and for which transaction. That means it needs to state the supplier, the recipient of the supply, the goods or services supplied, the price and the VAT, which must be stated separately. If those five essential items of information are provided, the spirit and purpose of the invoice are fulfilled and the right of deduction ultimately arises</w:t>
      </w:r>
      <w:r w:rsidRPr="00EA0CBF">
        <w:rPr>
          <w:rFonts w:ascii="Arial" w:hAnsi="Arial" w:cs="Arial"/>
          <w:color w:val="000000" w:themeColor="text1"/>
          <w:sz w:val="22"/>
          <w:szCs w:val="22"/>
          <w:lang w:val="en-US"/>
        </w:rPr>
        <w:t>”</w:t>
      </w:r>
      <w:r w:rsidRPr="00EA0CBF">
        <w:rPr>
          <w:rFonts w:ascii="Arial" w:hAnsi="Arial" w:cs="Arial"/>
          <w:color w:val="000000" w:themeColor="text1"/>
          <w:sz w:val="22"/>
          <w:szCs w:val="22"/>
        </w:rPr>
        <w:t>.</w:t>
      </w:r>
      <w:r w:rsidRPr="00EA0CBF">
        <w:rPr>
          <w:rFonts w:ascii="Arial" w:hAnsi="Arial" w:cs="Arial"/>
          <w:color w:val="000000" w:themeColor="text1"/>
          <w:sz w:val="22"/>
          <w:szCs w:val="22"/>
          <w:lang w:val="en-US"/>
        </w:rPr>
        <w:t xml:space="preserve"> </w:t>
      </w:r>
      <w:r w:rsidR="003123FE" w:rsidRPr="00EA0CBF">
        <w:rPr>
          <w:rFonts w:ascii="Arial" w:hAnsi="Arial" w:cs="Arial"/>
          <w:color w:val="000000" w:themeColor="text1"/>
          <w:sz w:val="22"/>
          <w:szCs w:val="22"/>
          <w:lang w:val="en-US"/>
        </w:rPr>
        <w:t>(</w:t>
      </w:r>
      <w:r w:rsidRPr="00EA0CBF">
        <w:rPr>
          <w:rFonts w:ascii="Arial" w:hAnsi="Arial" w:cs="Arial"/>
          <w:color w:val="000000" w:themeColor="text1"/>
          <w:sz w:val="22"/>
          <w:szCs w:val="22"/>
          <w:lang w:val="en-US"/>
        </w:rPr>
        <w:t xml:space="preserve">I’m wondering however whether AG </w:t>
      </w:r>
      <w:proofErr w:type="spellStart"/>
      <w:r w:rsidRPr="00EA0CBF">
        <w:rPr>
          <w:rFonts w:ascii="Arial" w:hAnsi="Arial" w:cs="Arial"/>
          <w:color w:val="000000" w:themeColor="text1"/>
          <w:sz w:val="22"/>
          <w:szCs w:val="22"/>
          <w:lang w:val="en-US"/>
        </w:rPr>
        <w:t>Kokott</w:t>
      </w:r>
      <w:proofErr w:type="spellEnd"/>
      <w:r w:rsidRPr="00EA0CBF">
        <w:rPr>
          <w:rFonts w:ascii="Arial" w:hAnsi="Arial" w:cs="Arial"/>
          <w:color w:val="000000" w:themeColor="text1"/>
          <w:sz w:val="22"/>
          <w:szCs w:val="22"/>
          <w:lang w:val="en-US"/>
        </w:rPr>
        <w:t xml:space="preserve"> would have considered that the contract could amount to “an invoice” for the purpose of Article 178 of the VAT Directive…</w:t>
      </w:r>
      <w:r w:rsidR="003123FE" w:rsidRPr="00EA0CBF">
        <w:rPr>
          <w:rFonts w:ascii="Arial" w:hAnsi="Arial" w:cs="Arial"/>
          <w:color w:val="000000" w:themeColor="text1"/>
          <w:sz w:val="22"/>
          <w:szCs w:val="22"/>
          <w:lang w:val="en-US"/>
        </w:rPr>
        <w:t>).</w:t>
      </w:r>
    </w:p>
    <w:p w14:paraId="1371DBFB" w14:textId="3E95881F" w:rsidR="003123FE" w:rsidRPr="00EA0CBF" w:rsidRDefault="00FF402E" w:rsidP="00473AE8">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At first sight, the decision that a contract can be accepted as playing the role of an invoice for the purpose of the exercise of the right to deduct seems </w:t>
      </w:r>
      <w:r w:rsidR="00793CDD">
        <w:rPr>
          <w:rFonts w:ascii="Arial" w:hAnsi="Arial" w:cs="Arial"/>
          <w:color w:val="000000" w:themeColor="text1"/>
          <w:sz w:val="22"/>
          <w:szCs w:val="22"/>
          <w:lang w:val="en-US"/>
        </w:rPr>
        <w:t xml:space="preserve">somehow </w:t>
      </w:r>
      <w:r w:rsidRPr="00EA0CBF">
        <w:rPr>
          <w:rFonts w:ascii="Arial" w:hAnsi="Arial" w:cs="Arial"/>
          <w:color w:val="000000" w:themeColor="text1"/>
          <w:sz w:val="22"/>
          <w:szCs w:val="22"/>
          <w:lang w:val="en-US"/>
        </w:rPr>
        <w:t>surprising</w:t>
      </w:r>
      <w:r w:rsidR="00793CDD">
        <w:rPr>
          <w:rFonts w:ascii="Arial" w:hAnsi="Arial" w:cs="Arial"/>
          <w:color w:val="000000" w:themeColor="text1"/>
          <w:sz w:val="22"/>
          <w:szCs w:val="22"/>
          <w:lang w:val="en-US"/>
        </w:rPr>
        <w:t>, giving the importance of the invoice under the VAT system</w:t>
      </w:r>
      <w:r w:rsidRPr="00EA0CBF">
        <w:rPr>
          <w:rFonts w:ascii="Arial" w:hAnsi="Arial" w:cs="Arial"/>
          <w:color w:val="000000" w:themeColor="text1"/>
          <w:sz w:val="22"/>
          <w:szCs w:val="22"/>
          <w:lang w:val="en-US"/>
        </w:rPr>
        <w:t xml:space="preserve">. </w:t>
      </w:r>
      <w:proofErr w:type="gramStart"/>
      <w:r w:rsidRPr="00EA0CBF">
        <w:rPr>
          <w:rFonts w:ascii="Arial" w:hAnsi="Arial" w:cs="Arial"/>
          <w:color w:val="000000" w:themeColor="text1"/>
          <w:sz w:val="22"/>
          <w:szCs w:val="22"/>
          <w:lang w:val="en-US"/>
        </w:rPr>
        <w:t>Looking more closely at the decision, it</w:t>
      </w:r>
      <w:proofErr w:type="gramEnd"/>
      <w:r w:rsidRPr="00EA0CBF">
        <w:rPr>
          <w:rFonts w:ascii="Arial" w:hAnsi="Arial" w:cs="Arial"/>
          <w:color w:val="000000" w:themeColor="text1"/>
          <w:sz w:val="22"/>
          <w:szCs w:val="22"/>
          <w:lang w:val="en-US"/>
        </w:rPr>
        <w:t xml:space="preserve"> might be that i</w:t>
      </w:r>
      <w:r w:rsidR="003123FE" w:rsidRPr="00EA0CBF">
        <w:rPr>
          <w:rFonts w:ascii="Arial" w:hAnsi="Arial" w:cs="Arial"/>
          <w:color w:val="000000" w:themeColor="text1"/>
          <w:sz w:val="22"/>
          <w:szCs w:val="22"/>
          <w:lang w:val="en-US"/>
        </w:rPr>
        <w:t xml:space="preserve">t </w:t>
      </w:r>
      <w:r w:rsidRPr="00EA0CBF">
        <w:rPr>
          <w:rFonts w:ascii="Arial" w:hAnsi="Arial" w:cs="Arial"/>
          <w:color w:val="000000" w:themeColor="text1"/>
          <w:sz w:val="22"/>
          <w:szCs w:val="22"/>
          <w:lang w:val="en-US"/>
        </w:rPr>
        <w:t xml:space="preserve">should </w:t>
      </w:r>
      <w:r w:rsidR="005E1D7B" w:rsidRPr="00EA0CBF">
        <w:rPr>
          <w:rFonts w:ascii="Arial" w:hAnsi="Arial" w:cs="Arial"/>
          <w:color w:val="000000" w:themeColor="text1"/>
          <w:sz w:val="22"/>
          <w:szCs w:val="22"/>
          <w:lang w:val="en-US"/>
        </w:rPr>
        <w:t xml:space="preserve">in fact </w:t>
      </w:r>
      <w:r w:rsidRPr="00EA0CBF">
        <w:rPr>
          <w:rFonts w:ascii="Arial" w:hAnsi="Arial" w:cs="Arial"/>
          <w:color w:val="000000" w:themeColor="text1"/>
          <w:sz w:val="22"/>
          <w:szCs w:val="22"/>
          <w:lang w:val="en-US"/>
        </w:rPr>
        <w:t xml:space="preserve">be interpreted </w:t>
      </w:r>
      <w:r w:rsidR="005E1D7B" w:rsidRPr="00EA0CBF">
        <w:rPr>
          <w:rFonts w:ascii="Arial" w:hAnsi="Arial" w:cs="Arial"/>
          <w:color w:val="000000" w:themeColor="text1"/>
          <w:sz w:val="22"/>
          <w:szCs w:val="22"/>
          <w:lang w:val="en-US"/>
        </w:rPr>
        <w:t xml:space="preserve">as applying </w:t>
      </w:r>
      <w:r w:rsidRPr="00EA0CBF">
        <w:rPr>
          <w:rFonts w:ascii="Arial" w:hAnsi="Arial" w:cs="Arial"/>
          <w:color w:val="000000" w:themeColor="text1"/>
          <w:sz w:val="22"/>
          <w:szCs w:val="22"/>
          <w:lang w:val="en-US"/>
        </w:rPr>
        <w:t xml:space="preserve">strictly </w:t>
      </w:r>
      <w:r w:rsidR="003123FE" w:rsidRPr="00EA0CBF">
        <w:rPr>
          <w:rFonts w:ascii="Arial" w:hAnsi="Arial" w:cs="Arial"/>
          <w:color w:val="000000" w:themeColor="text1"/>
          <w:sz w:val="22"/>
          <w:szCs w:val="22"/>
          <w:lang w:val="en-US"/>
        </w:rPr>
        <w:t xml:space="preserve">to leasing </w:t>
      </w:r>
      <w:r w:rsidR="005D5DDB">
        <w:rPr>
          <w:rFonts w:ascii="Arial" w:hAnsi="Arial" w:cs="Arial"/>
          <w:color w:val="000000" w:themeColor="text1"/>
          <w:sz w:val="22"/>
          <w:szCs w:val="22"/>
          <w:lang w:val="en-US"/>
        </w:rPr>
        <w:t>(</w:t>
      </w:r>
      <w:r w:rsidR="003123FE" w:rsidRPr="00EA0CBF">
        <w:rPr>
          <w:rFonts w:ascii="Arial" w:hAnsi="Arial" w:cs="Arial"/>
          <w:color w:val="000000" w:themeColor="text1"/>
          <w:sz w:val="22"/>
          <w:szCs w:val="22"/>
          <w:lang w:val="en-US"/>
        </w:rPr>
        <w:t xml:space="preserve">and </w:t>
      </w:r>
      <w:r w:rsidR="00221FC7" w:rsidRPr="00EA0CBF">
        <w:rPr>
          <w:rFonts w:ascii="Arial" w:hAnsi="Arial" w:cs="Arial"/>
          <w:color w:val="000000" w:themeColor="text1"/>
          <w:sz w:val="22"/>
          <w:szCs w:val="22"/>
          <w:lang w:val="en-US"/>
        </w:rPr>
        <w:t>other rental</w:t>
      </w:r>
      <w:r w:rsidR="005D5DDB">
        <w:rPr>
          <w:rFonts w:ascii="Arial" w:hAnsi="Arial" w:cs="Arial"/>
          <w:color w:val="000000" w:themeColor="text1"/>
          <w:sz w:val="22"/>
          <w:szCs w:val="22"/>
          <w:lang w:val="en-US"/>
        </w:rPr>
        <w:t>)</w:t>
      </w:r>
      <w:r w:rsidR="00221FC7" w:rsidRPr="00EA0CBF">
        <w:rPr>
          <w:rFonts w:ascii="Arial" w:hAnsi="Arial" w:cs="Arial"/>
          <w:color w:val="000000" w:themeColor="text1"/>
          <w:sz w:val="22"/>
          <w:szCs w:val="22"/>
          <w:lang w:val="en-US"/>
        </w:rPr>
        <w:t xml:space="preserve"> agreements</w:t>
      </w:r>
      <w:r w:rsidRPr="00EA0CBF">
        <w:rPr>
          <w:rFonts w:ascii="Arial" w:hAnsi="Arial" w:cs="Arial"/>
          <w:color w:val="000000" w:themeColor="text1"/>
          <w:sz w:val="22"/>
          <w:szCs w:val="22"/>
          <w:lang w:val="en-US"/>
        </w:rPr>
        <w:t xml:space="preserve">. In this case indeed it seems important to highlight that the contract was a financial lease agreement </w:t>
      </w:r>
      <w:r w:rsidR="003123FE" w:rsidRPr="00EA0CBF">
        <w:rPr>
          <w:rFonts w:ascii="Arial" w:hAnsi="Arial" w:cs="Arial"/>
          <w:color w:val="000000" w:themeColor="text1"/>
          <w:sz w:val="22"/>
          <w:szCs w:val="22"/>
          <w:lang w:val="en-US"/>
        </w:rPr>
        <w:t>under which</w:t>
      </w:r>
      <w:r w:rsidRPr="00EA0CBF">
        <w:rPr>
          <w:rFonts w:ascii="Arial" w:hAnsi="Arial" w:cs="Arial"/>
          <w:color w:val="000000" w:themeColor="text1"/>
          <w:sz w:val="22"/>
          <w:szCs w:val="22"/>
          <w:lang w:val="en-US"/>
        </w:rPr>
        <w:t xml:space="preserve"> periodical payments are made by the client during a given </w:t>
      </w:r>
      <w:proofErr w:type="gramStart"/>
      <w:r w:rsidRPr="00EA0CBF">
        <w:rPr>
          <w:rFonts w:ascii="Arial" w:hAnsi="Arial" w:cs="Arial"/>
          <w:color w:val="000000" w:themeColor="text1"/>
          <w:sz w:val="22"/>
          <w:szCs w:val="22"/>
          <w:lang w:val="en-US"/>
        </w:rPr>
        <w:t>period of time</w:t>
      </w:r>
      <w:proofErr w:type="gramEnd"/>
      <w:r w:rsidRPr="00EA0CBF">
        <w:rPr>
          <w:rFonts w:ascii="Arial" w:hAnsi="Arial" w:cs="Arial"/>
          <w:color w:val="000000" w:themeColor="text1"/>
          <w:sz w:val="22"/>
          <w:szCs w:val="22"/>
          <w:lang w:val="en-US"/>
        </w:rPr>
        <w:t xml:space="preserve">. </w:t>
      </w:r>
      <w:r w:rsidR="005D5DDB">
        <w:rPr>
          <w:rFonts w:ascii="Arial" w:hAnsi="Arial" w:cs="Arial"/>
          <w:color w:val="000000" w:themeColor="text1"/>
          <w:sz w:val="22"/>
          <w:szCs w:val="22"/>
          <w:lang w:val="en-US"/>
        </w:rPr>
        <w:t>Under</w:t>
      </w:r>
      <w:r w:rsidRPr="00EA0CBF">
        <w:rPr>
          <w:rFonts w:ascii="Arial" w:hAnsi="Arial" w:cs="Arial"/>
          <w:color w:val="000000" w:themeColor="text1"/>
          <w:sz w:val="22"/>
          <w:szCs w:val="22"/>
          <w:lang w:val="en-US"/>
        </w:rPr>
        <w:t xml:space="preserve"> this kind of continuous contract (or any other type of agreement with periodical payments), </w:t>
      </w:r>
      <w:r w:rsidR="003123FE" w:rsidRPr="00EA0CBF">
        <w:rPr>
          <w:rFonts w:ascii="Arial" w:hAnsi="Arial" w:cs="Arial"/>
          <w:color w:val="000000" w:themeColor="text1"/>
          <w:sz w:val="22"/>
          <w:szCs w:val="22"/>
          <w:lang w:val="en-US"/>
        </w:rPr>
        <w:t>invoices may not always be issued</w:t>
      </w:r>
      <w:r w:rsidR="00313C3F" w:rsidRPr="00EA0CBF">
        <w:rPr>
          <w:rFonts w:ascii="Arial" w:hAnsi="Arial" w:cs="Arial"/>
          <w:color w:val="000000" w:themeColor="text1"/>
          <w:sz w:val="22"/>
          <w:szCs w:val="22"/>
          <w:lang w:val="en-US"/>
        </w:rPr>
        <w:t xml:space="preserve"> even if the customer is a taxable person</w:t>
      </w:r>
      <w:r w:rsidR="003123FE" w:rsidRPr="00EA0CBF">
        <w:rPr>
          <w:rFonts w:ascii="Arial" w:hAnsi="Arial" w:cs="Arial"/>
          <w:color w:val="000000" w:themeColor="text1"/>
          <w:sz w:val="22"/>
          <w:szCs w:val="22"/>
          <w:lang w:val="en-US"/>
        </w:rPr>
        <w:t xml:space="preserve">, and in this case </w:t>
      </w:r>
      <w:r w:rsidRPr="00EA0CBF">
        <w:rPr>
          <w:rFonts w:ascii="Arial" w:hAnsi="Arial" w:cs="Arial"/>
          <w:color w:val="000000" w:themeColor="text1"/>
          <w:sz w:val="22"/>
          <w:szCs w:val="22"/>
          <w:lang w:val="en-US"/>
        </w:rPr>
        <w:t xml:space="preserve">the decision that the contract itself can play the role of the invoice is </w:t>
      </w:r>
      <w:r w:rsidR="005D5DDB">
        <w:rPr>
          <w:rFonts w:ascii="Arial" w:hAnsi="Arial" w:cs="Arial"/>
          <w:color w:val="000000" w:themeColor="text1"/>
          <w:sz w:val="22"/>
          <w:szCs w:val="22"/>
          <w:lang w:val="en-US"/>
        </w:rPr>
        <w:t>perhaps</w:t>
      </w:r>
      <w:r w:rsidR="003123FE" w:rsidRPr="00EA0CBF">
        <w:rPr>
          <w:rFonts w:ascii="Arial" w:hAnsi="Arial" w:cs="Arial"/>
          <w:color w:val="000000" w:themeColor="text1"/>
          <w:sz w:val="22"/>
          <w:szCs w:val="22"/>
          <w:lang w:val="en-US"/>
        </w:rPr>
        <w:t xml:space="preserve"> not so</w:t>
      </w:r>
      <w:r w:rsidRPr="00EA0CBF">
        <w:rPr>
          <w:rFonts w:ascii="Arial" w:hAnsi="Arial" w:cs="Arial"/>
          <w:color w:val="000000" w:themeColor="text1"/>
          <w:sz w:val="22"/>
          <w:szCs w:val="22"/>
          <w:lang w:val="en-US"/>
        </w:rPr>
        <w:t xml:space="preserve"> surprising</w:t>
      </w:r>
      <w:r w:rsidR="003123FE" w:rsidRPr="00EA0CBF">
        <w:rPr>
          <w:rFonts w:ascii="Arial" w:hAnsi="Arial" w:cs="Arial"/>
          <w:color w:val="000000" w:themeColor="text1"/>
          <w:sz w:val="22"/>
          <w:szCs w:val="22"/>
          <w:lang w:val="en-US"/>
        </w:rPr>
        <w:t xml:space="preserve"> after all (</w:t>
      </w:r>
      <w:r w:rsidR="00313C3F" w:rsidRPr="00EA0CBF">
        <w:rPr>
          <w:rFonts w:ascii="Arial" w:hAnsi="Arial" w:cs="Arial"/>
          <w:color w:val="000000" w:themeColor="text1"/>
          <w:sz w:val="22"/>
          <w:szCs w:val="22"/>
          <w:lang w:val="en-US"/>
        </w:rPr>
        <w:t xml:space="preserve">but </w:t>
      </w:r>
      <w:r w:rsidR="003123FE" w:rsidRPr="00EA0CBF">
        <w:rPr>
          <w:rFonts w:ascii="Arial" w:hAnsi="Arial" w:cs="Arial"/>
          <w:color w:val="000000" w:themeColor="text1"/>
          <w:sz w:val="22"/>
          <w:szCs w:val="22"/>
          <w:lang w:val="en-US"/>
        </w:rPr>
        <w:t>in this case the CJEU should have insisted on the fact that the nature of the contract had an impact on its decision)</w:t>
      </w:r>
      <w:r w:rsidRPr="00EA0CBF">
        <w:rPr>
          <w:rFonts w:ascii="Arial" w:hAnsi="Arial" w:cs="Arial"/>
          <w:color w:val="000000" w:themeColor="text1"/>
          <w:sz w:val="22"/>
          <w:szCs w:val="22"/>
          <w:lang w:val="en-US"/>
        </w:rPr>
        <w:t>.</w:t>
      </w:r>
    </w:p>
    <w:p w14:paraId="699D91D8" w14:textId="1A2DA530" w:rsidR="009D4DD6" w:rsidRDefault="003123FE" w:rsidP="00793CDD">
      <w:pPr>
        <w:pStyle w:val="c01pointnumerotealtn"/>
        <w:spacing w:after="240" w:afterAutospacing="0"/>
        <w:jc w:val="both"/>
        <w:rPr>
          <w:rFonts w:ascii="Arial" w:hAnsi="Arial" w:cs="Arial"/>
          <w:color w:val="000000" w:themeColor="text1"/>
          <w:sz w:val="22"/>
          <w:szCs w:val="22"/>
          <w:lang w:val="en-US"/>
        </w:rPr>
      </w:pPr>
      <w:r w:rsidRPr="00EA0CBF">
        <w:rPr>
          <w:rFonts w:ascii="Arial" w:hAnsi="Arial" w:cs="Arial"/>
          <w:color w:val="000000" w:themeColor="text1"/>
          <w:sz w:val="22"/>
          <w:szCs w:val="22"/>
          <w:lang w:val="en-US"/>
        </w:rPr>
        <w:t xml:space="preserve">In contrast I would </w:t>
      </w:r>
      <w:r w:rsidR="005E1D7B" w:rsidRPr="00EA0CBF">
        <w:rPr>
          <w:rFonts w:ascii="Arial" w:hAnsi="Arial" w:cs="Arial"/>
          <w:color w:val="000000" w:themeColor="text1"/>
          <w:sz w:val="22"/>
          <w:szCs w:val="22"/>
          <w:lang w:val="en-US"/>
        </w:rPr>
        <w:t xml:space="preserve">not </w:t>
      </w:r>
      <w:r w:rsidRPr="00EA0CBF">
        <w:rPr>
          <w:rFonts w:ascii="Arial" w:hAnsi="Arial" w:cs="Arial"/>
          <w:color w:val="000000" w:themeColor="text1"/>
          <w:sz w:val="22"/>
          <w:szCs w:val="22"/>
          <w:lang w:val="en-US"/>
        </w:rPr>
        <w:t xml:space="preserve">be </w:t>
      </w:r>
      <w:r w:rsidR="005E1D7B" w:rsidRPr="00EA0CBF">
        <w:rPr>
          <w:rFonts w:ascii="Arial" w:hAnsi="Arial" w:cs="Arial"/>
          <w:color w:val="000000" w:themeColor="text1"/>
          <w:sz w:val="22"/>
          <w:szCs w:val="22"/>
          <w:lang w:val="en-US"/>
        </w:rPr>
        <w:t>inclined</w:t>
      </w:r>
      <w:r w:rsidRPr="00EA0CBF">
        <w:rPr>
          <w:rFonts w:ascii="Arial" w:hAnsi="Arial" w:cs="Arial"/>
          <w:color w:val="000000" w:themeColor="text1"/>
          <w:sz w:val="22"/>
          <w:szCs w:val="22"/>
          <w:lang w:val="en-US"/>
        </w:rPr>
        <w:t xml:space="preserve"> to interpret the CJEU decision as possibly applying by analogy to any other types of contracts. A broad interpretation would not in my opinion, be appropriate. As much as </w:t>
      </w:r>
      <w:r w:rsidR="00473AE8" w:rsidRPr="00EA0CBF">
        <w:rPr>
          <w:rFonts w:ascii="Arial" w:hAnsi="Arial" w:cs="Arial"/>
          <w:color w:val="000000" w:themeColor="text1"/>
          <w:sz w:val="22"/>
          <w:szCs w:val="22"/>
          <w:lang w:val="en-US"/>
        </w:rPr>
        <w:t>Article 203 of the VAT Directive is necessary to protect VAT revenue because the issuer of an invoice mentioning VAT puts at the disposal of its client a document that will enable it to deduct VAT</w:t>
      </w:r>
      <w:r w:rsidRPr="00EA0CBF">
        <w:rPr>
          <w:rFonts w:ascii="Arial" w:hAnsi="Arial" w:cs="Arial"/>
          <w:color w:val="000000" w:themeColor="text1"/>
          <w:sz w:val="22"/>
          <w:szCs w:val="22"/>
          <w:lang w:val="en-US"/>
        </w:rPr>
        <w:t>, I would not understand how this liability can be</w:t>
      </w:r>
      <w:r w:rsidR="00473AE8" w:rsidRPr="00EA0CBF">
        <w:rPr>
          <w:rFonts w:ascii="Arial" w:hAnsi="Arial" w:cs="Arial"/>
          <w:color w:val="000000" w:themeColor="text1"/>
          <w:sz w:val="22"/>
          <w:szCs w:val="22"/>
          <w:lang w:val="en-US"/>
        </w:rPr>
        <w:t xml:space="preserve"> extend</w:t>
      </w:r>
      <w:r w:rsidRPr="00EA0CBF">
        <w:rPr>
          <w:rFonts w:ascii="Arial" w:hAnsi="Arial" w:cs="Arial"/>
          <w:color w:val="000000" w:themeColor="text1"/>
          <w:sz w:val="22"/>
          <w:szCs w:val="22"/>
          <w:lang w:val="en-US"/>
        </w:rPr>
        <w:t>ed</w:t>
      </w:r>
      <w:r w:rsidR="00473AE8" w:rsidRPr="00EA0CBF">
        <w:rPr>
          <w:rFonts w:ascii="Arial" w:hAnsi="Arial" w:cs="Arial"/>
          <w:color w:val="000000" w:themeColor="text1"/>
          <w:sz w:val="22"/>
          <w:szCs w:val="22"/>
          <w:lang w:val="en-US"/>
        </w:rPr>
        <w:t xml:space="preserve"> to </w:t>
      </w:r>
      <w:r w:rsidRPr="00EA0CBF">
        <w:rPr>
          <w:rFonts w:ascii="Arial" w:hAnsi="Arial" w:cs="Arial"/>
          <w:color w:val="000000" w:themeColor="text1"/>
          <w:sz w:val="22"/>
          <w:szCs w:val="22"/>
          <w:lang w:val="en-US"/>
        </w:rPr>
        <w:t>all cases where a contract has been signed that foresees the payment of an amount + VAT by one party to the other.</w:t>
      </w:r>
    </w:p>
    <w:p w14:paraId="4178FD37" w14:textId="77777777" w:rsidR="005D5DDB" w:rsidRDefault="005D5DDB" w:rsidP="009D4DD6">
      <w:pPr>
        <w:pStyle w:val="c01pointnumerotealtn"/>
        <w:spacing w:after="240" w:afterAutospacing="0"/>
        <w:jc w:val="center"/>
        <w:rPr>
          <w:rFonts w:ascii="Arial" w:hAnsi="Arial" w:cs="Arial"/>
          <w:color w:val="000000" w:themeColor="text1"/>
          <w:sz w:val="22"/>
          <w:szCs w:val="22"/>
          <w:lang w:val="en-US"/>
        </w:rPr>
      </w:pPr>
    </w:p>
    <w:p w14:paraId="221DE7EA" w14:textId="6426D9A8" w:rsidR="009D4DD6" w:rsidRDefault="009D4DD6" w:rsidP="009D4DD6">
      <w:pPr>
        <w:pStyle w:val="c01pointnumerotealtn"/>
        <w:spacing w:after="240" w:afterAutospacing="0"/>
        <w:jc w:val="center"/>
        <w:rPr>
          <w:rFonts w:ascii="Arial" w:hAnsi="Arial" w:cs="Arial"/>
          <w:color w:val="000000" w:themeColor="text1"/>
          <w:sz w:val="22"/>
          <w:szCs w:val="22"/>
          <w:lang w:val="en-US"/>
        </w:rPr>
      </w:pPr>
      <w:r>
        <w:rPr>
          <w:rFonts w:ascii="Arial" w:hAnsi="Arial" w:cs="Arial"/>
          <w:color w:val="000000" w:themeColor="text1"/>
          <w:sz w:val="22"/>
          <w:szCs w:val="22"/>
          <w:lang w:val="en-US"/>
        </w:rPr>
        <w:t>*</w:t>
      </w:r>
    </w:p>
    <w:p w14:paraId="2573E016" w14:textId="3786DEB5" w:rsidR="009D4DD6" w:rsidRPr="00793CDD" w:rsidRDefault="009D4DD6" w:rsidP="009D4DD6">
      <w:pPr>
        <w:pStyle w:val="c01pointnumerotealtn"/>
        <w:spacing w:after="240" w:afterAutospacing="0"/>
        <w:jc w:val="center"/>
        <w:rPr>
          <w:rFonts w:ascii="Arial" w:hAnsi="Arial" w:cs="Arial"/>
          <w:color w:val="000000" w:themeColor="text1"/>
          <w:sz w:val="22"/>
          <w:szCs w:val="22"/>
          <w:lang w:val="en-US"/>
        </w:rPr>
      </w:pPr>
      <w:r>
        <w:rPr>
          <w:rFonts w:ascii="Arial" w:hAnsi="Arial" w:cs="Arial"/>
          <w:color w:val="000000" w:themeColor="text1"/>
          <w:sz w:val="22"/>
          <w:szCs w:val="22"/>
          <w:lang w:val="en-US"/>
        </w:rPr>
        <w:t>*</w:t>
      </w:r>
      <w:r>
        <w:rPr>
          <w:rFonts w:ascii="Arial" w:hAnsi="Arial" w:cs="Arial"/>
          <w:color w:val="000000" w:themeColor="text1"/>
          <w:sz w:val="22"/>
          <w:szCs w:val="22"/>
          <w:lang w:val="en-US"/>
        </w:rPr>
        <w:tab/>
        <w:t>*</w:t>
      </w:r>
    </w:p>
    <w:sectPr w:rsidR="009D4DD6" w:rsidRPr="00793CDD">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B16A" w14:textId="77777777" w:rsidR="00CD5BF2" w:rsidRDefault="00CD5BF2" w:rsidP="00013DD2">
      <w:r>
        <w:separator/>
      </w:r>
    </w:p>
  </w:endnote>
  <w:endnote w:type="continuationSeparator" w:id="0">
    <w:p w14:paraId="477848CB" w14:textId="77777777" w:rsidR="00CD5BF2" w:rsidRDefault="00CD5BF2" w:rsidP="0001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9327338"/>
      <w:docPartObj>
        <w:docPartGallery w:val="Page Numbers (Bottom of Page)"/>
        <w:docPartUnique/>
      </w:docPartObj>
    </w:sdtPr>
    <w:sdtContent>
      <w:p w14:paraId="381D6780" w14:textId="5224F843" w:rsidR="00F8415B" w:rsidRDefault="00F8415B" w:rsidP="00F135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AD0ECC" w14:textId="77777777" w:rsidR="00F8415B" w:rsidRDefault="00F8415B" w:rsidP="00F841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4560067"/>
      <w:docPartObj>
        <w:docPartGallery w:val="Page Numbers (Bottom of Page)"/>
        <w:docPartUnique/>
      </w:docPartObj>
    </w:sdtPr>
    <w:sdtContent>
      <w:p w14:paraId="4FE53544" w14:textId="1994B017" w:rsidR="00F8415B" w:rsidRDefault="00F8415B" w:rsidP="00F135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D86C82" w14:textId="77777777" w:rsidR="00F8415B" w:rsidRDefault="00F8415B" w:rsidP="00F8415B">
    <w:pPr>
      <w:pStyle w:val="Footer"/>
      <w:ind w:right="360"/>
      <w:rPr>
        <w:lang w:val="nl-NL"/>
      </w:rPr>
    </w:pPr>
  </w:p>
  <w:p w14:paraId="0FF1F233" w14:textId="42C44211" w:rsidR="00F8415B" w:rsidRPr="00F8415B" w:rsidRDefault="00F8415B" w:rsidP="00F8415B">
    <w:pPr>
      <w:pStyle w:val="Footer"/>
      <w:ind w:right="360"/>
      <w:rPr>
        <w:sz w:val="20"/>
        <w:szCs w:val="20"/>
        <w:lang w:val="nl-NL"/>
      </w:rPr>
    </w:pPr>
    <w:r w:rsidRPr="00F8415B">
      <w:rPr>
        <w:sz w:val="20"/>
        <w:szCs w:val="20"/>
        <w:lang w:val="nl-NL"/>
      </w:rPr>
      <w:t xml:space="preserve">Prof. </w:t>
    </w:r>
    <w:proofErr w:type="spellStart"/>
    <w:r w:rsidRPr="00F8415B">
      <w:rPr>
        <w:sz w:val="20"/>
        <w:szCs w:val="20"/>
        <w:lang w:val="nl-NL"/>
      </w:rPr>
      <w:t>Dr</w:t>
    </w:r>
    <w:proofErr w:type="spellEnd"/>
    <w:r w:rsidRPr="00F8415B">
      <w:rPr>
        <w:sz w:val="20"/>
        <w:szCs w:val="20"/>
        <w:lang w:val="nl-NL"/>
      </w:rPr>
      <w:t xml:space="preserve"> Marie </w:t>
    </w:r>
    <w:proofErr w:type="spellStart"/>
    <w:r w:rsidRPr="00F8415B">
      <w:rPr>
        <w:sz w:val="20"/>
        <w:szCs w:val="20"/>
        <w:lang w:val="nl-NL"/>
      </w:rPr>
      <w:t>Lamensch</w:t>
    </w:r>
    <w:proofErr w:type="spellEnd"/>
    <w:r w:rsidRPr="00F8415B">
      <w:rPr>
        <w:sz w:val="20"/>
        <w:szCs w:val="20"/>
        <w:lang w:val="nl-NL"/>
      </w:rPr>
      <w:t xml:space="preserve"> </w:t>
    </w:r>
  </w:p>
  <w:p w14:paraId="4CBA0925" w14:textId="77777777" w:rsidR="00F8415B" w:rsidRPr="00F8415B" w:rsidRDefault="00F8415B" w:rsidP="00F8415B">
    <w:pPr>
      <w:pStyle w:val="Footer"/>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C1CE" w14:textId="77777777" w:rsidR="00CD5BF2" w:rsidRDefault="00CD5BF2" w:rsidP="00013DD2">
      <w:r>
        <w:separator/>
      </w:r>
    </w:p>
  </w:footnote>
  <w:footnote w:type="continuationSeparator" w:id="0">
    <w:p w14:paraId="5012DD22" w14:textId="77777777" w:rsidR="00CD5BF2" w:rsidRDefault="00CD5BF2" w:rsidP="00013DD2">
      <w:r>
        <w:continuationSeparator/>
      </w:r>
    </w:p>
  </w:footnote>
  <w:footnote w:id="1">
    <w:p w14:paraId="44C52844" w14:textId="7A361764" w:rsidR="00E37ACC" w:rsidRPr="00E37ACC" w:rsidRDefault="00E37ACC">
      <w:pPr>
        <w:pStyle w:val="FootnoteText"/>
        <w:rPr>
          <w:rFonts w:ascii="Arial" w:hAnsi="Arial" w:cs="Arial"/>
          <w:sz w:val="18"/>
          <w:szCs w:val="18"/>
          <w:lang w:val="en-US"/>
        </w:rPr>
      </w:pPr>
      <w:r w:rsidRPr="00E37ACC">
        <w:rPr>
          <w:rStyle w:val="FootnoteReference"/>
          <w:rFonts w:ascii="Arial" w:hAnsi="Arial" w:cs="Arial"/>
          <w:color w:val="000000" w:themeColor="text1"/>
          <w:sz w:val="18"/>
          <w:szCs w:val="18"/>
        </w:rPr>
        <w:footnoteRef/>
      </w:r>
      <w:r w:rsidRPr="00E37ACC">
        <w:rPr>
          <w:rFonts w:ascii="Arial" w:hAnsi="Arial" w:cs="Arial"/>
          <w:color w:val="000000" w:themeColor="text1"/>
          <w:sz w:val="18"/>
          <w:szCs w:val="18"/>
        </w:rPr>
        <w:t xml:space="preserve"> </w:t>
      </w:r>
      <w:r w:rsidRPr="00E37ACC">
        <w:rPr>
          <w:rFonts w:ascii="Arial" w:hAnsi="Arial" w:cs="Arial"/>
          <w:color w:val="000000" w:themeColor="text1"/>
          <w:sz w:val="18"/>
          <w:szCs w:val="18"/>
          <w:lang w:val="en-US"/>
        </w:rPr>
        <w:t xml:space="preserve">CJEU, Judgment of 6 October 2022, </w:t>
      </w:r>
      <w:r w:rsidRPr="00E37ACC">
        <w:rPr>
          <w:rFonts w:ascii="Arial" w:hAnsi="Arial" w:cs="Arial"/>
          <w:color w:val="000000" w:themeColor="text1"/>
          <w:sz w:val="18"/>
          <w:szCs w:val="18"/>
        </w:rPr>
        <w:t>UAB ‘Vittamed technologijos</w:t>
      </w:r>
      <w:r w:rsidRPr="00E37ACC">
        <w:rPr>
          <w:rFonts w:ascii="Arial" w:hAnsi="Arial" w:cs="Arial"/>
          <w:color w:val="000000" w:themeColor="text1"/>
          <w:sz w:val="18"/>
          <w:szCs w:val="18"/>
          <w:lang w:val="en-US"/>
        </w:rPr>
        <w:t xml:space="preserve">, </w:t>
      </w:r>
      <w:r>
        <w:rPr>
          <w:rFonts w:ascii="Arial" w:hAnsi="Arial" w:cs="Arial"/>
          <w:color w:val="000000" w:themeColor="text1"/>
          <w:sz w:val="18"/>
          <w:szCs w:val="18"/>
          <w:lang w:val="en-US"/>
        </w:rPr>
        <w:t xml:space="preserve">C-293/21; </w:t>
      </w:r>
      <w:r w:rsidRPr="00E37ACC">
        <w:rPr>
          <w:rFonts w:ascii="Arial" w:hAnsi="Arial" w:cs="Arial"/>
          <w:color w:val="000000" w:themeColor="text1"/>
          <w:sz w:val="18"/>
          <w:szCs w:val="18"/>
        </w:rPr>
        <w:t>ECLI:EU:C:2022:763</w:t>
      </w:r>
      <w:r w:rsidRPr="00E37ACC">
        <w:rPr>
          <w:rFonts w:ascii="Arial" w:hAnsi="Arial" w:cs="Arial"/>
          <w:color w:val="000000" w:themeColor="text1"/>
          <w:sz w:val="18"/>
          <w:szCs w:val="18"/>
          <w:lang w:val="en-US"/>
        </w:rPr>
        <w:t>.</w:t>
      </w:r>
    </w:p>
  </w:footnote>
  <w:footnote w:id="2">
    <w:p w14:paraId="3E7215C5"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40 and reference to </w:t>
      </w:r>
      <w:r w:rsidRPr="00A2527D">
        <w:rPr>
          <w:rFonts w:ascii="Arial" w:eastAsia="Times New Roman" w:hAnsi="Arial" w:cs="Arial"/>
          <w:color w:val="000000"/>
          <w:sz w:val="18"/>
          <w:szCs w:val="18"/>
          <w:lang w:eastAsia="en-GB"/>
        </w:rPr>
        <w:t>judgment of 12 April 2018, Biosafe – Indústria de Reciclagens, C</w:t>
      </w:r>
      <w:r w:rsidRPr="00A2527D">
        <w:rPr>
          <w:rFonts w:ascii="Arial" w:eastAsia="Times New Roman" w:hAnsi="Arial" w:cs="Arial"/>
          <w:color w:val="000000"/>
          <w:sz w:val="18"/>
          <w:szCs w:val="18"/>
          <w:lang w:eastAsia="en-GB"/>
        </w:rPr>
        <w:noBreakHyphen/>
        <w:t>8/17, EU:C:2018:249, paragraph 29 and the case-law cited</w:t>
      </w:r>
      <w:r w:rsidRPr="00A2527D">
        <w:rPr>
          <w:rFonts w:ascii="Arial" w:eastAsia="Times New Roman" w:hAnsi="Arial" w:cs="Arial"/>
          <w:color w:val="000000"/>
          <w:sz w:val="18"/>
          <w:szCs w:val="18"/>
          <w:lang w:val="en-US" w:eastAsia="en-GB"/>
        </w:rPr>
        <w:t>.</w:t>
      </w:r>
    </w:p>
  </w:footnote>
  <w:footnote w:id="3">
    <w:p w14:paraId="39B9F611" w14:textId="74C9BF03"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41 and reference to </w:t>
      </w:r>
      <w:r w:rsidRPr="00A2527D">
        <w:rPr>
          <w:rFonts w:ascii="Arial" w:eastAsia="Times New Roman" w:hAnsi="Arial" w:cs="Arial"/>
          <w:color w:val="000000"/>
          <w:sz w:val="18"/>
          <w:szCs w:val="18"/>
          <w:lang w:eastAsia="en-GB"/>
        </w:rPr>
        <w:t>judgment of 9 July 2020, Finanzamt Bad Neuenahr-Ahrweiler, C</w:t>
      </w:r>
      <w:r w:rsidRPr="00A2527D">
        <w:rPr>
          <w:rFonts w:ascii="Arial" w:eastAsia="Times New Roman" w:hAnsi="Arial" w:cs="Arial"/>
          <w:color w:val="000000"/>
          <w:sz w:val="18"/>
          <w:szCs w:val="18"/>
          <w:lang w:eastAsia="en-GB"/>
        </w:rPr>
        <w:noBreakHyphen/>
        <w:t>374/19, EU:C:2020:546, paragraph 21 and the case-law cited</w:t>
      </w:r>
      <w:r w:rsidRPr="00A2527D">
        <w:rPr>
          <w:rFonts w:ascii="Arial" w:eastAsia="Times New Roman" w:hAnsi="Arial" w:cs="Arial"/>
          <w:color w:val="000000"/>
          <w:sz w:val="18"/>
          <w:szCs w:val="18"/>
          <w:lang w:val="en-US" w:eastAsia="en-GB"/>
        </w:rPr>
        <w:t>.</w:t>
      </w:r>
    </w:p>
  </w:footnote>
  <w:footnote w:id="4">
    <w:p w14:paraId="2E21B94D" w14:textId="7AB1DED5"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42 and reference to </w:t>
      </w:r>
      <w:r w:rsidRPr="00A2527D">
        <w:rPr>
          <w:rFonts w:ascii="Arial" w:eastAsia="Times New Roman" w:hAnsi="Arial" w:cs="Arial"/>
          <w:color w:val="000000"/>
          <w:sz w:val="18"/>
          <w:szCs w:val="18"/>
          <w:lang w:eastAsia="en-GB"/>
        </w:rPr>
        <w:t>judgment of 12 November 2020, ITH Comercial Timișoara, C</w:t>
      </w:r>
      <w:r w:rsidRPr="00A2527D">
        <w:rPr>
          <w:rFonts w:ascii="Arial" w:eastAsia="Times New Roman" w:hAnsi="Arial" w:cs="Arial"/>
          <w:color w:val="000000"/>
          <w:sz w:val="18"/>
          <w:szCs w:val="18"/>
          <w:lang w:eastAsia="en-GB"/>
        </w:rPr>
        <w:noBreakHyphen/>
        <w:t>734/19, EU:C:2020:919, paragraph 33 and the case-law cited</w:t>
      </w:r>
      <w:r w:rsidRPr="00A2527D">
        <w:rPr>
          <w:rFonts w:ascii="Arial" w:eastAsia="Times New Roman" w:hAnsi="Arial" w:cs="Arial"/>
          <w:color w:val="000000"/>
          <w:sz w:val="18"/>
          <w:szCs w:val="18"/>
          <w:lang w:val="en-US" w:eastAsia="en-GB"/>
        </w:rPr>
        <w:t>.</w:t>
      </w:r>
    </w:p>
  </w:footnote>
  <w:footnote w:id="5">
    <w:p w14:paraId="5ECE919E" w14:textId="29F7203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43 and reference to </w:t>
      </w:r>
      <w:r w:rsidRPr="00A2527D">
        <w:rPr>
          <w:rFonts w:ascii="Arial" w:eastAsia="Times New Roman" w:hAnsi="Arial" w:cs="Arial"/>
          <w:color w:val="000000"/>
          <w:sz w:val="18"/>
          <w:szCs w:val="18"/>
          <w:lang w:eastAsia="en-GB"/>
        </w:rPr>
        <w:t>judgments of 29 February 1996, INZO, C</w:t>
      </w:r>
      <w:r w:rsidRPr="00A2527D">
        <w:rPr>
          <w:rFonts w:ascii="Arial" w:eastAsia="Times New Roman" w:hAnsi="Arial" w:cs="Arial"/>
          <w:color w:val="000000"/>
          <w:sz w:val="18"/>
          <w:szCs w:val="18"/>
          <w:lang w:eastAsia="en-GB"/>
        </w:rPr>
        <w:noBreakHyphen/>
        <w:t>110/94, EU:C:1996:67, paragraph 20, and of 17 October 2018, Ryanair, C</w:t>
      </w:r>
      <w:r w:rsidRPr="00A2527D">
        <w:rPr>
          <w:rFonts w:ascii="Arial" w:eastAsia="Times New Roman" w:hAnsi="Arial" w:cs="Arial"/>
          <w:color w:val="000000"/>
          <w:sz w:val="18"/>
          <w:szCs w:val="18"/>
          <w:lang w:eastAsia="en-GB"/>
        </w:rPr>
        <w:noBreakHyphen/>
        <w:t>249/17, EU:C:2018:834, paragraph 25</w:t>
      </w:r>
      <w:r w:rsidR="00FD758A" w:rsidRPr="00FD758A">
        <w:rPr>
          <w:rFonts w:ascii="Arial" w:eastAsia="Times New Roman" w:hAnsi="Arial" w:cs="Arial"/>
          <w:color w:val="000000"/>
          <w:sz w:val="18"/>
          <w:szCs w:val="18"/>
          <w:lang w:val="en-US" w:eastAsia="en-GB"/>
        </w:rPr>
        <w:t xml:space="preserve">; </w:t>
      </w:r>
      <w:r w:rsidRPr="00A2527D">
        <w:rPr>
          <w:rFonts w:ascii="Arial" w:eastAsia="Times New Roman" w:hAnsi="Arial" w:cs="Arial"/>
          <w:color w:val="000000"/>
          <w:sz w:val="18"/>
          <w:szCs w:val="18"/>
          <w:lang w:eastAsia="en-GB"/>
        </w:rPr>
        <w:t>judgments of 15 January 1998, Ghent Coal Terminal, C</w:t>
      </w:r>
      <w:r w:rsidRPr="00A2527D">
        <w:rPr>
          <w:rFonts w:ascii="Arial" w:eastAsia="Times New Roman" w:hAnsi="Arial" w:cs="Arial"/>
          <w:color w:val="000000"/>
          <w:sz w:val="18"/>
          <w:szCs w:val="18"/>
          <w:lang w:eastAsia="en-GB"/>
        </w:rPr>
        <w:noBreakHyphen/>
        <w:t>37/95, EU:C:1998:1, paragraph 20; of 17 October 2018, Ryanair, C</w:t>
      </w:r>
      <w:r w:rsidRPr="00A2527D">
        <w:rPr>
          <w:rFonts w:ascii="Arial" w:eastAsia="Times New Roman" w:hAnsi="Arial" w:cs="Arial"/>
          <w:color w:val="000000"/>
          <w:sz w:val="18"/>
          <w:szCs w:val="18"/>
          <w:lang w:eastAsia="en-GB"/>
        </w:rPr>
        <w:noBreakHyphen/>
        <w:t>249/17, EU:C:2018:834, paragraph 25; and of 12 November 2020, ITH Comercial Timişoara, C</w:t>
      </w:r>
      <w:r w:rsidRPr="00A2527D">
        <w:rPr>
          <w:rFonts w:ascii="Arial" w:eastAsia="Times New Roman" w:hAnsi="Arial" w:cs="Arial"/>
          <w:color w:val="000000"/>
          <w:sz w:val="18"/>
          <w:szCs w:val="18"/>
          <w:lang w:eastAsia="en-GB"/>
        </w:rPr>
        <w:noBreakHyphen/>
        <w:t>734/19, EU:C:2020:919, paragraph 34</w:t>
      </w:r>
      <w:r w:rsidRPr="00A2527D">
        <w:rPr>
          <w:rFonts w:ascii="Arial" w:eastAsia="Times New Roman" w:hAnsi="Arial" w:cs="Arial"/>
          <w:color w:val="000000"/>
          <w:sz w:val="18"/>
          <w:szCs w:val="18"/>
          <w:lang w:val="en-US" w:eastAsia="en-GB"/>
        </w:rPr>
        <w:t>.</w:t>
      </w:r>
      <w:r w:rsidR="009D4BFA">
        <w:rPr>
          <w:rFonts w:ascii="Arial" w:eastAsia="Times New Roman" w:hAnsi="Arial" w:cs="Arial"/>
          <w:color w:val="000000"/>
          <w:sz w:val="18"/>
          <w:szCs w:val="18"/>
          <w:lang w:val="en-US" w:eastAsia="en-GB"/>
        </w:rPr>
        <w:t xml:space="preserve"> See also </w:t>
      </w:r>
      <w:r w:rsidR="009D4BFA" w:rsidRPr="00A2527D">
        <w:rPr>
          <w:rFonts w:ascii="Arial" w:hAnsi="Arial" w:cs="Arial"/>
          <w:sz w:val="18"/>
          <w:szCs w:val="18"/>
          <w:lang w:val="en-US"/>
        </w:rPr>
        <w:t>Court decision para</w:t>
      </w:r>
      <w:r w:rsidR="009D4BFA">
        <w:rPr>
          <w:rFonts w:ascii="Arial" w:hAnsi="Arial" w:cs="Arial"/>
          <w:sz w:val="18"/>
          <w:szCs w:val="18"/>
          <w:lang w:val="en-US"/>
        </w:rPr>
        <w:t>graph</w:t>
      </w:r>
      <w:r w:rsidR="009D4BFA" w:rsidRPr="00A2527D">
        <w:rPr>
          <w:rFonts w:ascii="Arial" w:hAnsi="Arial" w:cs="Arial"/>
          <w:sz w:val="18"/>
          <w:szCs w:val="18"/>
          <w:lang w:val="en-US"/>
        </w:rPr>
        <w:t xml:space="preserve"> 44 and reference to </w:t>
      </w:r>
      <w:r w:rsidR="009D4BFA" w:rsidRPr="00A2527D">
        <w:rPr>
          <w:rFonts w:ascii="Arial" w:eastAsia="Times New Roman" w:hAnsi="Arial" w:cs="Arial"/>
          <w:color w:val="000000"/>
          <w:sz w:val="18"/>
          <w:szCs w:val="18"/>
          <w:lang w:eastAsia="en-GB"/>
        </w:rPr>
        <w:t>judgments of 29 February 1996, INZO, C</w:t>
      </w:r>
      <w:r w:rsidR="009D4BFA" w:rsidRPr="00A2527D">
        <w:rPr>
          <w:rFonts w:ascii="Arial" w:eastAsia="Times New Roman" w:hAnsi="Arial" w:cs="Arial"/>
          <w:color w:val="000000"/>
          <w:sz w:val="18"/>
          <w:szCs w:val="18"/>
          <w:lang w:eastAsia="en-GB"/>
        </w:rPr>
        <w:noBreakHyphen/>
        <w:t>110/94, EU:C:1996:67, paragraph 22, and of 17 October 2018, Ryanair, C</w:t>
      </w:r>
      <w:r w:rsidR="009D4BFA" w:rsidRPr="00A2527D">
        <w:rPr>
          <w:rFonts w:ascii="Arial" w:eastAsia="Times New Roman" w:hAnsi="Arial" w:cs="Arial"/>
          <w:color w:val="000000"/>
          <w:sz w:val="18"/>
          <w:szCs w:val="18"/>
          <w:lang w:eastAsia="en-GB"/>
        </w:rPr>
        <w:noBreakHyphen/>
        <w:t>249/17,</w:t>
      </w:r>
      <w:r w:rsidR="00FD758A" w:rsidRPr="00FD758A">
        <w:rPr>
          <w:rFonts w:ascii="Arial" w:eastAsia="Times New Roman" w:hAnsi="Arial" w:cs="Arial"/>
          <w:color w:val="000000"/>
          <w:sz w:val="18"/>
          <w:szCs w:val="18"/>
          <w:lang w:val="en-US" w:eastAsia="en-GB"/>
        </w:rPr>
        <w:t xml:space="preserve"> </w:t>
      </w:r>
      <w:r w:rsidR="009D4BFA" w:rsidRPr="00A2527D">
        <w:rPr>
          <w:rFonts w:ascii="Arial" w:eastAsia="Times New Roman" w:hAnsi="Arial" w:cs="Arial"/>
          <w:color w:val="000000"/>
          <w:sz w:val="18"/>
          <w:szCs w:val="18"/>
          <w:lang w:eastAsia="en-GB"/>
        </w:rPr>
        <w:t>EU:C:2018:834, paragraph 25)</w:t>
      </w:r>
      <w:r w:rsidR="009D4BFA" w:rsidRPr="00A2527D">
        <w:rPr>
          <w:rFonts w:ascii="Arial" w:eastAsia="Times New Roman" w:hAnsi="Arial" w:cs="Arial"/>
          <w:color w:val="000000"/>
          <w:sz w:val="18"/>
          <w:szCs w:val="18"/>
          <w:lang w:val="en-US" w:eastAsia="en-GB"/>
        </w:rPr>
        <w:t>.</w:t>
      </w:r>
    </w:p>
  </w:footnote>
  <w:footnote w:id="6">
    <w:p w14:paraId="05A462B0" w14:textId="77438339"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FD758A" w:rsidRPr="00FD758A">
        <w:rPr>
          <w:rFonts w:ascii="Arial" w:hAnsi="Arial" w:cs="Arial"/>
          <w:sz w:val="18"/>
          <w:szCs w:val="18"/>
          <w:lang w:val="en-US"/>
        </w:rPr>
        <w:t xml:space="preserve">CJEU, </w:t>
      </w:r>
      <w:r w:rsidRPr="00A2527D">
        <w:rPr>
          <w:rFonts w:ascii="Arial" w:eastAsia="Times New Roman" w:hAnsi="Arial" w:cs="Arial"/>
          <w:color w:val="000000"/>
          <w:sz w:val="18"/>
          <w:szCs w:val="18"/>
          <w:lang w:val="en-US" w:eastAsia="en-GB"/>
        </w:rPr>
        <w:t>J</w:t>
      </w:r>
      <w:r w:rsidRPr="00A2527D">
        <w:rPr>
          <w:rFonts w:ascii="Arial" w:eastAsia="Times New Roman" w:hAnsi="Arial" w:cs="Arial"/>
          <w:color w:val="000000"/>
          <w:sz w:val="18"/>
          <w:szCs w:val="18"/>
          <w:lang w:eastAsia="en-GB"/>
        </w:rPr>
        <w:t>udgment of 29 February 1996, INZO (C</w:t>
      </w:r>
      <w:r w:rsidRPr="00A2527D">
        <w:rPr>
          <w:rFonts w:ascii="Arial" w:eastAsia="Times New Roman" w:hAnsi="Arial" w:cs="Arial"/>
          <w:color w:val="000000"/>
          <w:sz w:val="18"/>
          <w:szCs w:val="18"/>
          <w:lang w:eastAsia="en-GB"/>
        </w:rPr>
        <w:noBreakHyphen/>
        <w:t>110/94, EU:C:1996:67)</w:t>
      </w:r>
      <w:r w:rsidRPr="00A2527D">
        <w:rPr>
          <w:rFonts w:ascii="Arial" w:eastAsia="Times New Roman" w:hAnsi="Arial" w:cs="Arial"/>
          <w:color w:val="000000"/>
          <w:sz w:val="18"/>
          <w:szCs w:val="18"/>
          <w:lang w:val="en-US" w:eastAsia="en-GB"/>
        </w:rPr>
        <w:t>.</w:t>
      </w:r>
    </w:p>
  </w:footnote>
  <w:footnote w:id="7">
    <w:p w14:paraId="183B2439" w14:textId="740E171E" w:rsidR="00B54DD7" w:rsidRPr="00FD758A" w:rsidRDefault="00B54DD7">
      <w:pPr>
        <w:pStyle w:val="FootnoteText"/>
        <w:rPr>
          <w:lang w:val="en-US"/>
        </w:rPr>
      </w:pPr>
      <w:r>
        <w:rPr>
          <w:rStyle w:val="FootnoteReference"/>
        </w:rPr>
        <w:footnoteRef/>
      </w:r>
      <w:r>
        <w:t xml:space="preserve"> </w:t>
      </w:r>
      <w:r w:rsidRPr="00B54DD7">
        <w:rPr>
          <w:lang w:val="en-US"/>
        </w:rPr>
        <w:t xml:space="preserve">CJEU, </w:t>
      </w:r>
      <w:r w:rsidRPr="00A2527D">
        <w:rPr>
          <w:rFonts w:ascii="Arial" w:eastAsia="Times New Roman" w:hAnsi="Arial" w:cs="Arial"/>
          <w:color w:val="000000"/>
          <w:sz w:val="18"/>
          <w:szCs w:val="18"/>
          <w:lang w:val="en-US" w:eastAsia="en-GB"/>
        </w:rPr>
        <w:t>O</w:t>
      </w:r>
      <w:r w:rsidRPr="00A2527D">
        <w:rPr>
          <w:rFonts w:ascii="Arial" w:eastAsia="Times New Roman" w:hAnsi="Arial" w:cs="Arial"/>
          <w:color w:val="000000"/>
          <w:sz w:val="18"/>
          <w:szCs w:val="18"/>
          <w:lang w:eastAsia="en-GB"/>
        </w:rPr>
        <w:t>rder of 18 May 2021, Skellefteå Industrihus, C</w:t>
      </w:r>
      <w:r w:rsidRPr="00A2527D">
        <w:rPr>
          <w:rFonts w:ascii="Arial" w:eastAsia="Times New Roman" w:hAnsi="Arial" w:cs="Arial"/>
          <w:color w:val="000000"/>
          <w:sz w:val="18"/>
          <w:szCs w:val="18"/>
          <w:lang w:eastAsia="en-GB"/>
        </w:rPr>
        <w:noBreakHyphen/>
        <w:t>248/20, EU:C:2021:394</w:t>
      </w:r>
      <w:r w:rsidR="00FD758A" w:rsidRPr="00FD758A">
        <w:rPr>
          <w:rFonts w:ascii="Arial" w:eastAsia="Times New Roman" w:hAnsi="Arial" w:cs="Arial"/>
          <w:color w:val="000000"/>
          <w:sz w:val="18"/>
          <w:szCs w:val="18"/>
          <w:lang w:val="en-US" w:eastAsia="en-GB"/>
        </w:rPr>
        <w:t>.</w:t>
      </w:r>
    </w:p>
  </w:footnote>
  <w:footnote w:id="8">
    <w:p w14:paraId="7CA2BB3D" w14:textId="503C51E1" w:rsidR="00AB738A" w:rsidRPr="00FD758A" w:rsidRDefault="00AB738A" w:rsidP="00AB738A">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w:t>
      </w:r>
      <w:r w:rsidRPr="00A2527D">
        <w:rPr>
          <w:rFonts w:ascii="Arial" w:eastAsia="Times New Roman" w:hAnsi="Arial" w:cs="Arial"/>
          <w:color w:val="000000"/>
          <w:sz w:val="18"/>
          <w:szCs w:val="18"/>
          <w:lang w:val="en-US" w:eastAsia="en-GB"/>
        </w:rPr>
        <w:t xml:space="preserve">45 </w:t>
      </w:r>
      <w:r>
        <w:rPr>
          <w:rFonts w:ascii="Arial" w:eastAsia="Times New Roman" w:hAnsi="Arial" w:cs="Arial"/>
          <w:color w:val="000000"/>
          <w:sz w:val="18"/>
          <w:szCs w:val="18"/>
          <w:lang w:val="en-US" w:eastAsia="en-GB"/>
        </w:rPr>
        <w:t xml:space="preserve">to 48 </w:t>
      </w:r>
      <w:r w:rsidRPr="00A2527D">
        <w:rPr>
          <w:rFonts w:ascii="Arial" w:eastAsia="Times New Roman" w:hAnsi="Arial" w:cs="Arial"/>
          <w:color w:val="000000"/>
          <w:sz w:val="18"/>
          <w:szCs w:val="18"/>
          <w:lang w:val="en-US" w:eastAsia="en-GB"/>
        </w:rPr>
        <w:t>with reference to the O</w:t>
      </w:r>
      <w:r w:rsidRPr="00A2527D">
        <w:rPr>
          <w:rFonts w:ascii="Arial" w:eastAsia="Times New Roman" w:hAnsi="Arial" w:cs="Arial"/>
          <w:color w:val="000000"/>
          <w:sz w:val="18"/>
          <w:szCs w:val="18"/>
          <w:lang w:eastAsia="en-GB"/>
        </w:rPr>
        <w:t>rder of 18 May 2021, Skellefteå Industrihus,</w:t>
      </w:r>
      <w:r w:rsidR="00FD758A" w:rsidRPr="00FD758A">
        <w:rPr>
          <w:rFonts w:ascii="Arial" w:eastAsia="Times New Roman" w:hAnsi="Arial" w:cs="Arial"/>
          <w:color w:val="000000"/>
          <w:sz w:val="18"/>
          <w:szCs w:val="18"/>
          <w:lang w:val="en-US" w:eastAsia="en-GB"/>
        </w:rPr>
        <w:t xml:space="preserve"> </w:t>
      </w:r>
      <w:r w:rsidRPr="00A2527D">
        <w:rPr>
          <w:rFonts w:ascii="Arial" w:eastAsia="Times New Roman" w:hAnsi="Arial" w:cs="Arial"/>
          <w:color w:val="000000"/>
          <w:sz w:val="18"/>
          <w:szCs w:val="18"/>
          <w:lang w:eastAsia="en-GB"/>
        </w:rPr>
        <w:t>C</w:t>
      </w:r>
      <w:r w:rsidRPr="00A2527D">
        <w:rPr>
          <w:rFonts w:ascii="Arial" w:eastAsia="Times New Roman" w:hAnsi="Arial" w:cs="Arial"/>
          <w:color w:val="000000"/>
          <w:sz w:val="18"/>
          <w:szCs w:val="18"/>
          <w:lang w:eastAsia="en-GB"/>
        </w:rPr>
        <w:noBreakHyphen/>
        <w:t>248/20, EU:C:2021:394, paragraph 42</w:t>
      </w:r>
      <w:r w:rsidRPr="00AB738A">
        <w:rPr>
          <w:rFonts w:ascii="Arial" w:eastAsia="Times New Roman" w:hAnsi="Arial" w:cs="Arial"/>
          <w:color w:val="000000"/>
          <w:sz w:val="18"/>
          <w:szCs w:val="18"/>
          <w:lang w:val="en-US" w:eastAsia="en-GB"/>
        </w:rPr>
        <w:t>, 45</w:t>
      </w:r>
      <w:r>
        <w:rPr>
          <w:rFonts w:ascii="Arial" w:eastAsia="Times New Roman" w:hAnsi="Arial" w:cs="Arial"/>
          <w:color w:val="000000"/>
          <w:sz w:val="18"/>
          <w:szCs w:val="18"/>
          <w:lang w:val="en-US" w:eastAsia="en-GB"/>
        </w:rPr>
        <w:t xml:space="preserve"> and 46</w:t>
      </w:r>
      <w:r w:rsidRPr="00A2527D">
        <w:rPr>
          <w:rFonts w:ascii="Arial" w:eastAsia="Times New Roman" w:hAnsi="Arial" w:cs="Arial"/>
          <w:color w:val="000000"/>
          <w:sz w:val="18"/>
          <w:szCs w:val="18"/>
          <w:lang w:eastAsia="en-GB"/>
        </w:rPr>
        <w:t xml:space="preserve"> and the case-law cited</w:t>
      </w:r>
      <w:r w:rsidR="00FD758A" w:rsidRPr="00FD758A">
        <w:rPr>
          <w:rFonts w:ascii="Arial" w:eastAsia="Times New Roman" w:hAnsi="Arial" w:cs="Arial"/>
          <w:color w:val="000000"/>
          <w:sz w:val="18"/>
          <w:szCs w:val="18"/>
          <w:lang w:val="en-US" w:eastAsia="en-GB"/>
        </w:rPr>
        <w:t>.</w:t>
      </w:r>
    </w:p>
  </w:footnote>
  <w:footnote w:id="9">
    <w:p w14:paraId="61DF168C" w14:textId="4EC37AF3" w:rsidR="00473AE8" w:rsidRPr="00A2527D" w:rsidRDefault="00473AE8" w:rsidP="006F3DE8">
      <w:pPr>
        <w:pStyle w:val="FootnoteText"/>
        <w:rPr>
          <w:rFonts w:ascii="Arial" w:eastAsia="Times New Roman" w:hAnsi="Arial" w:cs="Arial"/>
          <w:color w:val="000000"/>
          <w:sz w:val="18"/>
          <w:szCs w:val="18"/>
          <w:lang w:val="en-US" w:eastAsia="en-GB"/>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eastAsia="Times New Roman" w:hAnsi="Arial" w:cs="Arial"/>
          <w:color w:val="000000" w:themeColor="text1"/>
          <w:sz w:val="18"/>
          <w:szCs w:val="18"/>
          <w:lang w:val="en-US" w:eastAsia="en-GB"/>
        </w:rPr>
        <w:t xml:space="preserve">Here </w:t>
      </w:r>
      <w:r w:rsidR="00FD758A">
        <w:rPr>
          <w:rFonts w:ascii="Arial" w:eastAsia="Times New Roman" w:hAnsi="Arial" w:cs="Arial"/>
          <w:color w:val="000000" w:themeColor="text1"/>
          <w:sz w:val="18"/>
          <w:szCs w:val="18"/>
          <w:lang w:val="en-US" w:eastAsia="en-GB"/>
        </w:rPr>
        <w:t>the CJEU</w:t>
      </w:r>
      <w:r w:rsidRPr="00A2527D">
        <w:rPr>
          <w:rFonts w:ascii="Arial" w:eastAsia="Times New Roman" w:hAnsi="Arial" w:cs="Arial"/>
          <w:color w:val="000000" w:themeColor="text1"/>
          <w:sz w:val="18"/>
          <w:szCs w:val="18"/>
          <w:lang w:val="en-US" w:eastAsia="en-GB"/>
        </w:rPr>
        <w:t xml:space="preserve"> referred to another recent case where it decided that a person selling all its assets in the context of an insolvency procedure remains a taxable person even if the purpose of the taxable person </w:t>
      </w:r>
      <w:r w:rsidRPr="00A2527D">
        <w:rPr>
          <w:rFonts w:ascii="Arial" w:eastAsia="Times New Roman" w:hAnsi="Arial" w:cs="Arial"/>
          <w:color w:val="000000" w:themeColor="text1"/>
          <w:sz w:val="18"/>
          <w:szCs w:val="18"/>
          <w:lang w:eastAsia="en-GB"/>
        </w:rPr>
        <w:t xml:space="preserve">no longer include the long-term operation of its </w:t>
      </w:r>
      <w:proofErr w:type="gramStart"/>
      <w:r w:rsidRPr="00A2527D">
        <w:rPr>
          <w:rFonts w:ascii="Arial" w:eastAsia="Times New Roman" w:hAnsi="Arial" w:cs="Arial"/>
          <w:color w:val="000000" w:themeColor="text1"/>
          <w:sz w:val="18"/>
          <w:szCs w:val="18"/>
          <w:lang w:eastAsia="en-GB"/>
        </w:rPr>
        <w:t>business, but</w:t>
      </w:r>
      <w:proofErr w:type="gramEnd"/>
      <w:r w:rsidRPr="00A2527D">
        <w:rPr>
          <w:rFonts w:ascii="Arial" w:eastAsia="Times New Roman" w:hAnsi="Arial" w:cs="Arial"/>
          <w:color w:val="000000" w:themeColor="text1"/>
          <w:sz w:val="18"/>
          <w:szCs w:val="18"/>
          <w:lang w:eastAsia="en-GB"/>
        </w:rPr>
        <w:t xml:space="preserve"> relate solely to its liquidation</w:t>
      </w:r>
      <w:r w:rsidRPr="00A2527D">
        <w:rPr>
          <w:rFonts w:ascii="Arial" w:eastAsia="Times New Roman" w:hAnsi="Arial" w:cs="Arial"/>
          <w:color w:val="000000" w:themeColor="text1"/>
          <w:sz w:val="18"/>
          <w:szCs w:val="18"/>
          <w:lang w:val="en-US" w:eastAsia="en-GB"/>
        </w:rPr>
        <w:t xml:space="preserve">. </w:t>
      </w:r>
      <w:r w:rsidRPr="00A2527D">
        <w:rPr>
          <w:rFonts w:ascii="Arial" w:hAnsi="Arial" w:cs="Arial"/>
          <w:sz w:val="18"/>
          <w:szCs w:val="18"/>
          <w:lang w:val="en-US"/>
        </w:rPr>
        <w:t>Court decision para</w:t>
      </w:r>
      <w:r>
        <w:rPr>
          <w:rFonts w:ascii="Arial" w:hAnsi="Arial" w:cs="Arial"/>
          <w:sz w:val="18"/>
          <w:szCs w:val="18"/>
          <w:lang w:val="en-US"/>
        </w:rPr>
        <w:t>graphs</w:t>
      </w:r>
      <w:r w:rsidRPr="00A2527D">
        <w:rPr>
          <w:rFonts w:ascii="Arial" w:hAnsi="Arial" w:cs="Arial"/>
          <w:sz w:val="18"/>
          <w:szCs w:val="18"/>
          <w:lang w:val="en-US"/>
        </w:rPr>
        <w:t xml:space="preserve"> 50 and 51 with reference to </w:t>
      </w:r>
      <w:r w:rsidRPr="00A2527D">
        <w:rPr>
          <w:rFonts w:ascii="Arial" w:eastAsia="Times New Roman" w:hAnsi="Arial" w:cs="Arial"/>
          <w:color w:val="000000"/>
          <w:sz w:val="18"/>
          <w:szCs w:val="18"/>
          <w:lang w:eastAsia="en-GB"/>
        </w:rPr>
        <w:t>judgment of 3 June 2021, Administraţia Judeţeană a Finanţelor Publice Suceava and Others, C</w:t>
      </w:r>
      <w:r w:rsidRPr="00A2527D">
        <w:rPr>
          <w:rFonts w:ascii="Arial" w:eastAsia="Times New Roman" w:hAnsi="Arial" w:cs="Arial"/>
          <w:color w:val="000000"/>
          <w:sz w:val="18"/>
          <w:szCs w:val="18"/>
          <w:lang w:eastAsia="en-GB"/>
        </w:rPr>
        <w:noBreakHyphen/>
        <w:t>182/20, EU:C:2021:442, paragraph 38.</w:t>
      </w:r>
    </w:p>
  </w:footnote>
  <w:footnote w:id="10">
    <w:p w14:paraId="4670E5BB" w14:textId="77777777" w:rsidR="00473AE8" w:rsidRPr="00AD53BE"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58 with reference to </w:t>
      </w:r>
      <w:r w:rsidRPr="00A2527D">
        <w:rPr>
          <w:rFonts w:ascii="Arial" w:eastAsia="Times New Roman" w:hAnsi="Arial" w:cs="Arial"/>
          <w:color w:val="000000"/>
          <w:sz w:val="18"/>
          <w:szCs w:val="18"/>
          <w:lang w:eastAsia="en-GB"/>
        </w:rPr>
        <w:t>judgment of 12 November 2020, ITH Comercial Timişoara, C</w:t>
      </w:r>
      <w:r w:rsidRPr="00A2527D">
        <w:rPr>
          <w:rFonts w:ascii="Arial" w:eastAsia="Times New Roman" w:hAnsi="Arial" w:cs="Arial"/>
          <w:color w:val="000000"/>
          <w:sz w:val="18"/>
          <w:szCs w:val="18"/>
          <w:lang w:eastAsia="en-GB"/>
        </w:rPr>
        <w:noBreakHyphen/>
        <w:t>734/19, EU:C:2020:919, paragraph 35 and the case-law cited</w:t>
      </w:r>
      <w:r w:rsidRPr="00AD53BE">
        <w:rPr>
          <w:rFonts w:ascii="Arial" w:eastAsia="Times New Roman" w:hAnsi="Arial" w:cs="Arial"/>
          <w:color w:val="000000"/>
          <w:sz w:val="18"/>
          <w:szCs w:val="18"/>
          <w:lang w:val="en-US" w:eastAsia="en-GB"/>
        </w:rPr>
        <w:t>.</w:t>
      </w:r>
    </w:p>
  </w:footnote>
  <w:footnote w:id="11">
    <w:p w14:paraId="742A0DD9" w14:textId="77777777" w:rsidR="00473AE8" w:rsidRPr="00473AE8"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473AE8">
        <w:rPr>
          <w:rFonts w:ascii="Arial" w:hAnsi="Arial" w:cs="Arial"/>
          <w:sz w:val="18"/>
          <w:szCs w:val="18"/>
          <w:lang w:val="en-US"/>
        </w:rPr>
        <w:t>Court decision paragraph 60.</w:t>
      </w:r>
    </w:p>
  </w:footnote>
  <w:footnote w:id="12">
    <w:p w14:paraId="1653C116" w14:textId="71A0C5DB" w:rsidR="00B07B20" w:rsidRPr="00B07B20" w:rsidRDefault="00B07B20">
      <w:pPr>
        <w:pStyle w:val="FootnoteText"/>
      </w:pPr>
      <w:r>
        <w:rPr>
          <w:rStyle w:val="FootnoteReference"/>
        </w:rPr>
        <w:footnoteRef/>
      </w:r>
      <w:r>
        <w:t xml:space="preserve"> </w:t>
      </w:r>
      <w:r w:rsidRPr="00B07B20">
        <w:rPr>
          <w:rFonts w:ascii="Arial" w:hAnsi="Arial" w:cs="Arial"/>
          <w:color w:val="000000" w:themeColor="text1"/>
          <w:sz w:val="18"/>
          <w:szCs w:val="18"/>
          <w:lang w:val="en-US"/>
        </w:rPr>
        <w:t>CJEU, 15 January 1998, C-37/95 Ghent Coal Terminal NV, ECLI:EU:C:1998:1.</w:t>
      </w:r>
    </w:p>
  </w:footnote>
  <w:footnote w:id="13">
    <w:p w14:paraId="28C34425" w14:textId="53A43A95" w:rsidR="00B07B20" w:rsidRPr="00B07B20" w:rsidRDefault="00B07B20">
      <w:pPr>
        <w:pStyle w:val="FootnoteText"/>
      </w:pPr>
      <w:r>
        <w:rPr>
          <w:rStyle w:val="FootnoteReference"/>
        </w:rPr>
        <w:footnoteRef/>
      </w:r>
      <w:r>
        <w:t xml:space="preserve"> </w:t>
      </w:r>
      <w:r w:rsidRPr="00F043FF">
        <w:rPr>
          <w:rFonts w:ascii="Arial" w:hAnsi="Arial" w:cs="Arial"/>
          <w:sz w:val="18"/>
          <w:szCs w:val="18"/>
        </w:rPr>
        <w:t>CJEU, 17 September</w:t>
      </w:r>
      <w:r w:rsidRPr="00FD758A">
        <w:rPr>
          <w:rFonts w:ascii="Arial" w:hAnsi="Arial" w:cs="Arial"/>
          <w:color w:val="000000" w:themeColor="text1"/>
          <w:sz w:val="18"/>
          <w:szCs w:val="18"/>
        </w:rPr>
        <w:t xml:space="preserve"> 2020, </w:t>
      </w:r>
      <w:r w:rsidRPr="00F043FF">
        <w:rPr>
          <w:rFonts w:ascii="Arial" w:hAnsi="Arial" w:cs="Arial"/>
          <w:color w:val="000000" w:themeColor="text1"/>
          <w:sz w:val="18"/>
          <w:szCs w:val="18"/>
        </w:rPr>
        <w:t>C</w:t>
      </w:r>
      <w:r w:rsidRPr="00F043FF">
        <w:rPr>
          <w:rFonts w:ascii="Arial" w:hAnsi="Arial" w:cs="Arial"/>
          <w:color w:val="000000" w:themeColor="text1"/>
          <w:sz w:val="18"/>
          <w:szCs w:val="18"/>
        </w:rPr>
        <w:noBreakHyphen/>
        <w:t xml:space="preserve">791/18 Stichting Schoonzicht v. Staatssecretaris van Financiën, </w:t>
      </w:r>
      <w:r w:rsidRPr="00FD758A">
        <w:rPr>
          <w:rFonts w:ascii="Arial" w:hAnsi="Arial" w:cs="Arial"/>
          <w:color w:val="000000" w:themeColor="text1"/>
          <w:sz w:val="18"/>
          <w:szCs w:val="18"/>
        </w:rPr>
        <w:t>ECLI:EU:C:2020:731.</w:t>
      </w:r>
    </w:p>
  </w:footnote>
  <w:footnote w:id="14">
    <w:p w14:paraId="195A1965" w14:textId="1AABE0C9" w:rsidR="00B07B20" w:rsidRPr="00FD758A" w:rsidRDefault="00B07B20">
      <w:pPr>
        <w:pStyle w:val="FootnoteText"/>
        <w:rPr>
          <w:rFonts w:ascii="Arial" w:hAnsi="Arial" w:cs="Arial"/>
          <w:color w:val="000000" w:themeColor="text1"/>
          <w:sz w:val="18"/>
          <w:szCs w:val="18"/>
        </w:rPr>
      </w:pPr>
      <w:r>
        <w:rPr>
          <w:rStyle w:val="FootnoteReference"/>
        </w:rPr>
        <w:footnoteRef/>
      </w:r>
      <w:r>
        <w:t xml:space="preserve"> </w:t>
      </w:r>
      <w:r w:rsidRPr="00FD758A">
        <w:rPr>
          <w:rFonts w:ascii="Arial" w:hAnsi="Arial" w:cs="Arial"/>
          <w:color w:val="000000" w:themeColor="text1"/>
          <w:sz w:val="18"/>
          <w:szCs w:val="18"/>
        </w:rPr>
        <w:t xml:space="preserve">CJEU, </w:t>
      </w:r>
      <w:r w:rsidR="00FD758A" w:rsidRPr="00FD758A">
        <w:rPr>
          <w:rFonts w:ascii="Arial" w:hAnsi="Arial" w:cs="Arial"/>
          <w:color w:val="000000" w:themeColor="text1"/>
          <w:sz w:val="18"/>
          <w:szCs w:val="18"/>
        </w:rPr>
        <w:t>9 July 2020, C-374/19 HF, ECLI:EU:C:2020:546.</w:t>
      </w:r>
    </w:p>
  </w:footnote>
  <w:footnote w:id="15">
    <w:p w14:paraId="34BE0161" w14:textId="6D6EFB57" w:rsidR="00B07B20" w:rsidRPr="00B07B20" w:rsidRDefault="00B07B20">
      <w:pPr>
        <w:pStyle w:val="FootnoteText"/>
      </w:pPr>
      <w:r>
        <w:rPr>
          <w:rStyle w:val="FootnoteReference"/>
        </w:rPr>
        <w:footnoteRef/>
      </w:r>
      <w:r>
        <w:t xml:space="preserve"> </w:t>
      </w:r>
      <w:r w:rsidRPr="00F043FF">
        <w:rPr>
          <w:rFonts w:ascii="Arial" w:hAnsi="Arial" w:cs="Arial"/>
          <w:color w:val="000000" w:themeColor="text1"/>
          <w:sz w:val="18"/>
          <w:szCs w:val="18"/>
        </w:rPr>
        <w:t xml:space="preserve">CJEU, 29 February 1996, C-110/94 INZO v. Belgium, </w:t>
      </w:r>
      <w:r w:rsidRPr="00310AD1">
        <w:rPr>
          <w:rFonts w:ascii="Arial" w:hAnsi="Arial" w:cs="Arial"/>
          <w:color w:val="000000" w:themeColor="text1"/>
          <w:sz w:val="18"/>
          <w:szCs w:val="18"/>
        </w:rPr>
        <w:t>ECLI:EU:C:1996:67</w:t>
      </w:r>
      <w:r w:rsidRPr="00F043FF">
        <w:rPr>
          <w:rFonts w:ascii="Arial" w:hAnsi="Arial" w:cs="Arial"/>
          <w:color w:val="000000" w:themeColor="text1"/>
          <w:sz w:val="18"/>
          <w:szCs w:val="18"/>
        </w:rPr>
        <w:t>.</w:t>
      </w:r>
    </w:p>
  </w:footnote>
  <w:footnote w:id="16">
    <w:p w14:paraId="39E1B843" w14:textId="09A4BD84" w:rsidR="00E37ACC" w:rsidRPr="00E37ACC" w:rsidRDefault="00E37ACC">
      <w:pPr>
        <w:pStyle w:val="FootnoteText"/>
        <w:rPr>
          <w:lang w:val="fr-BE"/>
        </w:rPr>
      </w:pPr>
      <w:r>
        <w:rPr>
          <w:rStyle w:val="FootnoteReference"/>
        </w:rPr>
        <w:footnoteRef/>
      </w:r>
      <w:r>
        <w:t xml:space="preserve"> </w:t>
      </w:r>
      <w:r w:rsidRPr="00E37ACC">
        <w:rPr>
          <w:rFonts w:ascii="Arial" w:hAnsi="Arial" w:cs="Arial"/>
          <w:color w:val="000000" w:themeColor="text1"/>
          <w:sz w:val="18"/>
          <w:szCs w:val="18"/>
        </w:rPr>
        <w:t>CJEU, 15 September 2022, C-227/21, UAB ‘HA.EN, ECLI:EU:C:2022:687.</w:t>
      </w:r>
    </w:p>
  </w:footnote>
  <w:footnote w:id="17">
    <w:p w14:paraId="26FD6F1A" w14:textId="571F3902" w:rsidR="00473AE8" w:rsidRPr="00A16EA3" w:rsidRDefault="00473AE8" w:rsidP="00A16EA3">
      <w:pPr>
        <w:jc w:val="both"/>
        <w:rPr>
          <w:rFonts w:ascii="Arial" w:eastAsia="Times New Roman" w:hAnsi="Arial" w:cs="Arial"/>
          <w:b/>
          <w:bCs/>
          <w:color w:val="000000" w:themeColor="text1"/>
          <w:sz w:val="18"/>
          <w:szCs w:val="18"/>
          <w:shd w:val="clear" w:color="auto" w:fill="FFFFFF"/>
          <w:lang w:val="en-US" w:eastAsia="en-GB"/>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26, with reference to </w:t>
      </w:r>
      <w:r w:rsidRPr="00FA71CC">
        <w:rPr>
          <w:rFonts w:ascii="Arial" w:eastAsia="Times New Roman" w:hAnsi="Arial" w:cs="Arial"/>
          <w:color w:val="000000"/>
          <w:sz w:val="18"/>
          <w:szCs w:val="18"/>
          <w:lang w:eastAsia="en-GB"/>
        </w:rPr>
        <w:t>judgment of 22 October 2015, PPUH Stehcemp, C</w:t>
      </w:r>
      <w:r w:rsidRPr="00FA71CC">
        <w:rPr>
          <w:rFonts w:ascii="Arial" w:eastAsia="Times New Roman" w:hAnsi="Arial" w:cs="Arial"/>
          <w:color w:val="000000"/>
          <w:sz w:val="18"/>
          <w:szCs w:val="18"/>
          <w:lang w:eastAsia="en-GB"/>
        </w:rPr>
        <w:noBreakHyphen/>
        <w:t>277/14, EU:C:2015:719, paragraph 45 and the case-law cited</w:t>
      </w:r>
      <w:r w:rsidRPr="00A2527D">
        <w:rPr>
          <w:rFonts w:ascii="Arial" w:eastAsia="Times New Roman" w:hAnsi="Arial" w:cs="Arial"/>
          <w:color w:val="000000"/>
          <w:sz w:val="18"/>
          <w:szCs w:val="18"/>
          <w:lang w:val="en-US" w:eastAsia="en-GB"/>
        </w:rPr>
        <w:t xml:space="preserve"> and to </w:t>
      </w:r>
      <w:r w:rsidRPr="00FA71CC">
        <w:rPr>
          <w:rFonts w:ascii="Arial" w:eastAsia="Times New Roman" w:hAnsi="Arial" w:cs="Arial"/>
          <w:color w:val="000000"/>
          <w:sz w:val="18"/>
          <w:szCs w:val="18"/>
          <w:lang w:eastAsia="en-GB"/>
        </w:rPr>
        <w:t>judgment of 29 March 2012, Véleclair, C</w:t>
      </w:r>
      <w:r w:rsidRPr="00FA71CC">
        <w:rPr>
          <w:rFonts w:ascii="Arial" w:eastAsia="Times New Roman" w:hAnsi="Arial" w:cs="Arial"/>
          <w:color w:val="000000"/>
          <w:sz w:val="18"/>
          <w:szCs w:val="18"/>
          <w:lang w:eastAsia="en-GB"/>
        </w:rPr>
        <w:noBreakHyphen/>
        <w:t>414/10, EU:C:2012:183, paragraph 30.</w:t>
      </w:r>
    </w:p>
  </w:footnote>
  <w:footnote w:id="18">
    <w:p w14:paraId="639C1162"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27 with reference to </w:t>
      </w:r>
      <w:r w:rsidRPr="00FA71CC">
        <w:rPr>
          <w:rFonts w:ascii="Arial" w:eastAsia="Times New Roman" w:hAnsi="Arial" w:cs="Arial"/>
          <w:color w:val="000000"/>
          <w:sz w:val="18"/>
          <w:szCs w:val="18"/>
          <w:lang w:eastAsia="en-GB"/>
        </w:rPr>
        <w:t>judgment of 10 July 2019, Kuršu zeme, C</w:t>
      </w:r>
      <w:r w:rsidRPr="00FA71CC">
        <w:rPr>
          <w:rFonts w:ascii="Arial" w:eastAsia="Times New Roman" w:hAnsi="Arial" w:cs="Arial"/>
          <w:color w:val="000000"/>
          <w:sz w:val="18"/>
          <w:szCs w:val="18"/>
          <w:lang w:eastAsia="en-GB"/>
        </w:rPr>
        <w:noBreakHyphen/>
        <w:t>273/18, EU:C:2019:588, paragraph 34 and the case-law cited</w:t>
      </w:r>
      <w:r w:rsidRPr="00A2527D">
        <w:rPr>
          <w:rFonts w:ascii="Arial" w:eastAsia="Times New Roman" w:hAnsi="Arial" w:cs="Arial"/>
          <w:color w:val="000000"/>
          <w:sz w:val="18"/>
          <w:szCs w:val="18"/>
          <w:lang w:val="en-US" w:eastAsia="en-GB"/>
        </w:rPr>
        <w:t>.</w:t>
      </w:r>
    </w:p>
  </w:footnote>
  <w:footnote w:id="19">
    <w:p w14:paraId="7553CDBE"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28 and reference to </w:t>
      </w:r>
      <w:r w:rsidRPr="00FA71CC">
        <w:rPr>
          <w:rFonts w:ascii="Arial" w:eastAsia="Times New Roman" w:hAnsi="Arial" w:cs="Arial"/>
          <w:color w:val="000000"/>
          <w:sz w:val="18"/>
          <w:szCs w:val="18"/>
          <w:lang w:eastAsia="en-GB"/>
        </w:rPr>
        <w:t>judgment of 11 November 2021, Ferimet, C</w:t>
      </w:r>
      <w:r w:rsidRPr="00FA71CC">
        <w:rPr>
          <w:rFonts w:ascii="Arial" w:eastAsia="Times New Roman" w:hAnsi="Arial" w:cs="Arial"/>
          <w:color w:val="000000"/>
          <w:sz w:val="18"/>
          <w:szCs w:val="18"/>
          <w:lang w:eastAsia="en-GB"/>
        </w:rPr>
        <w:noBreakHyphen/>
        <w:t>281/20, EU:C:2021:910, paragraph 50 and the case-law cited.</w:t>
      </w:r>
    </w:p>
  </w:footnote>
  <w:footnote w:id="20">
    <w:p w14:paraId="2B08D681"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FA71CC">
        <w:rPr>
          <w:rFonts w:ascii="Arial" w:eastAsia="Times New Roman" w:hAnsi="Arial" w:cs="Arial"/>
          <w:color w:val="000000"/>
          <w:sz w:val="18"/>
          <w:szCs w:val="18"/>
          <w:lang w:eastAsia="en-GB"/>
        </w:rPr>
        <w:t xml:space="preserve">Convention </w:t>
      </w:r>
      <w:r w:rsidRPr="00A2527D">
        <w:rPr>
          <w:rFonts w:ascii="Arial" w:eastAsia="Times New Roman" w:hAnsi="Arial" w:cs="Arial"/>
          <w:color w:val="000000"/>
          <w:sz w:val="18"/>
          <w:szCs w:val="18"/>
          <w:lang w:val="en-US" w:eastAsia="en-GB"/>
        </w:rPr>
        <w:t xml:space="preserve">on the Protection of the Financial Interests of the EU, </w:t>
      </w:r>
      <w:r w:rsidRPr="00FA71CC">
        <w:rPr>
          <w:rFonts w:ascii="Arial" w:eastAsia="Times New Roman" w:hAnsi="Arial" w:cs="Arial"/>
          <w:color w:val="000000"/>
          <w:sz w:val="18"/>
          <w:szCs w:val="18"/>
          <w:lang w:eastAsia="en-GB"/>
        </w:rPr>
        <w:t>drawn up on the basis of Article K.3 of the Treaty on European Union, on the protection of the European Communities’ financial interests, signed in Brussels on 26 July 1995 and annexed to the Council Act of 26 July 1995 (OJ 1995 C 316, p. 48)</w:t>
      </w:r>
    </w:p>
  </w:footnote>
  <w:footnote w:id="21">
    <w:p w14:paraId="3F7F08E9" w14:textId="4A22E792" w:rsidR="00A16EA3" w:rsidRPr="00B43707" w:rsidRDefault="00A16EA3" w:rsidP="00A16EA3">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31 with reference to </w:t>
      </w:r>
      <w:r w:rsidRPr="00FA71CC">
        <w:rPr>
          <w:rFonts w:ascii="Arial" w:eastAsia="Times New Roman" w:hAnsi="Arial" w:cs="Arial"/>
          <w:color w:val="000000"/>
          <w:sz w:val="18"/>
          <w:szCs w:val="18"/>
          <w:lang w:eastAsia="en-GB"/>
        </w:rPr>
        <w:t>judgment of 8 September 2015, Taricco and Others, C</w:t>
      </w:r>
      <w:r w:rsidRPr="00FA71CC">
        <w:rPr>
          <w:rFonts w:ascii="Arial" w:eastAsia="Times New Roman" w:hAnsi="Arial" w:cs="Arial"/>
          <w:color w:val="000000"/>
          <w:sz w:val="18"/>
          <w:szCs w:val="18"/>
          <w:lang w:eastAsia="en-GB"/>
        </w:rPr>
        <w:noBreakHyphen/>
        <w:t>105/14, EU:C:2015:555, paragraph 41</w:t>
      </w:r>
      <w:r w:rsidR="00B43707" w:rsidRPr="00B43707">
        <w:rPr>
          <w:rFonts w:ascii="Arial" w:eastAsia="Times New Roman" w:hAnsi="Arial" w:cs="Arial"/>
          <w:color w:val="000000"/>
          <w:sz w:val="18"/>
          <w:szCs w:val="18"/>
          <w:lang w:val="en-US" w:eastAsia="en-GB"/>
        </w:rPr>
        <w:t>.</w:t>
      </w:r>
    </w:p>
  </w:footnote>
  <w:footnote w:id="22">
    <w:p w14:paraId="343362BD" w14:textId="6D89061E"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32 with reference to</w:t>
      </w:r>
      <w:r w:rsidR="00B43707">
        <w:rPr>
          <w:rFonts w:ascii="Arial" w:hAnsi="Arial" w:cs="Arial"/>
          <w:sz w:val="18"/>
          <w:szCs w:val="18"/>
          <w:lang w:val="en-US"/>
        </w:rPr>
        <w:t xml:space="preserve"> </w:t>
      </w:r>
      <w:r w:rsidRPr="00FA71CC">
        <w:rPr>
          <w:rFonts w:ascii="Arial" w:eastAsia="Times New Roman" w:hAnsi="Arial" w:cs="Arial"/>
          <w:color w:val="000000"/>
          <w:sz w:val="18"/>
          <w:szCs w:val="18"/>
          <w:lang w:eastAsia="en-GB"/>
        </w:rPr>
        <w:t>judgment of 2 May 2018, Scialdone, C</w:t>
      </w:r>
      <w:r w:rsidRPr="00FA71CC">
        <w:rPr>
          <w:rFonts w:ascii="Arial" w:eastAsia="Times New Roman" w:hAnsi="Arial" w:cs="Arial"/>
          <w:color w:val="000000"/>
          <w:sz w:val="18"/>
          <w:szCs w:val="18"/>
          <w:lang w:eastAsia="en-GB"/>
        </w:rPr>
        <w:noBreakHyphen/>
        <w:t>574/15, EU:C:2018:295, paragraphs 38 to 41</w:t>
      </w:r>
      <w:r w:rsidRPr="00A2527D">
        <w:rPr>
          <w:rFonts w:ascii="Arial" w:eastAsia="Times New Roman" w:hAnsi="Arial" w:cs="Arial"/>
          <w:color w:val="000000"/>
          <w:sz w:val="18"/>
          <w:szCs w:val="18"/>
          <w:lang w:val="en-US" w:eastAsia="en-GB"/>
        </w:rPr>
        <w:t>.</w:t>
      </w:r>
    </w:p>
  </w:footnote>
  <w:footnote w:id="23">
    <w:p w14:paraId="325FC59A" w14:textId="77777777" w:rsidR="00473AE8" w:rsidRPr="00473AE8"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473AE8">
        <w:rPr>
          <w:rFonts w:ascii="Arial" w:hAnsi="Arial" w:cs="Arial"/>
          <w:sz w:val="18"/>
          <w:szCs w:val="18"/>
          <w:lang w:val="en-US"/>
        </w:rPr>
        <w:t>Court decision paragraph 33.</w:t>
      </w:r>
    </w:p>
  </w:footnote>
  <w:footnote w:id="24">
    <w:p w14:paraId="1F2C6FBA" w14:textId="77777777" w:rsidR="00473AE8" w:rsidRPr="00473AE8"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473AE8">
        <w:rPr>
          <w:rFonts w:ascii="Arial" w:hAnsi="Arial" w:cs="Arial"/>
          <w:sz w:val="18"/>
          <w:szCs w:val="18"/>
          <w:lang w:val="en-US"/>
        </w:rPr>
        <w:t>Court decision paragraphs 34-42.</w:t>
      </w:r>
    </w:p>
  </w:footnote>
  <w:footnote w:id="25">
    <w:p w14:paraId="06C6F0B1"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Which is </w:t>
      </w:r>
      <w:r w:rsidRPr="00A2527D">
        <w:rPr>
          <w:rFonts w:ascii="Arial" w:eastAsia="Times New Roman" w:hAnsi="Arial" w:cs="Arial"/>
          <w:color w:val="000000"/>
          <w:sz w:val="18"/>
          <w:szCs w:val="18"/>
          <w:lang w:val="en-US" w:eastAsia="en-GB"/>
        </w:rPr>
        <w:t xml:space="preserve">a possibility offered by </w:t>
      </w:r>
      <w:r w:rsidRPr="00FA71CC">
        <w:rPr>
          <w:rFonts w:ascii="Arial" w:eastAsia="Times New Roman" w:hAnsi="Arial" w:cs="Arial"/>
          <w:color w:val="000000"/>
          <w:sz w:val="18"/>
          <w:szCs w:val="18"/>
          <w:lang w:eastAsia="en-GB"/>
        </w:rPr>
        <w:t>Article 199(1)(g) of the VAT Directive</w:t>
      </w:r>
      <w:r w:rsidRPr="00A2527D">
        <w:rPr>
          <w:rFonts w:ascii="Arial" w:eastAsia="Times New Roman" w:hAnsi="Arial" w:cs="Arial"/>
          <w:color w:val="000000"/>
          <w:sz w:val="18"/>
          <w:szCs w:val="18"/>
          <w:lang w:val="en-US" w:eastAsia="en-GB"/>
        </w:rPr>
        <w:t>.</w:t>
      </w:r>
    </w:p>
  </w:footnote>
  <w:footnote w:id="26">
    <w:p w14:paraId="190C59AB"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eastAsia="Times New Roman" w:hAnsi="Arial" w:cs="Arial"/>
          <w:color w:val="000000"/>
          <w:sz w:val="18"/>
          <w:szCs w:val="18"/>
          <w:lang w:val="en-US" w:eastAsia="en-GB"/>
        </w:rPr>
        <w:t>J</w:t>
      </w:r>
      <w:r w:rsidRPr="00FA71CC">
        <w:rPr>
          <w:rFonts w:ascii="Arial" w:eastAsia="Times New Roman" w:hAnsi="Arial" w:cs="Arial"/>
          <w:color w:val="000000"/>
          <w:sz w:val="18"/>
          <w:szCs w:val="18"/>
          <w:lang w:eastAsia="en-GB"/>
        </w:rPr>
        <w:t>udgment of 20 May 2021, ALTI, (C</w:t>
      </w:r>
      <w:r w:rsidRPr="00FA71CC">
        <w:rPr>
          <w:rFonts w:ascii="Arial" w:eastAsia="Times New Roman" w:hAnsi="Arial" w:cs="Arial"/>
          <w:color w:val="000000"/>
          <w:sz w:val="18"/>
          <w:szCs w:val="18"/>
          <w:lang w:eastAsia="en-GB"/>
        </w:rPr>
        <w:noBreakHyphen/>
        <w:t>4/20, EU:C:2021:397),</w:t>
      </w:r>
      <w:r w:rsidRPr="00A2527D">
        <w:rPr>
          <w:rFonts w:ascii="Arial" w:eastAsia="Times New Roman" w:hAnsi="Arial" w:cs="Arial"/>
          <w:color w:val="000000"/>
          <w:sz w:val="18"/>
          <w:szCs w:val="18"/>
          <w:lang w:val="en-US" w:eastAsia="en-GB"/>
        </w:rPr>
        <w:t xml:space="preserve"> </w:t>
      </w:r>
      <w:proofErr w:type="gramStart"/>
      <w:r w:rsidRPr="00A2527D">
        <w:rPr>
          <w:rFonts w:ascii="Arial" w:eastAsia="Times New Roman" w:hAnsi="Arial" w:cs="Arial"/>
          <w:color w:val="000000"/>
          <w:sz w:val="18"/>
          <w:szCs w:val="18"/>
          <w:lang w:val="en-US" w:eastAsia="en-GB"/>
        </w:rPr>
        <w:t>in particular paragraphs</w:t>
      </w:r>
      <w:proofErr w:type="gramEnd"/>
      <w:r w:rsidRPr="00A2527D">
        <w:rPr>
          <w:rFonts w:ascii="Arial" w:eastAsia="Times New Roman" w:hAnsi="Arial" w:cs="Arial"/>
          <w:color w:val="000000"/>
          <w:sz w:val="18"/>
          <w:szCs w:val="18"/>
          <w:lang w:val="en-US" w:eastAsia="en-GB"/>
        </w:rPr>
        <w:t xml:space="preserve"> 42-45.</w:t>
      </w:r>
    </w:p>
  </w:footnote>
  <w:footnote w:id="27">
    <w:p w14:paraId="09D8C4C6"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Reference is made to </w:t>
      </w:r>
      <w:r w:rsidRPr="00FA71CC">
        <w:rPr>
          <w:rFonts w:ascii="Arial" w:eastAsia="Times New Roman" w:hAnsi="Arial" w:cs="Arial"/>
          <w:color w:val="000000"/>
          <w:sz w:val="18"/>
          <w:szCs w:val="18"/>
          <w:lang w:eastAsia="en-GB"/>
        </w:rPr>
        <w:t>points 46 and 47 of her Opinion</w:t>
      </w:r>
      <w:r w:rsidRPr="00A2527D">
        <w:rPr>
          <w:rFonts w:ascii="Arial" w:eastAsia="Times New Roman" w:hAnsi="Arial" w:cs="Arial"/>
          <w:color w:val="000000"/>
          <w:sz w:val="18"/>
          <w:szCs w:val="18"/>
          <w:lang w:val="en-US" w:eastAsia="en-GB"/>
        </w:rPr>
        <w:t>.</w:t>
      </w:r>
    </w:p>
  </w:footnote>
  <w:footnote w:id="28">
    <w:p w14:paraId="5C0196A0" w14:textId="77777777" w:rsidR="00473AE8" w:rsidRPr="00473AE8"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473AE8">
        <w:rPr>
          <w:rFonts w:ascii="Arial" w:hAnsi="Arial" w:cs="Arial"/>
          <w:sz w:val="18"/>
          <w:szCs w:val="18"/>
          <w:lang w:val="en-US"/>
        </w:rPr>
        <w:t>Court decision paragraph 40.</w:t>
      </w:r>
    </w:p>
  </w:footnote>
  <w:footnote w:id="29">
    <w:p w14:paraId="43FC68E4"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41.</w:t>
      </w:r>
    </w:p>
  </w:footnote>
  <w:footnote w:id="30">
    <w:p w14:paraId="4550DAD4"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43 and reference to </w:t>
      </w:r>
      <w:r w:rsidRPr="00FA71CC">
        <w:rPr>
          <w:rFonts w:ascii="Arial" w:eastAsia="Times New Roman" w:hAnsi="Arial" w:cs="Arial"/>
          <w:color w:val="000000"/>
          <w:sz w:val="18"/>
          <w:szCs w:val="18"/>
          <w:lang w:eastAsia="en-GB"/>
        </w:rPr>
        <w:t>judgment of 13 March 2014, Malburg, C</w:t>
      </w:r>
      <w:r w:rsidRPr="00FA71CC">
        <w:rPr>
          <w:rFonts w:ascii="Arial" w:eastAsia="Times New Roman" w:hAnsi="Arial" w:cs="Arial"/>
          <w:color w:val="000000"/>
          <w:sz w:val="18"/>
          <w:szCs w:val="18"/>
          <w:lang w:eastAsia="en-GB"/>
        </w:rPr>
        <w:noBreakHyphen/>
        <w:t>204/13, EU:C:2014:147, paragraph 41 and the case-law cited.</w:t>
      </w:r>
    </w:p>
  </w:footnote>
  <w:footnote w:id="31">
    <w:p w14:paraId="49E7D55A" w14:textId="77777777" w:rsidR="00473AE8" w:rsidRPr="00473AE8"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w:t>
      </w:r>
      <w:r w:rsidRPr="00473AE8">
        <w:rPr>
          <w:rFonts w:ascii="Arial" w:hAnsi="Arial" w:cs="Arial"/>
          <w:sz w:val="18"/>
          <w:szCs w:val="18"/>
          <w:lang w:val="en-US"/>
        </w:rPr>
        <w:t>44.</w:t>
      </w:r>
    </w:p>
  </w:footnote>
  <w:footnote w:id="32">
    <w:p w14:paraId="5DF0AB78"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Reference is made to </w:t>
      </w:r>
      <w:r w:rsidRPr="00FA71CC">
        <w:rPr>
          <w:rFonts w:ascii="Arial" w:eastAsia="Times New Roman" w:hAnsi="Arial" w:cs="Arial"/>
          <w:color w:val="000000"/>
          <w:sz w:val="18"/>
          <w:szCs w:val="18"/>
          <w:lang w:eastAsia="en-GB"/>
        </w:rPr>
        <w:t>points 47, 51 and 52 of her Opinion</w:t>
      </w:r>
      <w:r w:rsidRPr="00A2527D">
        <w:rPr>
          <w:rFonts w:ascii="Arial" w:eastAsia="Times New Roman" w:hAnsi="Arial" w:cs="Arial"/>
          <w:color w:val="000000"/>
          <w:sz w:val="18"/>
          <w:szCs w:val="18"/>
          <w:lang w:val="en-US" w:eastAsia="en-GB"/>
        </w:rPr>
        <w:t>.</w:t>
      </w:r>
    </w:p>
  </w:footnote>
  <w:footnote w:id="33">
    <w:p w14:paraId="74EF0943"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45, with reference to </w:t>
      </w:r>
      <w:r w:rsidRPr="00FA71CC">
        <w:rPr>
          <w:rFonts w:ascii="Arial" w:eastAsia="Times New Roman" w:hAnsi="Arial" w:cs="Arial"/>
          <w:color w:val="000000"/>
          <w:sz w:val="18"/>
          <w:szCs w:val="18"/>
          <w:lang w:eastAsia="en-GB"/>
        </w:rPr>
        <w:t>judgment of 13 June 2013, Promociones y Construcciones BJ 200, C</w:t>
      </w:r>
      <w:r w:rsidRPr="00FA71CC">
        <w:rPr>
          <w:rFonts w:ascii="Arial" w:eastAsia="Times New Roman" w:hAnsi="Arial" w:cs="Arial"/>
          <w:color w:val="000000"/>
          <w:sz w:val="18"/>
          <w:szCs w:val="18"/>
          <w:lang w:eastAsia="en-GB"/>
        </w:rPr>
        <w:noBreakHyphen/>
        <w:t>125/12, EU:C:2013:392, paragraph 28</w:t>
      </w:r>
      <w:r w:rsidRPr="00A2527D">
        <w:rPr>
          <w:rFonts w:ascii="Arial" w:eastAsia="Times New Roman" w:hAnsi="Arial" w:cs="Arial"/>
          <w:color w:val="000000"/>
          <w:sz w:val="18"/>
          <w:szCs w:val="18"/>
          <w:lang w:val="en-US" w:eastAsia="en-GB"/>
        </w:rPr>
        <w:t>.</w:t>
      </w:r>
    </w:p>
  </w:footnote>
  <w:footnote w:id="34">
    <w:p w14:paraId="6FE20A58" w14:textId="79025A14" w:rsidR="00E37ACC" w:rsidRPr="00B02A01" w:rsidRDefault="00E37ACC">
      <w:pPr>
        <w:pStyle w:val="FootnoteText"/>
        <w:rPr>
          <w:rFonts w:ascii="Arial" w:hAnsi="Arial" w:cs="Arial"/>
          <w:sz w:val="18"/>
          <w:szCs w:val="18"/>
          <w:lang w:val="en-US"/>
        </w:rPr>
      </w:pPr>
      <w:r w:rsidRPr="00E37ACC">
        <w:rPr>
          <w:rStyle w:val="FootnoteReference"/>
          <w:rFonts w:ascii="Arial" w:hAnsi="Arial" w:cs="Arial"/>
          <w:color w:val="000000" w:themeColor="text1"/>
          <w:sz w:val="18"/>
          <w:szCs w:val="18"/>
        </w:rPr>
        <w:footnoteRef/>
      </w:r>
      <w:r w:rsidRPr="00E37ACC">
        <w:rPr>
          <w:rFonts w:ascii="Arial" w:hAnsi="Arial" w:cs="Arial"/>
          <w:color w:val="000000" w:themeColor="text1"/>
          <w:sz w:val="18"/>
          <w:szCs w:val="18"/>
        </w:rPr>
        <w:t xml:space="preserve"> </w:t>
      </w:r>
      <w:r w:rsidRPr="00E37ACC">
        <w:rPr>
          <w:rFonts w:ascii="Arial" w:hAnsi="Arial" w:cs="Arial"/>
          <w:color w:val="000000" w:themeColor="text1"/>
          <w:sz w:val="18"/>
          <w:szCs w:val="18"/>
          <w:lang w:val="en-US"/>
        </w:rPr>
        <w:t xml:space="preserve">CJEU, 25 October 2021, </w:t>
      </w:r>
      <w:r w:rsidRPr="00E37ACC">
        <w:rPr>
          <w:rFonts w:ascii="Arial" w:hAnsi="Arial" w:cs="Arial"/>
          <w:color w:val="000000" w:themeColor="text1"/>
          <w:sz w:val="18"/>
          <w:szCs w:val="18"/>
        </w:rPr>
        <w:t>Amper Metal Kft.</w:t>
      </w:r>
      <w:r w:rsidRPr="00B02A01">
        <w:rPr>
          <w:rFonts w:ascii="Arial" w:hAnsi="Arial" w:cs="Arial"/>
          <w:color w:val="000000" w:themeColor="text1"/>
          <w:sz w:val="18"/>
          <w:szCs w:val="18"/>
          <w:lang w:val="en-US"/>
        </w:rPr>
        <w:t xml:space="preserve">, C-334/20, </w:t>
      </w:r>
      <w:r w:rsidRPr="00E37ACC">
        <w:rPr>
          <w:rFonts w:ascii="Arial" w:hAnsi="Arial" w:cs="Arial"/>
          <w:color w:val="000000" w:themeColor="text1"/>
          <w:sz w:val="18"/>
          <w:szCs w:val="18"/>
        </w:rPr>
        <w:t>ECLI:EU:C:2021:961</w:t>
      </w:r>
      <w:r w:rsidRPr="00B02A01">
        <w:rPr>
          <w:rFonts w:ascii="Arial" w:hAnsi="Arial" w:cs="Arial"/>
          <w:color w:val="000000" w:themeColor="text1"/>
          <w:sz w:val="18"/>
          <w:szCs w:val="18"/>
          <w:lang w:val="en-US"/>
        </w:rPr>
        <w:t>.</w:t>
      </w:r>
    </w:p>
  </w:footnote>
  <w:footnote w:id="35">
    <w:p w14:paraId="04A08419" w14:textId="2FC519DD" w:rsidR="00013DD2" w:rsidRPr="00473AE8" w:rsidRDefault="00013DD2">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473AE8">
        <w:rPr>
          <w:rFonts w:ascii="Arial" w:hAnsi="Arial" w:cs="Arial"/>
          <w:sz w:val="18"/>
          <w:szCs w:val="18"/>
          <w:lang w:val="en-US"/>
        </w:rPr>
        <w:t>Court decision p</w:t>
      </w:r>
      <w:r w:rsidRPr="00473AE8">
        <w:rPr>
          <w:rFonts w:ascii="Arial" w:hAnsi="Arial" w:cs="Arial"/>
          <w:sz w:val="18"/>
          <w:szCs w:val="18"/>
          <w:lang w:val="en-US"/>
        </w:rPr>
        <w:t>ara</w:t>
      </w:r>
      <w:r w:rsidR="00A2527D" w:rsidRPr="00473AE8">
        <w:rPr>
          <w:rFonts w:ascii="Arial" w:hAnsi="Arial" w:cs="Arial"/>
          <w:sz w:val="18"/>
          <w:szCs w:val="18"/>
          <w:lang w:val="en-US"/>
        </w:rPr>
        <w:t>graph</w:t>
      </w:r>
      <w:r w:rsidRPr="00473AE8">
        <w:rPr>
          <w:rFonts w:ascii="Arial" w:hAnsi="Arial" w:cs="Arial"/>
          <w:sz w:val="18"/>
          <w:szCs w:val="18"/>
          <w:lang w:val="en-US"/>
        </w:rPr>
        <w:t xml:space="preserve"> 27</w:t>
      </w:r>
      <w:r w:rsidR="00382AC0" w:rsidRPr="00473AE8">
        <w:rPr>
          <w:rFonts w:ascii="Arial" w:hAnsi="Arial" w:cs="Arial"/>
          <w:sz w:val="18"/>
          <w:szCs w:val="18"/>
          <w:lang w:val="en-US"/>
        </w:rPr>
        <w:t xml:space="preserve"> with reference to </w:t>
      </w:r>
      <w:r w:rsidR="00382AC0" w:rsidRPr="00A2527D">
        <w:rPr>
          <w:rFonts w:ascii="Arial" w:hAnsi="Arial" w:cs="Arial"/>
          <w:color w:val="000000"/>
          <w:sz w:val="18"/>
          <w:szCs w:val="18"/>
        </w:rPr>
        <w:t>judgment of 15 April 2021, Administration de l’Enregistrement, des Domaines et de la TVA, C</w:t>
      </w:r>
      <w:r w:rsidR="00382AC0" w:rsidRPr="00A2527D">
        <w:rPr>
          <w:rFonts w:ascii="Arial" w:hAnsi="Arial" w:cs="Arial"/>
          <w:color w:val="000000"/>
          <w:sz w:val="18"/>
          <w:szCs w:val="18"/>
        </w:rPr>
        <w:noBreakHyphen/>
        <w:t>846/19, EU:C:2021:277, paragraph 43, and the case-law cited</w:t>
      </w:r>
      <w:r w:rsidR="00382AC0" w:rsidRPr="00473AE8">
        <w:rPr>
          <w:rFonts w:ascii="Arial" w:hAnsi="Arial" w:cs="Arial"/>
          <w:color w:val="000000"/>
          <w:sz w:val="18"/>
          <w:szCs w:val="18"/>
          <w:lang w:val="en-US"/>
        </w:rPr>
        <w:t>.</w:t>
      </w:r>
    </w:p>
  </w:footnote>
  <w:footnote w:id="36">
    <w:p w14:paraId="3450CF7A" w14:textId="2ADEAD23" w:rsidR="00501686" w:rsidRPr="00A2527D" w:rsidRDefault="00501686">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B02A01">
        <w:rPr>
          <w:rFonts w:ascii="Arial" w:hAnsi="Arial" w:cs="Arial"/>
          <w:sz w:val="18"/>
          <w:szCs w:val="18"/>
          <w:lang w:val="en-US"/>
        </w:rPr>
        <w:t xml:space="preserve">Court decision paragraph </w:t>
      </w:r>
      <w:r w:rsidRPr="00A2527D">
        <w:rPr>
          <w:rFonts w:ascii="Arial" w:hAnsi="Arial" w:cs="Arial"/>
          <w:sz w:val="18"/>
          <w:szCs w:val="18"/>
          <w:lang w:val="en-US"/>
        </w:rPr>
        <w:t>28.</w:t>
      </w:r>
      <w:r w:rsidR="0028359A" w:rsidRPr="00A2527D">
        <w:rPr>
          <w:rFonts w:ascii="Arial" w:hAnsi="Arial" w:cs="Arial"/>
          <w:sz w:val="18"/>
          <w:szCs w:val="18"/>
          <w:lang w:val="en-US"/>
        </w:rPr>
        <w:t xml:space="preserve"> </w:t>
      </w:r>
      <w:r w:rsidR="0028359A" w:rsidRPr="00A2527D">
        <w:rPr>
          <w:rFonts w:ascii="Arial" w:hAnsi="Arial" w:cs="Arial"/>
          <w:color w:val="000000" w:themeColor="text1"/>
          <w:sz w:val="18"/>
          <w:szCs w:val="18"/>
          <w:lang w:val="en-US"/>
        </w:rPr>
        <w:t xml:space="preserve">The CJEU here added that the anti-abuse rule foreseen under Article 80 of the VAT Directive may not apply unless the </w:t>
      </w:r>
      <w:r w:rsidR="0028359A" w:rsidRPr="00A2527D">
        <w:rPr>
          <w:rFonts w:ascii="Arial" w:hAnsi="Arial" w:cs="Arial"/>
          <w:color w:val="000000" w:themeColor="text1"/>
          <w:sz w:val="18"/>
          <w:szCs w:val="18"/>
        </w:rPr>
        <w:t xml:space="preserve">goods </w:t>
      </w:r>
      <w:r w:rsidR="0028359A" w:rsidRPr="00A2527D">
        <w:rPr>
          <w:rFonts w:ascii="Arial" w:hAnsi="Arial" w:cs="Arial"/>
          <w:color w:val="000000" w:themeColor="text1"/>
          <w:sz w:val="18"/>
          <w:szCs w:val="18"/>
          <w:lang w:val="en-US"/>
        </w:rPr>
        <w:t>or</w:t>
      </w:r>
      <w:r w:rsidR="0028359A" w:rsidRPr="00A2527D">
        <w:rPr>
          <w:rFonts w:ascii="Arial" w:hAnsi="Arial" w:cs="Arial"/>
          <w:color w:val="000000" w:themeColor="text1"/>
          <w:sz w:val="18"/>
          <w:szCs w:val="18"/>
        </w:rPr>
        <w:t xml:space="preserve"> services </w:t>
      </w:r>
      <w:r w:rsidR="0028359A" w:rsidRPr="00A2527D">
        <w:rPr>
          <w:rFonts w:ascii="Arial" w:hAnsi="Arial" w:cs="Arial"/>
          <w:color w:val="000000" w:themeColor="text1"/>
          <w:sz w:val="18"/>
          <w:szCs w:val="18"/>
          <w:lang w:val="en-US"/>
        </w:rPr>
        <w:t xml:space="preserve">are supplied </w:t>
      </w:r>
      <w:r w:rsidR="0028359A" w:rsidRPr="00A2527D">
        <w:rPr>
          <w:rFonts w:ascii="Arial" w:hAnsi="Arial" w:cs="Arial"/>
          <w:color w:val="000000" w:themeColor="text1"/>
          <w:sz w:val="18"/>
          <w:szCs w:val="18"/>
        </w:rPr>
        <w:t>to recipients with whom there are family or other close personal, management, ownership, membership, financial or legal ties, as defined by the Member State concerned</w:t>
      </w:r>
      <w:r w:rsidR="0028359A" w:rsidRPr="00A2527D">
        <w:rPr>
          <w:rFonts w:ascii="Arial" w:hAnsi="Arial" w:cs="Arial"/>
          <w:color w:val="000000" w:themeColor="text1"/>
          <w:sz w:val="18"/>
          <w:szCs w:val="18"/>
          <w:lang w:val="en-US"/>
        </w:rPr>
        <w:t xml:space="preserve"> (</w:t>
      </w:r>
      <w:r w:rsidR="0028359A" w:rsidRPr="00A2527D">
        <w:rPr>
          <w:rFonts w:ascii="Arial" w:hAnsi="Arial" w:cs="Arial"/>
          <w:sz w:val="18"/>
          <w:szCs w:val="18"/>
          <w:lang w:val="en-US"/>
        </w:rPr>
        <w:t>Para 29).</w:t>
      </w:r>
    </w:p>
  </w:footnote>
  <w:footnote w:id="37">
    <w:p w14:paraId="08432266" w14:textId="3F7AE14A" w:rsidR="00501686" w:rsidRPr="00A2527D" w:rsidRDefault="00501686">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30.</w:t>
      </w:r>
    </w:p>
  </w:footnote>
  <w:footnote w:id="38">
    <w:p w14:paraId="372EF9E6" w14:textId="6BD968FE" w:rsidR="00501686" w:rsidRPr="00A2527D" w:rsidRDefault="00501686">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 xml:space="preserve">31 with reference to </w:t>
      </w:r>
      <w:r w:rsidRPr="00A2527D">
        <w:rPr>
          <w:rFonts w:ascii="Arial" w:hAnsi="Arial" w:cs="Arial"/>
          <w:color w:val="000000"/>
          <w:sz w:val="18"/>
          <w:szCs w:val="18"/>
        </w:rPr>
        <w:t>judgments of 14 September 2017, Iberdrola Inmobiliaria Real Estate Investments, C</w:t>
      </w:r>
      <w:r w:rsidRPr="00A2527D">
        <w:rPr>
          <w:rFonts w:ascii="Arial" w:hAnsi="Arial" w:cs="Arial"/>
          <w:color w:val="000000"/>
          <w:sz w:val="18"/>
          <w:szCs w:val="18"/>
        </w:rPr>
        <w:noBreakHyphen/>
        <w:t>132/16, EU:C:2017:683, paragraph 28, and of 16 September 2020, Mitteldeutsche Hartstein-Industrie, C</w:t>
      </w:r>
      <w:r w:rsidRPr="00A2527D">
        <w:rPr>
          <w:rFonts w:ascii="Arial" w:hAnsi="Arial" w:cs="Arial"/>
          <w:color w:val="000000"/>
          <w:sz w:val="18"/>
          <w:szCs w:val="18"/>
        </w:rPr>
        <w:noBreakHyphen/>
        <w:t>528/19, EU:C:2020:712, paragraph 26 and the case-law cited.</w:t>
      </w:r>
    </w:p>
  </w:footnote>
  <w:footnote w:id="39">
    <w:p w14:paraId="74DDF02C" w14:textId="6BB00AA6" w:rsidR="00382AC0" w:rsidRPr="00A2527D" w:rsidRDefault="00382AC0">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 xml:space="preserve">32 with reference to </w:t>
      </w:r>
      <w:r w:rsidRPr="00A2527D">
        <w:rPr>
          <w:rFonts w:ascii="Arial" w:hAnsi="Arial" w:cs="Arial"/>
          <w:color w:val="000000"/>
          <w:sz w:val="18"/>
          <w:szCs w:val="18"/>
        </w:rPr>
        <w:t>judgments of 14 September 2017, Iberdrola Inmobiliaria Real Estate Investments, C</w:t>
      </w:r>
      <w:r w:rsidRPr="00A2527D">
        <w:rPr>
          <w:rFonts w:ascii="Arial" w:hAnsi="Arial" w:cs="Arial"/>
          <w:color w:val="000000"/>
          <w:sz w:val="18"/>
          <w:szCs w:val="18"/>
        </w:rPr>
        <w:noBreakHyphen/>
        <w:t>132/16, EU:C:2017:683, paragraph 29, and of 16 September 2020, Mitteldeutsche Hartstein-Industrie, C</w:t>
      </w:r>
      <w:r w:rsidRPr="00A2527D">
        <w:rPr>
          <w:rFonts w:ascii="Arial" w:hAnsi="Arial" w:cs="Arial"/>
          <w:color w:val="000000"/>
          <w:sz w:val="18"/>
          <w:szCs w:val="18"/>
        </w:rPr>
        <w:noBreakHyphen/>
        <w:t>528/19, EU:C:2020:712, paragraph 27 and the case-law cited</w:t>
      </w:r>
      <w:r w:rsidR="005D25DC" w:rsidRPr="00A2527D">
        <w:rPr>
          <w:rFonts w:ascii="Arial" w:hAnsi="Arial" w:cs="Arial"/>
          <w:color w:val="000000"/>
          <w:sz w:val="18"/>
          <w:szCs w:val="18"/>
          <w:lang w:val="en-US"/>
        </w:rPr>
        <w:t xml:space="preserve">. </w:t>
      </w:r>
      <w:r w:rsidR="00A2527D">
        <w:rPr>
          <w:rFonts w:ascii="Arial" w:hAnsi="Arial" w:cs="Arial"/>
          <w:color w:val="000000"/>
          <w:sz w:val="18"/>
          <w:szCs w:val="18"/>
          <w:lang w:val="en-US"/>
        </w:rPr>
        <w:t xml:space="preserve">See also </w:t>
      </w:r>
      <w:r w:rsidR="00A2527D" w:rsidRPr="00A2527D">
        <w:rPr>
          <w:rFonts w:ascii="Arial" w:hAnsi="Arial" w:cs="Arial"/>
          <w:sz w:val="18"/>
          <w:szCs w:val="18"/>
          <w:lang w:val="en-US"/>
        </w:rPr>
        <w:t xml:space="preserve">Court decision paragraph </w:t>
      </w:r>
      <w:r w:rsidR="005D25DC" w:rsidRPr="00A2527D">
        <w:rPr>
          <w:rFonts w:ascii="Arial" w:hAnsi="Arial" w:cs="Arial"/>
          <w:sz w:val="18"/>
          <w:szCs w:val="18"/>
          <w:lang w:val="en-US"/>
        </w:rPr>
        <w:t xml:space="preserve">34 with reference to </w:t>
      </w:r>
      <w:r w:rsidR="005D25DC" w:rsidRPr="00A2527D">
        <w:rPr>
          <w:rFonts w:ascii="Arial" w:hAnsi="Arial" w:cs="Arial"/>
          <w:color w:val="000000"/>
          <w:sz w:val="18"/>
          <w:szCs w:val="18"/>
        </w:rPr>
        <w:t>judgments of 14 September 2017, Iberdrola Inmobiliaria Real Estate Investments, C</w:t>
      </w:r>
      <w:r w:rsidR="005D25DC" w:rsidRPr="00A2527D">
        <w:rPr>
          <w:rFonts w:ascii="Arial" w:hAnsi="Arial" w:cs="Arial"/>
          <w:color w:val="000000"/>
          <w:sz w:val="18"/>
          <w:szCs w:val="18"/>
        </w:rPr>
        <w:noBreakHyphen/>
        <w:t>132/16, EU:C:2017:683, paragraph 31, and of 16 September 2020, Mitteldeutsche Hartstein-Industrie, C</w:t>
      </w:r>
      <w:r w:rsidR="005D25DC" w:rsidRPr="00A2527D">
        <w:rPr>
          <w:rFonts w:ascii="Arial" w:hAnsi="Arial" w:cs="Arial"/>
          <w:color w:val="000000"/>
          <w:sz w:val="18"/>
          <w:szCs w:val="18"/>
        </w:rPr>
        <w:noBreakHyphen/>
        <w:t>528/19, EU:C:2020:712, paragraph 30 and the case-law cited.</w:t>
      </w:r>
    </w:p>
  </w:footnote>
  <w:footnote w:id="40">
    <w:p w14:paraId="0E154987" w14:textId="0E866BF7" w:rsidR="00C12AFA" w:rsidRPr="00A2527D" w:rsidRDefault="00C12AFA">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B02A01">
        <w:rPr>
          <w:rFonts w:ascii="Arial" w:hAnsi="Arial" w:cs="Arial"/>
          <w:sz w:val="18"/>
          <w:szCs w:val="18"/>
          <w:lang w:val="en-US"/>
        </w:rPr>
        <w:t xml:space="preserve">Court decision paragraph </w:t>
      </w:r>
      <w:r w:rsidRPr="00A2527D">
        <w:rPr>
          <w:rFonts w:ascii="Arial" w:hAnsi="Arial" w:cs="Arial"/>
          <w:sz w:val="18"/>
          <w:szCs w:val="18"/>
          <w:lang w:val="en-US"/>
        </w:rPr>
        <w:t xml:space="preserve">35. </w:t>
      </w:r>
      <w:r w:rsidR="00AD03DF" w:rsidRPr="00A2527D">
        <w:rPr>
          <w:rFonts w:ascii="Arial" w:hAnsi="Arial" w:cs="Arial"/>
          <w:color w:val="000000" w:themeColor="text1"/>
          <w:sz w:val="18"/>
          <w:szCs w:val="18"/>
          <w:lang w:val="en-US"/>
        </w:rPr>
        <w:t xml:space="preserve">This is because </w:t>
      </w:r>
      <w:r w:rsidR="00AD03DF" w:rsidRPr="00A2527D">
        <w:rPr>
          <w:rFonts w:ascii="Arial" w:hAnsi="Arial" w:cs="Arial"/>
          <w:color w:val="000000" w:themeColor="text1"/>
          <w:sz w:val="18"/>
          <w:szCs w:val="18"/>
        </w:rPr>
        <w:t xml:space="preserve">the common system of VAT ensures neutrality of taxation of all economic activities, whatever their purpose or results, </w:t>
      </w:r>
      <w:proofErr w:type="gramStart"/>
      <w:r w:rsidR="00AD03DF" w:rsidRPr="00A2527D">
        <w:rPr>
          <w:rFonts w:ascii="Arial" w:hAnsi="Arial" w:cs="Arial"/>
          <w:color w:val="000000" w:themeColor="text1"/>
          <w:sz w:val="18"/>
          <w:szCs w:val="18"/>
        </w:rPr>
        <w:t>provided that</w:t>
      </w:r>
      <w:proofErr w:type="gramEnd"/>
      <w:r w:rsidR="00AD03DF" w:rsidRPr="00A2527D">
        <w:rPr>
          <w:rFonts w:ascii="Arial" w:hAnsi="Arial" w:cs="Arial"/>
          <w:color w:val="000000" w:themeColor="text1"/>
          <w:sz w:val="18"/>
          <w:szCs w:val="18"/>
        </w:rPr>
        <w:t xml:space="preserve"> they are themselves subject in principle to VAT. Therefore, the right to deduct, once it has arisen, is retained even if, subsequently, the economic activity envisaged has not been carried out and, therefore, did not give rise to taxed transactions or if the taxable person was unable to use the goods or services which gave rise to a deduction in the context of taxable transactions by reason of circumstances beyond his or her control</w:t>
      </w:r>
      <w:r w:rsidR="00AD03DF" w:rsidRPr="00A2527D">
        <w:rPr>
          <w:rFonts w:ascii="Arial" w:hAnsi="Arial" w:cs="Arial"/>
          <w:color w:val="000000" w:themeColor="text1"/>
          <w:sz w:val="18"/>
          <w:szCs w:val="18"/>
          <w:lang w:val="en-US"/>
        </w:rPr>
        <w:t>.</w:t>
      </w:r>
      <w:r w:rsidR="00AD03DF" w:rsidRPr="00A2527D">
        <w:rPr>
          <w:rFonts w:ascii="Arial" w:hAnsi="Arial" w:cs="Arial"/>
          <w:sz w:val="18"/>
          <w:szCs w:val="18"/>
          <w:lang w:val="en-US"/>
        </w:rPr>
        <w:t xml:space="preserve"> Para 35 with reference to </w:t>
      </w:r>
      <w:r w:rsidR="00AD03DF" w:rsidRPr="00A2527D">
        <w:rPr>
          <w:rFonts w:ascii="Arial" w:hAnsi="Arial" w:cs="Arial"/>
          <w:color w:val="000000"/>
          <w:sz w:val="18"/>
          <w:szCs w:val="18"/>
        </w:rPr>
        <w:t>judgment of 12 November 2020, Sonaecom, C</w:t>
      </w:r>
      <w:r w:rsidR="00AD03DF" w:rsidRPr="00A2527D">
        <w:rPr>
          <w:rFonts w:ascii="Arial" w:hAnsi="Arial" w:cs="Arial"/>
          <w:color w:val="000000"/>
          <w:sz w:val="18"/>
          <w:szCs w:val="18"/>
        </w:rPr>
        <w:noBreakHyphen/>
        <w:t>42/19, EU:C:2020:913, paragraphs 38 and 40 and the case-law cited.</w:t>
      </w:r>
    </w:p>
  </w:footnote>
  <w:footnote w:id="41">
    <w:p w14:paraId="3FFE7F87" w14:textId="338E7D39" w:rsidR="00940622" w:rsidRPr="00A2527D" w:rsidRDefault="00940622">
      <w:pPr>
        <w:pStyle w:val="FootnoteText"/>
        <w:rPr>
          <w:rFonts w:ascii="Arial" w:hAnsi="Arial" w:cs="Arial"/>
          <w:sz w:val="18"/>
          <w:szCs w:val="18"/>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Pr="00A2527D">
        <w:rPr>
          <w:rFonts w:ascii="Arial" w:eastAsia="Times New Roman" w:hAnsi="Arial" w:cs="Arial"/>
          <w:color w:val="000000"/>
          <w:sz w:val="18"/>
          <w:szCs w:val="18"/>
          <w:lang w:val="en-GB" w:eastAsia="en-GB"/>
        </w:rPr>
        <w:t>J</w:t>
      </w:r>
      <w:r w:rsidRPr="00940622">
        <w:rPr>
          <w:rFonts w:ascii="Arial" w:eastAsia="Times New Roman" w:hAnsi="Arial" w:cs="Arial"/>
          <w:color w:val="000000"/>
          <w:sz w:val="18"/>
          <w:szCs w:val="18"/>
          <w:lang w:val="en-GB" w:eastAsia="en-GB"/>
        </w:rPr>
        <w:t>udgment of 8 November 2018, C&amp;D Foods Acquisition (C</w:t>
      </w:r>
      <w:r w:rsidRPr="00940622">
        <w:rPr>
          <w:rFonts w:ascii="Arial" w:eastAsia="Times New Roman" w:hAnsi="Arial" w:cs="Arial"/>
          <w:color w:val="000000"/>
          <w:sz w:val="18"/>
          <w:szCs w:val="18"/>
          <w:lang w:val="en-GB" w:eastAsia="en-GB"/>
        </w:rPr>
        <w:noBreakHyphen/>
        <w:t>502/17, EU:C:2018:888,</w:t>
      </w:r>
    </w:p>
  </w:footnote>
  <w:footnote w:id="42">
    <w:p w14:paraId="47574449" w14:textId="72E8F509" w:rsidR="00940622" w:rsidRPr="00A2527D" w:rsidRDefault="00940622">
      <w:pPr>
        <w:pStyle w:val="FootnoteText"/>
        <w:rPr>
          <w:rFonts w:ascii="Arial" w:hAnsi="Arial" w:cs="Arial"/>
          <w:sz w:val="18"/>
          <w:szCs w:val="18"/>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00A2527D" w:rsidRPr="00A2527D">
        <w:rPr>
          <w:rFonts w:ascii="Arial" w:hAnsi="Arial" w:cs="Arial"/>
          <w:sz w:val="18"/>
          <w:szCs w:val="18"/>
          <w:lang w:val="en-US"/>
        </w:rPr>
        <w:t xml:space="preserve">Judgment of </w:t>
      </w:r>
      <w:r w:rsidRPr="00940622">
        <w:rPr>
          <w:rFonts w:ascii="Arial" w:eastAsia="Times New Roman" w:hAnsi="Arial" w:cs="Arial"/>
          <w:color w:val="000000"/>
          <w:sz w:val="18"/>
          <w:szCs w:val="18"/>
          <w:lang w:val="en-GB" w:eastAsia="en-GB"/>
        </w:rPr>
        <w:t xml:space="preserve">14 September 2017, Iberdrola </w:t>
      </w:r>
      <w:proofErr w:type="spellStart"/>
      <w:r w:rsidRPr="00940622">
        <w:rPr>
          <w:rFonts w:ascii="Arial" w:eastAsia="Times New Roman" w:hAnsi="Arial" w:cs="Arial"/>
          <w:color w:val="000000"/>
          <w:sz w:val="18"/>
          <w:szCs w:val="18"/>
          <w:lang w:val="en-GB" w:eastAsia="en-GB"/>
        </w:rPr>
        <w:t>Inmobiliaria</w:t>
      </w:r>
      <w:proofErr w:type="spellEnd"/>
      <w:r w:rsidRPr="00940622">
        <w:rPr>
          <w:rFonts w:ascii="Arial" w:eastAsia="Times New Roman" w:hAnsi="Arial" w:cs="Arial"/>
          <w:color w:val="000000"/>
          <w:sz w:val="18"/>
          <w:szCs w:val="18"/>
          <w:lang w:val="en-GB" w:eastAsia="en-GB"/>
        </w:rPr>
        <w:t xml:space="preserve"> Real Estate Investments (C</w:t>
      </w:r>
      <w:r w:rsidRPr="00940622">
        <w:rPr>
          <w:rFonts w:ascii="Arial" w:eastAsia="Times New Roman" w:hAnsi="Arial" w:cs="Arial"/>
          <w:color w:val="000000"/>
          <w:sz w:val="18"/>
          <w:szCs w:val="18"/>
          <w:lang w:val="en-GB" w:eastAsia="en-GB"/>
        </w:rPr>
        <w:noBreakHyphen/>
        <w:t>132/16, EU:C:2017:683)</w:t>
      </w:r>
      <w:r w:rsidRPr="00A2527D">
        <w:rPr>
          <w:rFonts w:ascii="Arial" w:eastAsia="Times New Roman" w:hAnsi="Arial" w:cs="Arial"/>
          <w:color w:val="000000"/>
          <w:sz w:val="18"/>
          <w:szCs w:val="18"/>
          <w:lang w:val="en-GB" w:eastAsia="en-GB"/>
        </w:rPr>
        <w:t>.</w:t>
      </w:r>
    </w:p>
  </w:footnote>
  <w:footnote w:id="43">
    <w:p w14:paraId="5B4097EB" w14:textId="6451C727" w:rsidR="00940622" w:rsidRPr="00A2527D" w:rsidRDefault="00940622">
      <w:pPr>
        <w:pStyle w:val="FootnoteText"/>
        <w:rPr>
          <w:rFonts w:ascii="Arial" w:hAnsi="Arial" w:cs="Arial"/>
          <w:sz w:val="18"/>
          <w:szCs w:val="18"/>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00A2527D" w:rsidRPr="00A2527D">
        <w:rPr>
          <w:rFonts w:ascii="Arial" w:hAnsi="Arial" w:cs="Arial"/>
          <w:sz w:val="18"/>
          <w:szCs w:val="18"/>
          <w:lang w:val="en-US"/>
        </w:rPr>
        <w:t xml:space="preserve">Judgment of </w:t>
      </w:r>
      <w:r w:rsidRPr="00940622">
        <w:rPr>
          <w:rFonts w:ascii="Arial" w:eastAsia="Times New Roman" w:hAnsi="Arial" w:cs="Arial"/>
          <w:color w:val="000000"/>
          <w:sz w:val="18"/>
          <w:szCs w:val="18"/>
          <w:lang w:val="en-GB" w:eastAsia="en-GB"/>
        </w:rPr>
        <w:t xml:space="preserve">3 July 2019, The Chancellor, </w:t>
      </w:r>
      <w:proofErr w:type="gramStart"/>
      <w:r w:rsidRPr="00940622">
        <w:rPr>
          <w:rFonts w:ascii="Arial" w:eastAsia="Times New Roman" w:hAnsi="Arial" w:cs="Arial"/>
          <w:color w:val="000000"/>
          <w:sz w:val="18"/>
          <w:szCs w:val="18"/>
          <w:lang w:val="en-GB" w:eastAsia="en-GB"/>
        </w:rPr>
        <w:t>Masters</w:t>
      </w:r>
      <w:proofErr w:type="gramEnd"/>
      <w:r w:rsidRPr="00940622">
        <w:rPr>
          <w:rFonts w:ascii="Arial" w:eastAsia="Times New Roman" w:hAnsi="Arial" w:cs="Arial"/>
          <w:color w:val="000000"/>
          <w:sz w:val="18"/>
          <w:szCs w:val="18"/>
          <w:lang w:val="en-GB" w:eastAsia="en-GB"/>
        </w:rPr>
        <w:t xml:space="preserve"> and Scholars of the University of Cambridge (C</w:t>
      </w:r>
      <w:r w:rsidRPr="00940622">
        <w:rPr>
          <w:rFonts w:ascii="Arial" w:eastAsia="Times New Roman" w:hAnsi="Arial" w:cs="Arial"/>
          <w:color w:val="000000"/>
          <w:sz w:val="18"/>
          <w:szCs w:val="18"/>
          <w:lang w:val="en-GB" w:eastAsia="en-GB"/>
        </w:rPr>
        <w:noBreakHyphen/>
        <w:t>316/18, EU:C:2019:559)</w:t>
      </w:r>
      <w:r w:rsidRPr="00A2527D">
        <w:rPr>
          <w:rFonts w:ascii="Arial" w:eastAsia="Times New Roman" w:hAnsi="Arial" w:cs="Arial"/>
          <w:color w:val="000000"/>
          <w:sz w:val="18"/>
          <w:szCs w:val="18"/>
          <w:lang w:val="en-GB" w:eastAsia="en-GB"/>
        </w:rPr>
        <w:t>.</w:t>
      </w:r>
    </w:p>
  </w:footnote>
  <w:footnote w:id="44">
    <w:p w14:paraId="437A1D6B" w14:textId="3B77ECE9" w:rsidR="00940622" w:rsidRPr="00A2527D" w:rsidRDefault="00940622">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02A01">
        <w:rPr>
          <w:rFonts w:ascii="Arial" w:hAnsi="Arial" w:cs="Arial"/>
          <w:sz w:val="18"/>
          <w:szCs w:val="18"/>
          <w:lang w:val="en-US"/>
        </w:rPr>
        <w:t xml:space="preserve">CJEU, </w:t>
      </w:r>
      <w:r w:rsidR="00A2527D" w:rsidRPr="00A2527D">
        <w:rPr>
          <w:rFonts w:ascii="Arial" w:hAnsi="Arial" w:cs="Arial"/>
          <w:sz w:val="18"/>
          <w:szCs w:val="18"/>
          <w:lang w:val="en-US"/>
        </w:rPr>
        <w:t xml:space="preserve">Judgment </w:t>
      </w:r>
      <w:r w:rsidRPr="00940622">
        <w:rPr>
          <w:rFonts w:ascii="Arial" w:eastAsia="Times New Roman" w:hAnsi="Arial" w:cs="Arial"/>
          <w:color w:val="000000"/>
          <w:sz w:val="18"/>
          <w:szCs w:val="18"/>
          <w:lang w:val="en-GB" w:eastAsia="en-GB"/>
        </w:rPr>
        <w:t xml:space="preserve">of 1 October 2020, Vos </w:t>
      </w:r>
      <w:proofErr w:type="spellStart"/>
      <w:r w:rsidRPr="00940622">
        <w:rPr>
          <w:rFonts w:ascii="Arial" w:eastAsia="Times New Roman" w:hAnsi="Arial" w:cs="Arial"/>
          <w:color w:val="000000"/>
          <w:sz w:val="18"/>
          <w:szCs w:val="18"/>
          <w:lang w:val="en-GB" w:eastAsia="en-GB"/>
        </w:rPr>
        <w:t>Aannemingen</w:t>
      </w:r>
      <w:proofErr w:type="spellEnd"/>
      <w:r w:rsidRPr="00940622">
        <w:rPr>
          <w:rFonts w:ascii="Arial" w:eastAsia="Times New Roman" w:hAnsi="Arial" w:cs="Arial"/>
          <w:color w:val="000000"/>
          <w:sz w:val="18"/>
          <w:szCs w:val="18"/>
          <w:lang w:val="en-GB" w:eastAsia="en-GB"/>
        </w:rPr>
        <w:t> (C</w:t>
      </w:r>
      <w:r w:rsidRPr="00940622">
        <w:rPr>
          <w:rFonts w:ascii="Arial" w:eastAsia="Times New Roman" w:hAnsi="Arial" w:cs="Arial"/>
          <w:color w:val="000000"/>
          <w:sz w:val="18"/>
          <w:szCs w:val="18"/>
          <w:lang w:val="en-GB" w:eastAsia="en-GB"/>
        </w:rPr>
        <w:noBreakHyphen/>
        <w:t>405/19, EU:C:2020:785)</w:t>
      </w:r>
      <w:r w:rsidR="00A2527D">
        <w:rPr>
          <w:rFonts w:ascii="Arial" w:eastAsia="Times New Roman" w:hAnsi="Arial" w:cs="Arial"/>
          <w:color w:val="000000"/>
          <w:sz w:val="18"/>
          <w:szCs w:val="18"/>
          <w:lang w:val="en-GB" w:eastAsia="en-GB"/>
        </w:rPr>
        <w:t>.</w:t>
      </w:r>
    </w:p>
  </w:footnote>
  <w:footnote w:id="45">
    <w:p w14:paraId="61CEB344" w14:textId="7337E8F5" w:rsidR="005D26EF" w:rsidRPr="00A2527D" w:rsidRDefault="005D26EF" w:rsidP="00A2527D">
      <w:pPr>
        <w:pStyle w:val="FootnoteText"/>
        <w:rPr>
          <w:rFonts w:ascii="Arial" w:eastAsia="Times New Roman" w:hAnsi="Arial" w:cs="Arial"/>
          <w:color w:val="000000"/>
          <w:sz w:val="18"/>
          <w:szCs w:val="18"/>
          <w:lang w:eastAsia="en-GB"/>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41 with reference to</w:t>
      </w:r>
      <w:r w:rsidR="00A2527D">
        <w:rPr>
          <w:rFonts w:ascii="Arial" w:hAnsi="Arial" w:cs="Arial"/>
          <w:sz w:val="18"/>
          <w:szCs w:val="18"/>
          <w:lang w:val="en-US"/>
        </w:rPr>
        <w:t xml:space="preserve"> </w:t>
      </w:r>
      <w:r w:rsidRPr="00A2527D">
        <w:rPr>
          <w:rFonts w:ascii="Arial" w:eastAsia="Times New Roman" w:hAnsi="Arial" w:cs="Arial"/>
          <w:color w:val="000000"/>
          <w:sz w:val="18"/>
          <w:szCs w:val="18"/>
          <w:lang w:eastAsia="en-GB"/>
        </w:rPr>
        <w:t>judgments of 17 October 2018, Ryanair, C</w:t>
      </w:r>
      <w:r w:rsidRPr="00A2527D">
        <w:rPr>
          <w:rFonts w:ascii="Arial" w:eastAsia="Times New Roman" w:hAnsi="Arial" w:cs="Arial"/>
          <w:color w:val="000000"/>
          <w:sz w:val="18"/>
          <w:szCs w:val="18"/>
          <w:lang w:eastAsia="en-GB"/>
        </w:rPr>
        <w:noBreakHyphen/>
        <w:t>249/17, EU:C:2018:834, paragraph 16, and of 8 November 2018, C&amp;D Foods Acquisition, C</w:t>
      </w:r>
      <w:r w:rsidRPr="00A2527D">
        <w:rPr>
          <w:rFonts w:ascii="Arial" w:eastAsia="Times New Roman" w:hAnsi="Arial" w:cs="Arial"/>
          <w:color w:val="000000"/>
          <w:sz w:val="18"/>
          <w:szCs w:val="18"/>
          <w:lang w:eastAsia="en-GB"/>
        </w:rPr>
        <w:noBreakHyphen/>
        <w:t>502/17, EU:C:2018:888, paragraph 30.</w:t>
      </w:r>
    </w:p>
  </w:footnote>
  <w:footnote w:id="46">
    <w:p w14:paraId="46196F62" w14:textId="562C9008" w:rsidR="005D26EF" w:rsidRPr="00A2527D" w:rsidRDefault="005D26EF" w:rsidP="00A2527D">
      <w:pPr>
        <w:pStyle w:val="FootnoteText"/>
        <w:rPr>
          <w:rFonts w:ascii="Arial" w:eastAsia="Times New Roman" w:hAnsi="Arial" w:cs="Arial"/>
          <w:color w:val="000000"/>
          <w:sz w:val="18"/>
          <w:szCs w:val="18"/>
          <w:lang w:eastAsia="en-GB"/>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 xml:space="preserve">42 with reference to </w:t>
      </w:r>
      <w:r w:rsidRPr="00A2527D">
        <w:rPr>
          <w:rFonts w:ascii="Arial" w:eastAsia="Times New Roman" w:hAnsi="Arial" w:cs="Arial"/>
          <w:color w:val="000000"/>
          <w:sz w:val="18"/>
          <w:szCs w:val="18"/>
          <w:lang w:eastAsia="en-GB"/>
        </w:rPr>
        <w:t>judgments of 16 July 2015, Larentia + Minerva and Marenave Schiffahrt, C</w:t>
      </w:r>
      <w:r w:rsidRPr="00A2527D">
        <w:rPr>
          <w:rFonts w:ascii="Arial" w:eastAsia="Times New Roman" w:hAnsi="Arial" w:cs="Arial"/>
          <w:color w:val="000000"/>
          <w:sz w:val="18"/>
          <w:szCs w:val="18"/>
          <w:lang w:eastAsia="en-GB"/>
        </w:rPr>
        <w:noBreakHyphen/>
        <w:t>108/14 and C</w:t>
      </w:r>
      <w:r w:rsidRPr="00A2527D">
        <w:rPr>
          <w:rFonts w:ascii="Arial" w:eastAsia="Times New Roman" w:hAnsi="Arial" w:cs="Arial"/>
          <w:color w:val="000000"/>
          <w:sz w:val="18"/>
          <w:szCs w:val="18"/>
          <w:lang w:eastAsia="en-GB"/>
        </w:rPr>
        <w:noBreakHyphen/>
        <w:t>109/14, EU:C:2015:496, paragraphs 20 and 21 and the case-law cited, and of 5 July 2018, Marle Participations, C</w:t>
      </w:r>
      <w:r w:rsidRPr="00A2527D">
        <w:rPr>
          <w:rFonts w:ascii="Arial" w:eastAsia="Times New Roman" w:hAnsi="Arial" w:cs="Arial"/>
          <w:color w:val="000000"/>
          <w:sz w:val="18"/>
          <w:szCs w:val="18"/>
          <w:lang w:eastAsia="en-GB"/>
        </w:rPr>
        <w:noBreakHyphen/>
        <w:t xml:space="preserve">320/17, EU:C:2018:537, paragraphs 31 and 32. </w:t>
      </w:r>
    </w:p>
  </w:footnote>
  <w:footnote w:id="47">
    <w:p w14:paraId="43E7A198" w14:textId="4B6F8D68" w:rsidR="00F05F4D" w:rsidRPr="00A2527D" w:rsidRDefault="00F05F4D">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43 and 44.</w:t>
      </w:r>
    </w:p>
  </w:footnote>
  <w:footnote w:id="48">
    <w:p w14:paraId="5D5CD97D" w14:textId="4E55E9A3" w:rsidR="00751999" w:rsidRPr="00A2527D" w:rsidRDefault="00751999">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52 and 53.</w:t>
      </w:r>
    </w:p>
  </w:footnote>
  <w:footnote w:id="49">
    <w:p w14:paraId="2FF30267" w14:textId="45324B8B" w:rsidR="00832BFC" w:rsidRPr="00A2527D" w:rsidRDefault="00832BFC">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A2527D" w:rsidRPr="00A2527D">
        <w:rPr>
          <w:rFonts w:ascii="Arial" w:hAnsi="Arial" w:cs="Arial"/>
          <w:sz w:val="18"/>
          <w:szCs w:val="18"/>
          <w:lang w:val="en-US"/>
        </w:rPr>
        <w:t xml:space="preserve">Court decision paragraph </w:t>
      </w:r>
      <w:r w:rsidRPr="00A2527D">
        <w:rPr>
          <w:rFonts w:ascii="Arial" w:hAnsi="Arial" w:cs="Arial"/>
          <w:sz w:val="18"/>
          <w:szCs w:val="18"/>
          <w:lang w:val="en-US"/>
        </w:rPr>
        <w:t>57.</w:t>
      </w:r>
    </w:p>
  </w:footnote>
  <w:footnote w:id="50">
    <w:p w14:paraId="5C2B597B" w14:textId="45D390B9" w:rsidR="00473AE8" w:rsidRPr="00B43707" w:rsidRDefault="00473AE8" w:rsidP="00B43707">
      <w:pPr>
        <w:pStyle w:val="FootnoteText"/>
        <w:rPr>
          <w:rFonts w:ascii="Arial" w:hAnsi="Arial" w:cs="Arial"/>
          <w:color w:val="000000"/>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The question was received by the CJEU on 6 April 2020. The CJEU decided that:</w:t>
      </w:r>
      <w:r w:rsidRPr="00A2527D">
        <w:rPr>
          <w:rFonts w:ascii="Arial" w:hAnsi="Arial" w:cs="Arial"/>
          <w:color w:val="000000"/>
          <w:sz w:val="18"/>
          <w:szCs w:val="18"/>
        </w:rPr>
        <w:t> </w:t>
      </w:r>
      <w:r w:rsidRPr="00A2527D">
        <w:rPr>
          <w:rFonts w:ascii="Arial" w:hAnsi="Arial" w:cs="Arial"/>
          <w:color w:val="000000"/>
          <w:sz w:val="18"/>
          <w:szCs w:val="18"/>
          <w:lang w:val="en-US"/>
        </w:rPr>
        <w:t>“</w:t>
      </w:r>
      <w:r w:rsidRPr="00A2527D">
        <w:rPr>
          <w:rFonts w:ascii="Arial" w:hAnsi="Arial" w:cs="Arial"/>
          <w:color w:val="000000"/>
          <w:sz w:val="18"/>
          <w:szCs w:val="18"/>
        </w:rPr>
        <w:t>It follows from Article 86 of the Agreement on the withdrawal of the United Kingdom of Great Britain and Northern Ireland from the European Union and the European Atomic Energy Community (OJ 2020 L 29, p. 7), which entered into force on 1 February 2020, that the Court has jurisdiction to give preliminary rulings on requests from courts and tribunals of the United Kingdom made before the end of the transition period, fixed at 31 December 2020, which is the case in regard to the present request</w:t>
      </w:r>
      <w:r w:rsidRPr="00A2527D">
        <w:rPr>
          <w:rFonts w:ascii="Arial" w:hAnsi="Arial" w:cs="Arial"/>
          <w:color w:val="000000"/>
          <w:sz w:val="18"/>
          <w:szCs w:val="18"/>
          <w:lang w:val="en-US"/>
        </w:rPr>
        <w:t>” Court decision, para 19</w:t>
      </w:r>
      <w:r w:rsidR="00B43707" w:rsidRPr="00B43707">
        <w:rPr>
          <w:rFonts w:ascii="Arial" w:hAnsi="Arial" w:cs="Arial"/>
          <w:color w:val="000000"/>
          <w:sz w:val="18"/>
          <w:szCs w:val="18"/>
          <w:lang w:val="en-US"/>
        </w:rPr>
        <w:t>.</w:t>
      </w:r>
    </w:p>
  </w:footnote>
  <w:footnote w:id="51">
    <w:p w14:paraId="0614B61A" w14:textId="3E64291F"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21 and reference to </w:t>
      </w:r>
      <w:r w:rsidRPr="00A2527D">
        <w:rPr>
          <w:rFonts w:ascii="Arial" w:hAnsi="Arial" w:cs="Arial"/>
          <w:color w:val="000000"/>
          <w:sz w:val="18"/>
          <w:szCs w:val="18"/>
        </w:rPr>
        <w:t>judgment of 12 April 2018, Biosafe – Indústria de Reciclagens, C</w:t>
      </w:r>
      <w:r w:rsidRPr="00A2527D">
        <w:rPr>
          <w:rFonts w:ascii="Arial" w:hAnsi="Arial" w:cs="Arial"/>
          <w:color w:val="000000"/>
          <w:sz w:val="18"/>
          <w:szCs w:val="18"/>
        </w:rPr>
        <w:noBreakHyphen/>
        <w:t>8/17, EU:C:2018:249, paragraph 29 and the case-law cited.</w:t>
      </w:r>
    </w:p>
  </w:footnote>
  <w:footnote w:id="52">
    <w:p w14:paraId="639AC4EE" w14:textId="77777777" w:rsidR="00473AE8" w:rsidRPr="001A3D7E"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1A3D7E">
        <w:rPr>
          <w:rFonts w:ascii="Arial" w:hAnsi="Arial" w:cs="Arial"/>
          <w:sz w:val="18"/>
          <w:szCs w:val="18"/>
          <w:lang w:val="en-US"/>
        </w:rPr>
        <w:t xml:space="preserve">Court decision paragraph 22. </w:t>
      </w:r>
    </w:p>
  </w:footnote>
  <w:footnote w:id="53">
    <w:p w14:paraId="4381D539" w14:textId="6FA13AEE"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Pr="00A2527D">
        <w:rPr>
          <w:rFonts w:ascii="Arial" w:hAnsi="Arial" w:cs="Arial"/>
          <w:color w:val="000000"/>
          <w:sz w:val="18"/>
          <w:szCs w:val="18"/>
          <w:lang w:val="en-US"/>
        </w:rPr>
        <w:t>J</w:t>
      </w:r>
      <w:r w:rsidRPr="00A2527D">
        <w:rPr>
          <w:rFonts w:ascii="Arial" w:hAnsi="Arial" w:cs="Arial"/>
          <w:color w:val="000000"/>
          <w:sz w:val="18"/>
          <w:szCs w:val="18"/>
        </w:rPr>
        <w:t>udgment of 7 November 2013, Tulică and Plavoşin</w:t>
      </w:r>
      <w:r w:rsidR="00B43707" w:rsidRPr="00B43707">
        <w:rPr>
          <w:rFonts w:ascii="Arial" w:hAnsi="Arial" w:cs="Arial"/>
          <w:color w:val="000000"/>
          <w:sz w:val="18"/>
          <w:szCs w:val="18"/>
          <w:lang w:val="en-US"/>
        </w:rPr>
        <w:t xml:space="preserve">, </w:t>
      </w:r>
      <w:r w:rsidRPr="00A2527D">
        <w:rPr>
          <w:rFonts w:ascii="Arial" w:hAnsi="Arial" w:cs="Arial"/>
          <w:color w:val="000000"/>
          <w:sz w:val="18"/>
          <w:szCs w:val="18"/>
        </w:rPr>
        <w:t>C</w:t>
      </w:r>
      <w:r w:rsidRPr="00A2527D">
        <w:rPr>
          <w:rFonts w:ascii="Arial" w:hAnsi="Arial" w:cs="Arial"/>
          <w:color w:val="000000"/>
          <w:sz w:val="18"/>
          <w:szCs w:val="18"/>
        </w:rPr>
        <w:noBreakHyphen/>
        <w:t>249/12 and C</w:t>
      </w:r>
      <w:r w:rsidRPr="00A2527D">
        <w:rPr>
          <w:rFonts w:ascii="Arial" w:hAnsi="Arial" w:cs="Arial"/>
          <w:color w:val="000000"/>
          <w:sz w:val="18"/>
          <w:szCs w:val="18"/>
        </w:rPr>
        <w:noBreakHyphen/>
        <w:t>250/12, EU:C:2013:722</w:t>
      </w:r>
      <w:r w:rsidRPr="00A2527D">
        <w:rPr>
          <w:rFonts w:ascii="Arial" w:hAnsi="Arial" w:cs="Arial"/>
          <w:color w:val="000000"/>
          <w:sz w:val="18"/>
          <w:szCs w:val="18"/>
          <w:lang w:val="en-US"/>
        </w:rPr>
        <w:t>.</w:t>
      </w:r>
    </w:p>
  </w:footnote>
  <w:footnote w:id="54">
    <w:p w14:paraId="66DDC1B9" w14:textId="3B108212"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Pr="00A2527D">
        <w:rPr>
          <w:rFonts w:ascii="Arial" w:hAnsi="Arial" w:cs="Arial"/>
          <w:color w:val="000000"/>
          <w:sz w:val="18"/>
          <w:szCs w:val="18"/>
          <w:lang w:val="en-US"/>
        </w:rPr>
        <w:t>Ju</w:t>
      </w:r>
      <w:r w:rsidRPr="00A2527D">
        <w:rPr>
          <w:rFonts w:ascii="Arial" w:hAnsi="Arial" w:cs="Arial"/>
          <w:color w:val="000000"/>
          <w:sz w:val="18"/>
          <w:szCs w:val="18"/>
        </w:rPr>
        <w:t>dgment of 7 November 2013, Tulică and Plavoşin, C</w:t>
      </w:r>
      <w:r w:rsidRPr="00A2527D">
        <w:rPr>
          <w:rFonts w:ascii="Arial" w:hAnsi="Arial" w:cs="Arial"/>
          <w:color w:val="000000"/>
          <w:sz w:val="18"/>
          <w:szCs w:val="18"/>
        </w:rPr>
        <w:noBreakHyphen/>
        <w:t>249/12 and C</w:t>
      </w:r>
      <w:r w:rsidRPr="00A2527D">
        <w:rPr>
          <w:rFonts w:ascii="Arial" w:hAnsi="Arial" w:cs="Arial"/>
          <w:color w:val="000000"/>
          <w:sz w:val="18"/>
          <w:szCs w:val="18"/>
        </w:rPr>
        <w:noBreakHyphen/>
        <w:t>250/12, EU:C:2013:722, paragraph 35</w:t>
      </w:r>
      <w:r w:rsidRPr="00A2527D">
        <w:rPr>
          <w:rFonts w:ascii="Arial" w:hAnsi="Arial" w:cs="Arial"/>
          <w:color w:val="000000"/>
          <w:sz w:val="18"/>
          <w:szCs w:val="18"/>
          <w:lang w:val="en-US"/>
        </w:rPr>
        <w:t>.</w:t>
      </w:r>
    </w:p>
  </w:footnote>
  <w:footnote w:id="55">
    <w:p w14:paraId="645DC420" w14:textId="175EB5B3"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00B43707" w:rsidRPr="00B43707">
        <w:rPr>
          <w:rFonts w:ascii="Arial" w:hAnsi="Arial" w:cs="Arial"/>
          <w:sz w:val="18"/>
          <w:szCs w:val="18"/>
          <w:lang w:val="en-US"/>
        </w:rPr>
        <w:t xml:space="preserve">CJEU, </w:t>
      </w:r>
      <w:r w:rsidRPr="00A2527D">
        <w:rPr>
          <w:rFonts w:ascii="Arial" w:hAnsi="Arial" w:cs="Arial"/>
          <w:color w:val="000000"/>
          <w:sz w:val="18"/>
          <w:szCs w:val="18"/>
          <w:lang w:val="en-US"/>
        </w:rPr>
        <w:t>Ju</w:t>
      </w:r>
      <w:r w:rsidRPr="00A2527D">
        <w:rPr>
          <w:rFonts w:ascii="Arial" w:hAnsi="Arial" w:cs="Arial"/>
          <w:color w:val="000000"/>
          <w:sz w:val="18"/>
          <w:szCs w:val="18"/>
        </w:rPr>
        <w:t>dgment of 7 November 2013, Tulică and Plavoşin, C</w:t>
      </w:r>
      <w:r w:rsidRPr="00A2527D">
        <w:rPr>
          <w:rFonts w:ascii="Arial" w:hAnsi="Arial" w:cs="Arial"/>
          <w:color w:val="000000"/>
          <w:sz w:val="18"/>
          <w:szCs w:val="18"/>
        </w:rPr>
        <w:noBreakHyphen/>
        <w:t>249/12 and C</w:t>
      </w:r>
      <w:r w:rsidRPr="00A2527D">
        <w:rPr>
          <w:rFonts w:ascii="Arial" w:hAnsi="Arial" w:cs="Arial"/>
          <w:color w:val="000000"/>
          <w:sz w:val="18"/>
          <w:szCs w:val="18"/>
        </w:rPr>
        <w:noBreakHyphen/>
        <w:t>250/12, EU:C:2013:722, paragraph 36 and the case-law cited</w:t>
      </w:r>
      <w:r w:rsidRPr="00A2527D">
        <w:rPr>
          <w:rFonts w:ascii="Arial" w:hAnsi="Arial" w:cs="Arial"/>
          <w:color w:val="000000"/>
          <w:sz w:val="18"/>
          <w:szCs w:val="18"/>
          <w:lang w:val="en-US"/>
        </w:rPr>
        <w:t>.</w:t>
      </w:r>
    </w:p>
  </w:footnote>
  <w:footnote w:id="56">
    <w:p w14:paraId="7C39EB5E"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29.</w:t>
      </w:r>
    </w:p>
  </w:footnote>
  <w:footnote w:id="57">
    <w:p w14:paraId="55077CFE"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30 and 31 with reference to </w:t>
      </w:r>
      <w:r w:rsidRPr="00A2527D">
        <w:rPr>
          <w:rFonts w:ascii="Arial" w:hAnsi="Arial" w:cs="Arial"/>
          <w:color w:val="000000"/>
          <w:sz w:val="18"/>
          <w:szCs w:val="18"/>
        </w:rPr>
        <w:t xml:space="preserve">judgment of 7 August 2018, Viking </w:t>
      </w:r>
      <w:proofErr w:type="gramStart"/>
      <w:r w:rsidRPr="00A2527D">
        <w:rPr>
          <w:rFonts w:ascii="Arial" w:hAnsi="Arial" w:cs="Arial"/>
          <w:color w:val="000000"/>
          <w:sz w:val="18"/>
          <w:szCs w:val="18"/>
        </w:rPr>
        <w:t>Motors</w:t>
      </w:r>
      <w:proofErr w:type="gramEnd"/>
      <w:r w:rsidRPr="00A2527D">
        <w:rPr>
          <w:rFonts w:ascii="Arial" w:hAnsi="Arial" w:cs="Arial"/>
          <w:color w:val="000000"/>
          <w:sz w:val="18"/>
          <w:szCs w:val="18"/>
        </w:rPr>
        <w:t xml:space="preserve"> and Others, C</w:t>
      </w:r>
      <w:r w:rsidRPr="00A2527D">
        <w:rPr>
          <w:rFonts w:ascii="Arial" w:hAnsi="Arial" w:cs="Arial"/>
          <w:color w:val="000000"/>
          <w:sz w:val="18"/>
          <w:szCs w:val="18"/>
        </w:rPr>
        <w:noBreakHyphen/>
        <w:t>475/17, EU:C:2018:636, paragraph 33</w:t>
      </w:r>
      <w:r w:rsidRPr="00A2527D">
        <w:rPr>
          <w:rFonts w:ascii="Arial" w:hAnsi="Arial" w:cs="Arial"/>
          <w:color w:val="000000"/>
          <w:sz w:val="18"/>
          <w:szCs w:val="18"/>
          <w:lang w:val="en-US"/>
        </w:rPr>
        <w:t xml:space="preserve">; </w:t>
      </w:r>
      <w:r w:rsidRPr="00A2527D">
        <w:rPr>
          <w:rFonts w:ascii="Arial" w:hAnsi="Arial" w:cs="Arial"/>
          <w:color w:val="000000"/>
          <w:sz w:val="18"/>
          <w:szCs w:val="18"/>
        </w:rPr>
        <w:t>judgment of 7 November 2013, Tulică and Plavoşin, C</w:t>
      </w:r>
      <w:r w:rsidRPr="00A2527D">
        <w:rPr>
          <w:rFonts w:ascii="Arial" w:hAnsi="Arial" w:cs="Arial"/>
          <w:color w:val="000000"/>
          <w:sz w:val="18"/>
          <w:szCs w:val="18"/>
        </w:rPr>
        <w:noBreakHyphen/>
        <w:t>249/12 and C</w:t>
      </w:r>
      <w:r w:rsidRPr="00A2527D">
        <w:rPr>
          <w:rFonts w:ascii="Arial" w:hAnsi="Arial" w:cs="Arial"/>
          <w:color w:val="000000"/>
          <w:sz w:val="18"/>
          <w:szCs w:val="18"/>
        </w:rPr>
        <w:noBreakHyphen/>
        <w:t>250/12, EU:C:2013:722, paragraph 37</w:t>
      </w:r>
      <w:r w:rsidRPr="00A2527D">
        <w:rPr>
          <w:rFonts w:ascii="Arial" w:hAnsi="Arial" w:cs="Arial"/>
          <w:color w:val="000000"/>
          <w:sz w:val="18"/>
          <w:szCs w:val="18"/>
          <w:lang w:val="en-US"/>
        </w:rPr>
        <w:t>.</w:t>
      </w:r>
    </w:p>
  </w:footnote>
  <w:footnote w:id="58">
    <w:p w14:paraId="1B530241"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30 and 31 with reference to</w:t>
      </w:r>
      <w:r>
        <w:rPr>
          <w:rFonts w:ascii="Arial" w:hAnsi="Arial" w:cs="Arial"/>
          <w:sz w:val="18"/>
          <w:szCs w:val="18"/>
          <w:lang w:val="en-US"/>
        </w:rPr>
        <w:t xml:space="preserve"> </w:t>
      </w:r>
      <w:r w:rsidRPr="00A2527D">
        <w:rPr>
          <w:rFonts w:ascii="Arial" w:hAnsi="Arial" w:cs="Arial"/>
          <w:color w:val="000000"/>
          <w:sz w:val="18"/>
          <w:szCs w:val="18"/>
        </w:rPr>
        <w:t xml:space="preserve">judgment of 7 August 2018, Viking </w:t>
      </w:r>
      <w:proofErr w:type="gramStart"/>
      <w:r w:rsidRPr="00A2527D">
        <w:rPr>
          <w:rFonts w:ascii="Arial" w:hAnsi="Arial" w:cs="Arial"/>
          <w:color w:val="000000"/>
          <w:sz w:val="18"/>
          <w:szCs w:val="18"/>
        </w:rPr>
        <w:t>Motors</w:t>
      </w:r>
      <w:proofErr w:type="gramEnd"/>
      <w:r w:rsidRPr="00A2527D">
        <w:rPr>
          <w:rFonts w:ascii="Arial" w:hAnsi="Arial" w:cs="Arial"/>
          <w:color w:val="000000"/>
          <w:sz w:val="18"/>
          <w:szCs w:val="18"/>
        </w:rPr>
        <w:t xml:space="preserve"> and Others, C</w:t>
      </w:r>
      <w:r w:rsidRPr="00A2527D">
        <w:rPr>
          <w:rFonts w:ascii="Arial" w:hAnsi="Arial" w:cs="Arial"/>
          <w:color w:val="000000"/>
          <w:sz w:val="18"/>
          <w:szCs w:val="18"/>
        </w:rPr>
        <w:noBreakHyphen/>
        <w:t>475/17, EU:C:2018:636, paragraph 33</w:t>
      </w:r>
      <w:r w:rsidRPr="00A2527D">
        <w:rPr>
          <w:rFonts w:ascii="Arial" w:hAnsi="Arial" w:cs="Arial"/>
          <w:color w:val="000000"/>
          <w:sz w:val="18"/>
          <w:szCs w:val="18"/>
          <w:lang w:val="en-US"/>
        </w:rPr>
        <w:t>.</w:t>
      </w:r>
    </w:p>
  </w:footnote>
  <w:footnote w:id="59">
    <w:p w14:paraId="5A8A3341"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 xml:space="preserve">Court decision paragraph 32 and reference to </w:t>
      </w:r>
      <w:r w:rsidRPr="00A2527D">
        <w:rPr>
          <w:rFonts w:ascii="Arial" w:hAnsi="Arial" w:cs="Arial"/>
          <w:color w:val="000000"/>
          <w:sz w:val="18"/>
          <w:szCs w:val="18"/>
        </w:rPr>
        <w:t>judgment of 15 October 2020, E. VAT – Reduction of the taxable amount), C</w:t>
      </w:r>
      <w:r w:rsidRPr="00A2527D">
        <w:rPr>
          <w:rFonts w:ascii="Arial" w:hAnsi="Arial" w:cs="Arial"/>
          <w:color w:val="000000"/>
          <w:sz w:val="18"/>
          <w:szCs w:val="18"/>
        </w:rPr>
        <w:noBreakHyphen/>
        <w:t>335/19, EU:C:2020:829, paragraphs 21 and 37 and the case-law cited.</w:t>
      </w:r>
    </w:p>
  </w:footnote>
  <w:footnote w:id="60">
    <w:p w14:paraId="02DD34EF"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33.</w:t>
      </w:r>
    </w:p>
  </w:footnote>
  <w:footnote w:id="61">
    <w:p w14:paraId="7B447303" w14:textId="77777777" w:rsidR="00473AE8" w:rsidRPr="00A2527D" w:rsidRDefault="00473AE8" w:rsidP="00473AE8">
      <w:pPr>
        <w:pStyle w:val="FootnoteText"/>
        <w:rPr>
          <w:rFonts w:ascii="Arial" w:hAnsi="Arial" w:cs="Arial"/>
          <w:color w:val="000000" w:themeColor="text1"/>
          <w:sz w:val="18"/>
          <w:szCs w:val="18"/>
          <w:lang w:val="en-US"/>
        </w:rPr>
      </w:pPr>
      <w:r w:rsidRPr="00A2527D">
        <w:rPr>
          <w:rStyle w:val="FootnoteReference"/>
          <w:rFonts w:ascii="Arial" w:hAnsi="Arial" w:cs="Arial"/>
          <w:color w:val="000000" w:themeColor="text1"/>
          <w:sz w:val="18"/>
          <w:szCs w:val="18"/>
        </w:rPr>
        <w:footnoteRef/>
      </w:r>
      <w:r w:rsidRPr="00A2527D">
        <w:rPr>
          <w:rFonts w:ascii="Arial" w:hAnsi="Arial" w:cs="Arial"/>
          <w:color w:val="000000" w:themeColor="text1"/>
          <w:sz w:val="18"/>
          <w:szCs w:val="18"/>
        </w:rPr>
        <w:t xml:space="preserve"> </w:t>
      </w:r>
      <w:r w:rsidRPr="00A2527D">
        <w:rPr>
          <w:rFonts w:ascii="Arial" w:hAnsi="Arial" w:cs="Arial"/>
          <w:color w:val="000000" w:themeColor="text1"/>
          <w:sz w:val="18"/>
          <w:szCs w:val="18"/>
          <w:lang w:val="en-US"/>
        </w:rPr>
        <w:t xml:space="preserve">Court decision paragraph 37 and reference to </w:t>
      </w:r>
      <w:r w:rsidRPr="00A2527D">
        <w:rPr>
          <w:rFonts w:ascii="Arial" w:hAnsi="Arial" w:cs="Arial"/>
          <w:color w:val="000000" w:themeColor="text1"/>
          <w:sz w:val="18"/>
          <w:szCs w:val="18"/>
        </w:rPr>
        <w:t>judgment of 29 March 2012, Véleclair, C</w:t>
      </w:r>
      <w:r w:rsidRPr="00A2527D">
        <w:rPr>
          <w:rFonts w:ascii="Arial" w:hAnsi="Arial" w:cs="Arial"/>
          <w:color w:val="000000" w:themeColor="text1"/>
          <w:sz w:val="18"/>
          <w:szCs w:val="18"/>
        </w:rPr>
        <w:noBreakHyphen/>
        <w:t>414/10, EU:C:2012:183, paragraph 20</w:t>
      </w:r>
      <w:r w:rsidRPr="00A2527D">
        <w:rPr>
          <w:rFonts w:ascii="Arial" w:hAnsi="Arial" w:cs="Arial"/>
          <w:color w:val="000000" w:themeColor="text1"/>
          <w:sz w:val="18"/>
          <w:szCs w:val="18"/>
          <w:lang w:val="en-US"/>
        </w:rPr>
        <w:t>.</w:t>
      </w:r>
    </w:p>
  </w:footnote>
  <w:footnote w:id="62">
    <w:p w14:paraId="0BFD3128" w14:textId="77777777" w:rsidR="00473AE8" w:rsidRPr="001A3D7E" w:rsidRDefault="00473AE8" w:rsidP="00473AE8">
      <w:pPr>
        <w:pStyle w:val="FootnoteText"/>
        <w:rPr>
          <w:rFonts w:ascii="Arial" w:hAnsi="Arial" w:cs="Arial"/>
          <w:color w:val="000000" w:themeColor="text1"/>
          <w:sz w:val="18"/>
          <w:szCs w:val="18"/>
          <w:lang w:val="en-US"/>
        </w:rPr>
      </w:pPr>
      <w:r w:rsidRPr="00A2527D">
        <w:rPr>
          <w:rStyle w:val="FootnoteReference"/>
          <w:rFonts w:ascii="Arial" w:hAnsi="Arial" w:cs="Arial"/>
          <w:color w:val="000000" w:themeColor="text1"/>
          <w:sz w:val="18"/>
          <w:szCs w:val="18"/>
        </w:rPr>
        <w:footnoteRef/>
      </w:r>
      <w:r w:rsidRPr="00A2527D">
        <w:rPr>
          <w:rFonts w:ascii="Arial" w:hAnsi="Arial" w:cs="Arial"/>
          <w:color w:val="000000" w:themeColor="text1"/>
          <w:sz w:val="18"/>
          <w:szCs w:val="18"/>
        </w:rPr>
        <w:t xml:space="preserve"> </w:t>
      </w:r>
      <w:r w:rsidRPr="001A3D7E">
        <w:rPr>
          <w:rFonts w:ascii="Arial" w:hAnsi="Arial" w:cs="Arial"/>
          <w:sz w:val="18"/>
          <w:szCs w:val="18"/>
          <w:lang w:val="en-US"/>
        </w:rPr>
        <w:t xml:space="preserve">Court decision paragraph </w:t>
      </w:r>
      <w:r w:rsidRPr="001A3D7E">
        <w:rPr>
          <w:rFonts w:ascii="Arial" w:hAnsi="Arial" w:cs="Arial"/>
          <w:color w:val="000000" w:themeColor="text1"/>
          <w:sz w:val="18"/>
          <w:szCs w:val="18"/>
          <w:lang w:val="en-US"/>
        </w:rPr>
        <w:t>38-40.</w:t>
      </w:r>
    </w:p>
  </w:footnote>
  <w:footnote w:id="63">
    <w:p w14:paraId="0B5387B4" w14:textId="4AFF1E93" w:rsidR="00473AE8" w:rsidRPr="00A2527D" w:rsidRDefault="00473AE8" w:rsidP="00473AE8">
      <w:pPr>
        <w:pStyle w:val="FootnoteText"/>
        <w:rPr>
          <w:rFonts w:ascii="Arial" w:hAnsi="Arial" w:cs="Arial"/>
          <w:color w:val="000000" w:themeColor="text1"/>
          <w:lang w:val="en-US"/>
        </w:rPr>
      </w:pPr>
      <w:r w:rsidRPr="00A2527D">
        <w:rPr>
          <w:rStyle w:val="FootnoteReference"/>
          <w:rFonts w:ascii="Arial" w:hAnsi="Arial" w:cs="Arial"/>
          <w:color w:val="000000" w:themeColor="text1"/>
        </w:rPr>
        <w:footnoteRef/>
      </w:r>
      <w:r w:rsidRPr="00A2527D">
        <w:rPr>
          <w:rFonts w:ascii="Arial" w:hAnsi="Arial" w:cs="Arial"/>
          <w:color w:val="000000" w:themeColor="text1"/>
        </w:rPr>
        <w:t xml:space="preserve"> </w:t>
      </w:r>
      <w:r w:rsidR="00B43707" w:rsidRPr="00B43707">
        <w:rPr>
          <w:rFonts w:ascii="Arial" w:hAnsi="Arial" w:cs="Arial"/>
          <w:sz w:val="18"/>
          <w:szCs w:val="18"/>
          <w:lang w:val="en-US"/>
        </w:rPr>
        <w:t xml:space="preserve">CJEU, </w:t>
      </w:r>
      <w:r w:rsidRPr="00A2527D">
        <w:rPr>
          <w:rFonts w:ascii="Arial" w:hAnsi="Arial" w:cs="Arial"/>
          <w:color w:val="000000" w:themeColor="text1"/>
          <w:sz w:val="18"/>
          <w:szCs w:val="18"/>
        </w:rPr>
        <w:t>Judgment of 21 March 2018, Volkswagen (C</w:t>
      </w:r>
      <w:r w:rsidRPr="00A2527D">
        <w:rPr>
          <w:rFonts w:ascii="Arial" w:hAnsi="Arial" w:cs="Arial"/>
          <w:color w:val="000000" w:themeColor="text1"/>
          <w:sz w:val="18"/>
          <w:szCs w:val="18"/>
        </w:rPr>
        <w:noBreakHyphen/>
        <w:t>533/16, EU:C:2018:204</w:t>
      </w:r>
      <w:r w:rsidRPr="00A2527D">
        <w:rPr>
          <w:rFonts w:ascii="Arial" w:hAnsi="Arial" w:cs="Arial"/>
          <w:color w:val="000000" w:themeColor="text1"/>
          <w:sz w:val="18"/>
          <w:szCs w:val="18"/>
          <w:lang w:val="en-US"/>
        </w:rPr>
        <w:t>).</w:t>
      </w:r>
    </w:p>
  </w:footnote>
  <w:footnote w:id="64">
    <w:p w14:paraId="1E89B266" w14:textId="3844D6D4" w:rsidR="00473AE8" w:rsidRPr="00A2527D" w:rsidRDefault="00473AE8" w:rsidP="00473AE8">
      <w:pPr>
        <w:pStyle w:val="FootnoteText"/>
        <w:rPr>
          <w:rFonts w:ascii="Arial" w:hAnsi="Arial" w:cs="Arial"/>
          <w:color w:val="000000" w:themeColor="text1"/>
          <w:lang w:val="en-US"/>
        </w:rPr>
      </w:pPr>
      <w:r w:rsidRPr="00A2527D">
        <w:rPr>
          <w:rStyle w:val="FootnoteReference"/>
          <w:rFonts w:ascii="Arial" w:hAnsi="Arial" w:cs="Arial"/>
          <w:color w:val="000000" w:themeColor="text1"/>
        </w:rPr>
        <w:footnoteRef/>
      </w:r>
      <w:r w:rsidRPr="00A2527D">
        <w:rPr>
          <w:rFonts w:ascii="Arial" w:hAnsi="Arial" w:cs="Arial"/>
          <w:color w:val="000000" w:themeColor="text1"/>
        </w:rPr>
        <w:t xml:space="preserve"> </w:t>
      </w:r>
      <w:r w:rsidR="00B43707" w:rsidRPr="00B43707">
        <w:rPr>
          <w:rFonts w:ascii="Arial" w:hAnsi="Arial" w:cs="Arial"/>
          <w:sz w:val="18"/>
          <w:szCs w:val="18"/>
          <w:lang w:val="en-US"/>
        </w:rPr>
        <w:t xml:space="preserve">CJEU, </w:t>
      </w:r>
      <w:r w:rsidRPr="00A2527D">
        <w:rPr>
          <w:rFonts w:ascii="Arial" w:hAnsi="Arial" w:cs="Arial"/>
          <w:color w:val="000000" w:themeColor="text1"/>
          <w:sz w:val="18"/>
          <w:szCs w:val="18"/>
        </w:rPr>
        <w:t>Judgment of 12 April 2018</w:t>
      </w:r>
      <w:r w:rsidRPr="00A2527D">
        <w:rPr>
          <w:rFonts w:ascii="Arial" w:hAnsi="Arial" w:cs="Arial"/>
          <w:color w:val="000000" w:themeColor="text1"/>
          <w:sz w:val="18"/>
          <w:szCs w:val="18"/>
          <w:lang w:val="en-US"/>
        </w:rPr>
        <w:t>, Biosafe</w:t>
      </w:r>
      <w:r w:rsidRPr="00A2527D">
        <w:rPr>
          <w:rFonts w:ascii="Arial" w:hAnsi="Arial" w:cs="Arial"/>
          <w:color w:val="000000" w:themeColor="text1"/>
          <w:sz w:val="18"/>
          <w:szCs w:val="18"/>
        </w:rPr>
        <w:t xml:space="preserve"> (C</w:t>
      </w:r>
      <w:r w:rsidRPr="00A2527D">
        <w:rPr>
          <w:rFonts w:ascii="Arial" w:hAnsi="Arial" w:cs="Arial"/>
          <w:color w:val="000000" w:themeColor="text1"/>
          <w:sz w:val="18"/>
          <w:szCs w:val="18"/>
        </w:rPr>
        <w:noBreakHyphen/>
        <w:t>8/17, EU:C:2018:249).</w:t>
      </w:r>
    </w:p>
  </w:footnote>
  <w:footnote w:id="65">
    <w:p w14:paraId="238DBAC3" w14:textId="43F24C4C" w:rsidR="00473AE8" w:rsidRPr="00A2527D" w:rsidRDefault="00473AE8" w:rsidP="00473AE8">
      <w:pPr>
        <w:pStyle w:val="FootnoteText"/>
        <w:rPr>
          <w:rFonts w:ascii="Arial" w:hAnsi="Arial" w:cs="Arial"/>
          <w:color w:val="000000" w:themeColor="text1"/>
          <w:lang w:val="en-US"/>
        </w:rPr>
      </w:pPr>
      <w:r w:rsidRPr="00A2527D">
        <w:rPr>
          <w:rStyle w:val="FootnoteReference"/>
          <w:rFonts w:ascii="Arial" w:hAnsi="Arial" w:cs="Arial"/>
          <w:color w:val="000000" w:themeColor="text1"/>
        </w:rPr>
        <w:footnoteRef/>
      </w:r>
      <w:r w:rsidRPr="00A2527D">
        <w:rPr>
          <w:rFonts w:ascii="Arial" w:hAnsi="Arial" w:cs="Arial"/>
          <w:color w:val="000000" w:themeColor="text1"/>
        </w:rPr>
        <w:t xml:space="preserve"> </w:t>
      </w:r>
      <w:r w:rsidR="00B43707" w:rsidRPr="00B43707">
        <w:rPr>
          <w:rFonts w:ascii="Arial" w:hAnsi="Arial" w:cs="Arial"/>
          <w:sz w:val="18"/>
          <w:szCs w:val="18"/>
          <w:lang w:val="en-US"/>
        </w:rPr>
        <w:t xml:space="preserve">CJEU, </w:t>
      </w:r>
      <w:r w:rsidRPr="00A2527D">
        <w:rPr>
          <w:rFonts w:ascii="Arial" w:hAnsi="Arial" w:cs="Arial"/>
          <w:color w:val="000000" w:themeColor="text1"/>
          <w:sz w:val="18"/>
          <w:szCs w:val="18"/>
        </w:rPr>
        <w:t>Judgment of 29 April 2004, Terra Baubedarf-Handel (C</w:t>
      </w:r>
      <w:r w:rsidRPr="00A2527D">
        <w:rPr>
          <w:rFonts w:ascii="Arial" w:hAnsi="Arial" w:cs="Arial"/>
          <w:color w:val="000000" w:themeColor="text1"/>
          <w:sz w:val="18"/>
          <w:szCs w:val="18"/>
        </w:rPr>
        <w:noBreakHyphen/>
        <w:t>152/02, EU:C:2004:268</w:t>
      </w:r>
      <w:r w:rsidRPr="00A2527D">
        <w:rPr>
          <w:rFonts w:ascii="Arial" w:hAnsi="Arial" w:cs="Arial"/>
          <w:color w:val="000000" w:themeColor="text1"/>
          <w:sz w:val="18"/>
          <w:szCs w:val="18"/>
          <w:lang w:val="en-US"/>
        </w:rPr>
        <w:t>).</w:t>
      </w:r>
    </w:p>
  </w:footnote>
  <w:footnote w:id="66">
    <w:p w14:paraId="0F429E2A" w14:textId="4165CBD0" w:rsidR="00473AE8" w:rsidRPr="00A2527D" w:rsidRDefault="00473AE8" w:rsidP="00473AE8">
      <w:pPr>
        <w:pStyle w:val="FootnoteText"/>
        <w:rPr>
          <w:lang w:val="en-US"/>
        </w:rPr>
      </w:pPr>
      <w:r w:rsidRPr="00A2527D">
        <w:rPr>
          <w:rStyle w:val="FootnoteReference"/>
          <w:rFonts w:ascii="Arial" w:hAnsi="Arial" w:cs="Arial"/>
          <w:color w:val="000000" w:themeColor="text1"/>
        </w:rPr>
        <w:footnoteRef/>
      </w:r>
      <w:r w:rsidRPr="00A2527D">
        <w:rPr>
          <w:rFonts w:ascii="Arial" w:hAnsi="Arial" w:cs="Arial"/>
          <w:color w:val="000000" w:themeColor="text1"/>
        </w:rPr>
        <w:t xml:space="preserve"> </w:t>
      </w:r>
      <w:r w:rsidR="00B43707" w:rsidRPr="00B43707">
        <w:rPr>
          <w:rFonts w:ascii="Arial" w:hAnsi="Arial" w:cs="Arial"/>
          <w:sz w:val="18"/>
          <w:szCs w:val="18"/>
          <w:lang w:val="en-US"/>
        </w:rPr>
        <w:t xml:space="preserve">CJEU, </w:t>
      </w:r>
      <w:r w:rsidRPr="00A2527D">
        <w:rPr>
          <w:rFonts w:ascii="Arial" w:hAnsi="Arial" w:cs="Arial"/>
          <w:color w:val="000000" w:themeColor="text1"/>
          <w:sz w:val="18"/>
          <w:szCs w:val="18"/>
        </w:rPr>
        <w:t>Judgment of 21 November 2018, Vădan (C</w:t>
      </w:r>
      <w:r w:rsidRPr="00A2527D">
        <w:rPr>
          <w:rFonts w:ascii="Arial" w:hAnsi="Arial" w:cs="Arial"/>
          <w:color w:val="000000" w:themeColor="text1"/>
          <w:sz w:val="18"/>
          <w:szCs w:val="18"/>
        </w:rPr>
        <w:noBreakHyphen/>
        <w:t>664/16, EU:C:2018:933</w:t>
      </w:r>
      <w:r w:rsidRPr="00A2527D">
        <w:rPr>
          <w:rFonts w:ascii="Arial" w:hAnsi="Arial" w:cs="Arial"/>
          <w:color w:val="000000" w:themeColor="text1"/>
          <w:sz w:val="18"/>
          <w:szCs w:val="18"/>
          <w:lang w:val="en-US"/>
        </w:rPr>
        <w:t>).</w:t>
      </w:r>
    </w:p>
  </w:footnote>
  <w:footnote w:id="67">
    <w:p w14:paraId="09BA6423"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35 and reference to </w:t>
      </w:r>
      <w:r w:rsidRPr="00A2527D">
        <w:rPr>
          <w:rFonts w:ascii="Arial" w:hAnsi="Arial" w:cs="Arial"/>
          <w:color w:val="000000"/>
          <w:sz w:val="18"/>
          <w:szCs w:val="18"/>
        </w:rPr>
        <w:t>judgment of 18 March 2021, P (Fuel cards), C</w:t>
      </w:r>
      <w:r w:rsidRPr="00A2527D">
        <w:rPr>
          <w:rFonts w:ascii="Arial" w:hAnsi="Arial" w:cs="Arial"/>
          <w:color w:val="000000"/>
          <w:sz w:val="18"/>
          <w:szCs w:val="18"/>
        </w:rPr>
        <w:noBreakHyphen/>
        <w:t>48/20, EU:C:2021:215, paragraph 26 and the case-law cited</w:t>
      </w:r>
      <w:r w:rsidRPr="00A2527D">
        <w:rPr>
          <w:rFonts w:ascii="Arial" w:hAnsi="Arial" w:cs="Arial"/>
          <w:color w:val="000000"/>
          <w:sz w:val="18"/>
          <w:szCs w:val="18"/>
          <w:lang w:val="en-US"/>
        </w:rPr>
        <w:t>.</w:t>
      </w:r>
    </w:p>
  </w:footnote>
  <w:footnote w:id="68">
    <w:p w14:paraId="4EA05301"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36 and reference to </w:t>
      </w:r>
      <w:r w:rsidRPr="00A2527D">
        <w:rPr>
          <w:rFonts w:ascii="Arial" w:hAnsi="Arial" w:cs="Arial"/>
          <w:color w:val="000000"/>
          <w:sz w:val="18"/>
          <w:szCs w:val="18"/>
        </w:rPr>
        <w:t>judgment of 18 March 2021, P (Fuel cards), C</w:t>
      </w:r>
      <w:r w:rsidRPr="00A2527D">
        <w:rPr>
          <w:rFonts w:ascii="Arial" w:hAnsi="Arial" w:cs="Arial"/>
          <w:color w:val="000000"/>
          <w:sz w:val="18"/>
          <w:szCs w:val="18"/>
        </w:rPr>
        <w:noBreakHyphen/>
        <w:t>48/20, EU:C:2021:215, paragraph 27 and the case-law cited</w:t>
      </w:r>
      <w:r w:rsidRPr="00A2527D">
        <w:rPr>
          <w:rFonts w:ascii="Arial" w:hAnsi="Arial" w:cs="Arial"/>
          <w:color w:val="000000"/>
          <w:sz w:val="18"/>
          <w:szCs w:val="18"/>
          <w:lang w:val="en-US"/>
        </w:rPr>
        <w:t>.</w:t>
      </w:r>
    </w:p>
  </w:footnote>
  <w:footnote w:id="69">
    <w:p w14:paraId="779D215B"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37 and reference to </w:t>
      </w:r>
      <w:r w:rsidRPr="00A2527D">
        <w:rPr>
          <w:rFonts w:ascii="Arial" w:hAnsi="Arial" w:cs="Arial"/>
          <w:color w:val="000000"/>
          <w:sz w:val="18"/>
          <w:szCs w:val="18"/>
        </w:rPr>
        <w:t>judgment of 15 September 2016, Barlis 06 – Investimentos Imobiliários e Turísticos, C</w:t>
      </w:r>
      <w:r w:rsidRPr="00A2527D">
        <w:rPr>
          <w:rFonts w:ascii="Arial" w:hAnsi="Arial" w:cs="Arial"/>
          <w:color w:val="000000"/>
          <w:sz w:val="18"/>
          <w:szCs w:val="18"/>
        </w:rPr>
        <w:noBreakHyphen/>
        <w:t>516/14, EU:C:2016:690, paragraph 27</w:t>
      </w:r>
      <w:r w:rsidRPr="00A2527D">
        <w:rPr>
          <w:rFonts w:ascii="Arial" w:hAnsi="Arial" w:cs="Arial"/>
          <w:color w:val="000000"/>
          <w:sz w:val="18"/>
          <w:szCs w:val="18"/>
          <w:lang w:val="en-US"/>
        </w:rPr>
        <w:t>.</w:t>
      </w:r>
    </w:p>
  </w:footnote>
  <w:footnote w:id="70">
    <w:p w14:paraId="621591A6"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38 and reference to </w:t>
      </w:r>
      <w:r w:rsidRPr="00A2527D">
        <w:rPr>
          <w:rFonts w:ascii="Arial" w:hAnsi="Arial" w:cs="Arial"/>
          <w:color w:val="000000"/>
          <w:sz w:val="18"/>
          <w:szCs w:val="18"/>
        </w:rPr>
        <w:t>judgment of 15 September 2016, Barlis 06 – Investimentos Imobiliários e Turísticos, C</w:t>
      </w:r>
      <w:r w:rsidRPr="00A2527D">
        <w:rPr>
          <w:rFonts w:ascii="Arial" w:hAnsi="Arial" w:cs="Arial"/>
          <w:color w:val="000000"/>
          <w:sz w:val="18"/>
          <w:szCs w:val="18"/>
        </w:rPr>
        <w:noBreakHyphen/>
        <w:t>516/14, EU:C:2016:690, paragraph 42 and the case-law cited</w:t>
      </w:r>
      <w:r w:rsidRPr="00A2527D">
        <w:rPr>
          <w:rFonts w:ascii="Arial" w:hAnsi="Arial" w:cs="Arial"/>
          <w:color w:val="000000"/>
          <w:sz w:val="18"/>
          <w:szCs w:val="18"/>
          <w:lang w:val="en-US"/>
        </w:rPr>
        <w:t>.</w:t>
      </w:r>
    </w:p>
  </w:footnote>
  <w:footnote w:id="71">
    <w:p w14:paraId="7081753A"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39 and reference to </w:t>
      </w:r>
      <w:r w:rsidRPr="00A2527D">
        <w:rPr>
          <w:rFonts w:ascii="Arial" w:hAnsi="Arial" w:cs="Arial"/>
          <w:color w:val="000000"/>
          <w:sz w:val="18"/>
          <w:szCs w:val="18"/>
        </w:rPr>
        <w:t>judgment of 15 September 2016, Barlis 06 – Investimentos Imobiliários e Turísticos, C</w:t>
      </w:r>
      <w:r w:rsidRPr="00A2527D">
        <w:rPr>
          <w:rFonts w:ascii="Arial" w:hAnsi="Arial" w:cs="Arial"/>
          <w:color w:val="000000"/>
          <w:sz w:val="18"/>
          <w:szCs w:val="18"/>
        </w:rPr>
        <w:noBreakHyphen/>
        <w:t>516/14, EU:C:2016:690, paragraph 43.</w:t>
      </w:r>
    </w:p>
  </w:footnote>
  <w:footnote w:id="72">
    <w:p w14:paraId="317B2FCD"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41.</w:t>
      </w:r>
    </w:p>
  </w:footnote>
  <w:footnote w:id="73">
    <w:p w14:paraId="5DE59D85"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43.</w:t>
      </w:r>
    </w:p>
  </w:footnote>
  <w:footnote w:id="74">
    <w:p w14:paraId="4CD8CD2F"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w:t>
      </w:r>
      <w:r>
        <w:rPr>
          <w:rFonts w:ascii="Arial" w:hAnsi="Arial" w:cs="Arial"/>
          <w:sz w:val="18"/>
          <w:szCs w:val="18"/>
          <w:lang w:val="en-US"/>
        </w:rPr>
        <w:t>graph</w:t>
      </w:r>
      <w:r w:rsidRPr="00A2527D">
        <w:rPr>
          <w:rFonts w:ascii="Arial" w:hAnsi="Arial" w:cs="Arial"/>
          <w:sz w:val="18"/>
          <w:szCs w:val="18"/>
          <w:lang w:val="en-US"/>
        </w:rPr>
        <w:t xml:space="preserve"> 44.</w:t>
      </w:r>
    </w:p>
  </w:footnote>
  <w:footnote w:id="75">
    <w:p w14:paraId="3444640F" w14:textId="77777777" w:rsidR="00473AE8" w:rsidRPr="00A2527D" w:rsidRDefault="00473AE8" w:rsidP="00473AE8">
      <w:pPr>
        <w:pStyle w:val="FootnoteText"/>
        <w:rPr>
          <w:rFonts w:ascii="Arial" w:hAnsi="Arial" w:cs="Arial"/>
          <w:sz w:val="18"/>
          <w:szCs w:val="18"/>
          <w:lang w:val="en-US"/>
        </w:rPr>
      </w:pPr>
      <w:r w:rsidRPr="00A2527D">
        <w:rPr>
          <w:rStyle w:val="FootnoteReference"/>
          <w:rFonts w:ascii="Arial" w:hAnsi="Arial" w:cs="Arial"/>
          <w:sz w:val="18"/>
          <w:szCs w:val="18"/>
        </w:rPr>
        <w:footnoteRef/>
      </w:r>
      <w:r w:rsidRPr="00A2527D">
        <w:rPr>
          <w:rFonts w:ascii="Arial" w:hAnsi="Arial" w:cs="Arial"/>
          <w:sz w:val="18"/>
          <w:szCs w:val="18"/>
        </w:rPr>
        <w:t xml:space="preserve"> </w:t>
      </w:r>
      <w:r w:rsidRPr="00A2527D">
        <w:rPr>
          <w:rFonts w:ascii="Arial" w:hAnsi="Arial" w:cs="Arial"/>
          <w:sz w:val="18"/>
          <w:szCs w:val="18"/>
          <w:lang w:val="en-US"/>
        </w:rPr>
        <w:t>Court decision paragraph 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1EE0"/>
    <w:multiLevelType w:val="hybridMultilevel"/>
    <w:tmpl w:val="4FDAD504"/>
    <w:lvl w:ilvl="0" w:tplc="0809000F">
      <w:start w:val="1"/>
      <w:numFmt w:val="decimal"/>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1" w15:restartNumberingAfterBreak="0">
    <w:nsid w:val="0A9653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E629CB"/>
    <w:multiLevelType w:val="hybridMultilevel"/>
    <w:tmpl w:val="6302A812"/>
    <w:lvl w:ilvl="0" w:tplc="47C0FF62">
      <w:start w:val="1"/>
      <w:numFmt w:val="bullet"/>
      <w:lvlText w:val="•"/>
      <w:lvlJc w:val="left"/>
      <w:pPr>
        <w:tabs>
          <w:tab w:val="num" w:pos="720"/>
        </w:tabs>
        <w:ind w:left="720" w:hanging="360"/>
      </w:pPr>
      <w:rPr>
        <w:rFonts w:ascii="Arial" w:hAnsi="Arial" w:hint="default"/>
        <w:lang w:val="en-US"/>
      </w:rPr>
    </w:lvl>
    <w:lvl w:ilvl="1" w:tplc="AF6E944A" w:tentative="1">
      <w:start w:val="1"/>
      <w:numFmt w:val="bullet"/>
      <w:lvlText w:val="•"/>
      <w:lvlJc w:val="left"/>
      <w:pPr>
        <w:tabs>
          <w:tab w:val="num" w:pos="1440"/>
        </w:tabs>
        <w:ind w:left="1440" w:hanging="360"/>
      </w:pPr>
      <w:rPr>
        <w:rFonts w:ascii="Arial" w:hAnsi="Arial" w:hint="default"/>
      </w:rPr>
    </w:lvl>
    <w:lvl w:ilvl="2" w:tplc="6B9A7FCC" w:tentative="1">
      <w:start w:val="1"/>
      <w:numFmt w:val="bullet"/>
      <w:lvlText w:val="•"/>
      <w:lvlJc w:val="left"/>
      <w:pPr>
        <w:tabs>
          <w:tab w:val="num" w:pos="2160"/>
        </w:tabs>
        <w:ind w:left="2160" w:hanging="360"/>
      </w:pPr>
      <w:rPr>
        <w:rFonts w:ascii="Arial" w:hAnsi="Arial" w:hint="default"/>
      </w:rPr>
    </w:lvl>
    <w:lvl w:ilvl="3" w:tplc="2BC8E752" w:tentative="1">
      <w:start w:val="1"/>
      <w:numFmt w:val="bullet"/>
      <w:lvlText w:val="•"/>
      <w:lvlJc w:val="left"/>
      <w:pPr>
        <w:tabs>
          <w:tab w:val="num" w:pos="2880"/>
        </w:tabs>
        <w:ind w:left="2880" w:hanging="360"/>
      </w:pPr>
      <w:rPr>
        <w:rFonts w:ascii="Arial" w:hAnsi="Arial" w:hint="default"/>
      </w:rPr>
    </w:lvl>
    <w:lvl w:ilvl="4" w:tplc="D916A7D0" w:tentative="1">
      <w:start w:val="1"/>
      <w:numFmt w:val="bullet"/>
      <w:lvlText w:val="•"/>
      <w:lvlJc w:val="left"/>
      <w:pPr>
        <w:tabs>
          <w:tab w:val="num" w:pos="3600"/>
        </w:tabs>
        <w:ind w:left="3600" w:hanging="360"/>
      </w:pPr>
      <w:rPr>
        <w:rFonts w:ascii="Arial" w:hAnsi="Arial" w:hint="default"/>
      </w:rPr>
    </w:lvl>
    <w:lvl w:ilvl="5" w:tplc="639CC172" w:tentative="1">
      <w:start w:val="1"/>
      <w:numFmt w:val="bullet"/>
      <w:lvlText w:val="•"/>
      <w:lvlJc w:val="left"/>
      <w:pPr>
        <w:tabs>
          <w:tab w:val="num" w:pos="4320"/>
        </w:tabs>
        <w:ind w:left="4320" w:hanging="360"/>
      </w:pPr>
      <w:rPr>
        <w:rFonts w:ascii="Arial" w:hAnsi="Arial" w:hint="default"/>
      </w:rPr>
    </w:lvl>
    <w:lvl w:ilvl="6" w:tplc="CFF6C72C" w:tentative="1">
      <w:start w:val="1"/>
      <w:numFmt w:val="bullet"/>
      <w:lvlText w:val="•"/>
      <w:lvlJc w:val="left"/>
      <w:pPr>
        <w:tabs>
          <w:tab w:val="num" w:pos="5040"/>
        </w:tabs>
        <w:ind w:left="5040" w:hanging="360"/>
      </w:pPr>
      <w:rPr>
        <w:rFonts w:ascii="Arial" w:hAnsi="Arial" w:hint="default"/>
      </w:rPr>
    </w:lvl>
    <w:lvl w:ilvl="7" w:tplc="6AAEF9C2" w:tentative="1">
      <w:start w:val="1"/>
      <w:numFmt w:val="bullet"/>
      <w:lvlText w:val="•"/>
      <w:lvlJc w:val="left"/>
      <w:pPr>
        <w:tabs>
          <w:tab w:val="num" w:pos="5760"/>
        </w:tabs>
        <w:ind w:left="5760" w:hanging="360"/>
      </w:pPr>
      <w:rPr>
        <w:rFonts w:ascii="Arial" w:hAnsi="Arial" w:hint="default"/>
      </w:rPr>
    </w:lvl>
    <w:lvl w:ilvl="8" w:tplc="1F3A76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0072A3"/>
    <w:multiLevelType w:val="multilevel"/>
    <w:tmpl w:val="D94E1B5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5A3D7A"/>
    <w:multiLevelType w:val="hybridMultilevel"/>
    <w:tmpl w:val="30160B22"/>
    <w:lvl w:ilvl="0" w:tplc="CCD2145A">
      <w:start w:val="15"/>
      <w:numFmt w:val="bullet"/>
      <w:lvlText w:val="-"/>
      <w:lvlJc w:val="left"/>
      <w:pPr>
        <w:ind w:left="388" w:hanging="360"/>
      </w:pPr>
      <w:rPr>
        <w:rFonts w:ascii="Arial" w:eastAsia="Times New Roman" w:hAnsi="Arial" w:cs="Arial" w:hint="default"/>
        <w:b/>
        <w:sz w:val="22"/>
      </w:rPr>
    </w:lvl>
    <w:lvl w:ilvl="1" w:tplc="08090003" w:tentative="1">
      <w:start w:val="1"/>
      <w:numFmt w:val="bullet"/>
      <w:lvlText w:val="o"/>
      <w:lvlJc w:val="left"/>
      <w:pPr>
        <w:ind w:left="1108" w:hanging="360"/>
      </w:pPr>
      <w:rPr>
        <w:rFonts w:ascii="Courier New" w:hAnsi="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5" w15:restartNumberingAfterBreak="0">
    <w:nsid w:val="6DF4092F"/>
    <w:multiLevelType w:val="hybridMultilevel"/>
    <w:tmpl w:val="3E3AC03E"/>
    <w:lvl w:ilvl="0" w:tplc="CCD2145A">
      <w:start w:val="15"/>
      <w:numFmt w:val="bullet"/>
      <w:lvlText w:val="-"/>
      <w:lvlJc w:val="left"/>
      <w:pPr>
        <w:ind w:left="388" w:hanging="360"/>
      </w:pPr>
      <w:rPr>
        <w:rFonts w:ascii="Arial" w:eastAsia="Times New Roman" w:hAnsi="Arial" w:cs="Arial" w:hint="default"/>
        <w:b/>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9644E2"/>
    <w:multiLevelType w:val="hybridMultilevel"/>
    <w:tmpl w:val="2BAAA7AC"/>
    <w:lvl w:ilvl="0" w:tplc="572CC75A">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3B2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9519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FB40BA"/>
    <w:multiLevelType w:val="hybridMultilevel"/>
    <w:tmpl w:val="7A22D6A2"/>
    <w:lvl w:ilvl="0" w:tplc="572CC75A">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887818">
    <w:abstractNumId w:val="1"/>
  </w:num>
  <w:num w:numId="2" w16cid:durableId="718630160">
    <w:abstractNumId w:val="3"/>
  </w:num>
  <w:num w:numId="3" w16cid:durableId="1380323633">
    <w:abstractNumId w:val="2"/>
  </w:num>
  <w:num w:numId="4" w16cid:durableId="1158613522">
    <w:abstractNumId w:val="0"/>
  </w:num>
  <w:num w:numId="5" w16cid:durableId="1917812287">
    <w:abstractNumId w:val="7"/>
  </w:num>
  <w:num w:numId="6" w16cid:durableId="1542093519">
    <w:abstractNumId w:val="8"/>
  </w:num>
  <w:num w:numId="7" w16cid:durableId="1451431349">
    <w:abstractNumId w:val="4"/>
  </w:num>
  <w:num w:numId="8" w16cid:durableId="125510820">
    <w:abstractNumId w:val="5"/>
  </w:num>
  <w:num w:numId="9" w16cid:durableId="810905187">
    <w:abstractNumId w:val="9"/>
  </w:num>
  <w:num w:numId="10" w16cid:durableId="1826051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4D"/>
    <w:rsid w:val="00004B0E"/>
    <w:rsid w:val="00013DD2"/>
    <w:rsid w:val="000340E9"/>
    <w:rsid w:val="00040D1B"/>
    <w:rsid w:val="000411FE"/>
    <w:rsid w:val="00046827"/>
    <w:rsid w:val="00055A9A"/>
    <w:rsid w:val="00097AAC"/>
    <w:rsid w:val="000D10E1"/>
    <w:rsid w:val="00112313"/>
    <w:rsid w:val="0011360F"/>
    <w:rsid w:val="00141DA0"/>
    <w:rsid w:val="001A3D7E"/>
    <w:rsid w:val="001B7C4D"/>
    <w:rsid w:val="001D3C03"/>
    <w:rsid w:val="00221FC7"/>
    <w:rsid w:val="00245DB0"/>
    <w:rsid w:val="0028359A"/>
    <w:rsid w:val="00283F16"/>
    <w:rsid w:val="002904C4"/>
    <w:rsid w:val="002D6549"/>
    <w:rsid w:val="002F708C"/>
    <w:rsid w:val="003123FE"/>
    <w:rsid w:val="00313C3F"/>
    <w:rsid w:val="003155AA"/>
    <w:rsid w:val="00324DFD"/>
    <w:rsid w:val="00352BF3"/>
    <w:rsid w:val="00370337"/>
    <w:rsid w:val="00382AC0"/>
    <w:rsid w:val="00382D29"/>
    <w:rsid w:val="003A79AE"/>
    <w:rsid w:val="003B26BA"/>
    <w:rsid w:val="003B47D5"/>
    <w:rsid w:val="003C15D9"/>
    <w:rsid w:val="003E0EC0"/>
    <w:rsid w:val="00400523"/>
    <w:rsid w:val="004153D9"/>
    <w:rsid w:val="004259FB"/>
    <w:rsid w:val="00443DD5"/>
    <w:rsid w:val="004448F2"/>
    <w:rsid w:val="00450F7B"/>
    <w:rsid w:val="004612F8"/>
    <w:rsid w:val="00473AE8"/>
    <w:rsid w:val="00485C74"/>
    <w:rsid w:val="004A162A"/>
    <w:rsid w:val="004A560F"/>
    <w:rsid w:val="004A567F"/>
    <w:rsid w:val="004A5C45"/>
    <w:rsid w:val="00501686"/>
    <w:rsid w:val="0050582A"/>
    <w:rsid w:val="005406E6"/>
    <w:rsid w:val="00555A5D"/>
    <w:rsid w:val="00583DA4"/>
    <w:rsid w:val="00586027"/>
    <w:rsid w:val="005C1861"/>
    <w:rsid w:val="005D25DC"/>
    <w:rsid w:val="005D26EF"/>
    <w:rsid w:val="005D5DDB"/>
    <w:rsid w:val="005E1D7B"/>
    <w:rsid w:val="006067D9"/>
    <w:rsid w:val="00622890"/>
    <w:rsid w:val="00624B79"/>
    <w:rsid w:val="0063727A"/>
    <w:rsid w:val="00655920"/>
    <w:rsid w:val="00657A85"/>
    <w:rsid w:val="006752DD"/>
    <w:rsid w:val="00687084"/>
    <w:rsid w:val="006B0551"/>
    <w:rsid w:val="006D46BD"/>
    <w:rsid w:val="006E45F3"/>
    <w:rsid w:val="006F3DE8"/>
    <w:rsid w:val="007054F6"/>
    <w:rsid w:val="007203EF"/>
    <w:rsid w:val="00726DF2"/>
    <w:rsid w:val="00751999"/>
    <w:rsid w:val="00792089"/>
    <w:rsid w:val="00793CDD"/>
    <w:rsid w:val="007A775F"/>
    <w:rsid w:val="007C0E3F"/>
    <w:rsid w:val="007C2DDF"/>
    <w:rsid w:val="007D07A7"/>
    <w:rsid w:val="007F6954"/>
    <w:rsid w:val="00807535"/>
    <w:rsid w:val="00832BFC"/>
    <w:rsid w:val="008369C7"/>
    <w:rsid w:val="008778EE"/>
    <w:rsid w:val="008A437B"/>
    <w:rsid w:val="00933104"/>
    <w:rsid w:val="00940622"/>
    <w:rsid w:val="0094362A"/>
    <w:rsid w:val="009B0652"/>
    <w:rsid w:val="009B46F1"/>
    <w:rsid w:val="009D4BFA"/>
    <w:rsid w:val="009D4DD6"/>
    <w:rsid w:val="00A16EA3"/>
    <w:rsid w:val="00A2527D"/>
    <w:rsid w:val="00A81984"/>
    <w:rsid w:val="00A95F13"/>
    <w:rsid w:val="00AB738A"/>
    <w:rsid w:val="00AD03DF"/>
    <w:rsid w:val="00AD53BE"/>
    <w:rsid w:val="00AD5DBE"/>
    <w:rsid w:val="00AE34CA"/>
    <w:rsid w:val="00B01580"/>
    <w:rsid w:val="00B02A01"/>
    <w:rsid w:val="00B07B20"/>
    <w:rsid w:val="00B331BF"/>
    <w:rsid w:val="00B43707"/>
    <w:rsid w:val="00B54DD7"/>
    <w:rsid w:val="00B6200F"/>
    <w:rsid w:val="00B63B64"/>
    <w:rsid w:val="00B64732"/>
    <w:rsid w:val="00B65A56"/>
    <w:rsid w:val="00B8043D"/>
    <w:rsid w:val="00B87CC9"/>
    <w:rsid w:val="00B94799"/>
    <w:rsid w:val="00B97844"/>
    <w:rsid w:val="00BE0628"/>
    <w:rsid w:val="00BE25FA"/>
    <w:rsid w:val="00BE27DA"/>
    <w:rsid w:val="00BF3D1C"/>
    <w:rsid w:val="00BF68A1"/>
    <w:rsid w:val="00C12AFA"/>
    <w:rsid w:val="00C25116"/>
    <w:rsid w:val="00C50F9A"/>
    <w:rsid w:val="00C51F33"/>
    <w:rsid w:val="00CA3A2D"/>
    <w:rsid w:val="00CA431D"/>
    <w:rsid w:val="00CB24FC"/>
    <w:rsid w:val="00CD03ED"/>
    <w:rsid w:val="00CD5BF2"/>
    <w:rsid w:val="00CF7C2C"/>
    <w:rsid w:val="00D00550"/>
    <w:rsid w:val="00D26B02"/>
    <w:rsid w:val="00D34916"/>
    <w:rsid w:val="00D35187"/>
    <w:rsid w:val="00D40A13"/>
    <w:rsid w:val="00D614E6"/>
    <w:rsid w:val="00D659AC"/>
    <w:rsid w:val="00D6726D"/>
    <w:rsid w:val="00D812D7"/>
    <w:rsid w:val="00D90656"/>
    <w:rsid w:val="00DA1718"/>
    <w:rsid w:val="00DC2EBB"/>
    <w:rsid w:val="00DC7515"/>
    <w:rsid w:val="00DD19AC"/>
    <w:rsid w:val="00DE1D06"/>
    <w:rsid w:val="00E03B01"/>
    <w:rsid w:val="00E328CA"/>
    <w:rsid w:val="00E37ACC"/>
    <w:rsid w:val="00E81AB2"/>
    <w:rsid w:val="00E92FB3"/>
    <w:rsid w:val="00EA0CBF"/>
    <w:rsid w:val="00EB754F"/>
    <w:rsid w:val="00EE79A1"/>
    <w:rsid w:val="00EF0701"/>
    <w:rsid w:val="00EF19B0"/>
    <w:rsid w:val="00F05F4D"/>
    <w:rsid w:val="00F178F6"/>
    <w:rsid w:val="00F3482D"/>
    <w:rsid w:val="00F8415B"/>
    <w:rsid w:val="00F84D90"/>
    <w:rsid w:val="00F856D4"/>
    <w:rsid w:val="00F95752"/>
    <w:rsid w:val="00FA71CC"/>
    <w:rsid w:val="00FD1E99"/>
    <w:rsid w:val="00FD758A"/>
    <w:rsid w:val="00FE2CD5"/>
    <w:rsid w:val="00FE7089"/>
    <w:rsid w:val="00FF402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711A5394"/>
  <w15:chartTrackingRefBased/>
  <w15:docId w15:val="{7911B1B6-C1E1-7144-A1D8-3E3CDEBC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7C4D"/>
  </w:style>
  <w:style w:type="paragraph" w:styleId="ListParagraph">
    <w:name w:val="List Paragraph"/>
    <w:basedOn w:val="Normal"/>
    <w:uiPriority w:val="34"/>
    <w:qFormat/>
    <w:rsid w:val="001B7C4D"/>
    <w:pPr>
      <w:ind w:left="720"/>
      <w:contextualSpacing/>
    </w:pPr>
  </w:style>
  <w:style w:type="numbering" w:customStyle="1" w:styleId="CurrentList1">
    <w:name w:val="Current List1"/>
    <w:uiPriority w:val="99"/>
    <w:rsid w:val="001B7C4D"/>
    <w:pPr>
      <w:numPr>
        <w:numId w:val="2"/>
      </w:numPr>
    </w:pPr>
  </w:style>
  <w:style w:type="paragraph" w:customStyle="1" w:styleId="c01pointnumerotealtn">
    <w:name w:val="c01pointnumerotealtn"/>
    <w:basedOn w:val="Normal"/>
    <w:rsid w:val="001B7C4D"/>
    <w:pPr>
      <w:spacing w:before="100" w:beforeAutospacing="1" w:after="100" w:afterAutospacing="1"/>
    </w:pPr>
    <w:rPr>
      <w:rFonts w:ascii="Times New Roman" w:eastAsia="Times New Roman" w:hAnsi="Times New Roman" w:cs="Times New Roman"/>
      <w:lang w:eastAsia="en-GB"/>
    </w:rPr>
  </w:style>
  <w:style w:type="paragraph" w:customStyle="1" w:styleId="c09marge0avecretrait">
    <w:name w:val="c09marge0avecretrait"/>
    <w:basedOn w:val="Normal"/>
    <w:rsid w:val="00CF7C2C"/>
    <w:pPr>
      <w:spacing w:before="100" w:beforeAutospacing="1" w:after="100" w:afterAutospacing="1"/>
    </w:pPr>
    <w:rPr>
      <w:rFonts w:ascii="Times New Roman" w:eastAsia="Times New Roman" w:hAnsi="Times New Roman" w:cs="Times New Roman"/>
      <w:lang w:eastAsia="en-GB"/>
    </w:rPr>
  </w:style>
  <w:style w:type="paragraph" w:customStyle="1" w:styleId="c12marge1avectiretlong">
    <w:name w:val="c12marge1avectiretlong"/>
    <w:basedOn w:val="Normal"/>
    <w:rsid w:val="00CF7C2C"/>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013DD2"/>
    <w:rPr>
      <w:sz w:val="20"/>
      <w:szCs w:val="20"/>
    </w:rPr>
  </w:style>
  <w:style w:type="character" w:customStyle="1" w:styleId="FootnoteTextChar">
    <w:name w:val="Footnote Text Char"/>
    <w:basedOn w:val="DefaultParagraphFont"/>
    <w:link w:val="FootnoteText"/>
    <w:uiPriority w:val="99"/>
    <w:semiHidden/>
    <w:rsid w:val="00013DD2"/>
    <w:rPr>
      <w:sz w:val="20"/>
      <w:szCs w:val="20"/>
    </w:rPr>
  </w:style>
  <w:style w:type="character" w:styleId="FootnoteReference">
    <w:name w:val="footnote reference"/>
    <w:basedOn w:val="DefaultParagraphFont"/>
    <w:uiPriority w:val="99"/>
    <w:semiHidden/>
    <w:unhideWhenUsed/>
    <w:rsid w:val="00013DD2"/>
    <w:rPr>
      <w:vertAlign w:val="superscript"/>
    </w:rPr>
  </w:style>
  <w:style w:type="paragraph" w:customStyle="1" w:styleId="c11marge1avecretrait">
    <w:name w:val="c11marge1avecretrait"/>
    <w:basedOn w:val="Normal"/>
    <w:rsid w:val="00F8415B"/>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F8415B"/>
    <w:pPr>
      <w:tabs>
        <w:tab w:val="center" w:pos="4513"/>
        <w:tab w:val="right" w:pos="9026"/>
      </w:tabs>
    </w:pPr>
  </w:style>
  <w:style w:type="character" w:customStyle="1" w:styleId="FooterChar">
    <w:name w:val="Footer Char"/>
    <w:basedOn w:val="DefaultParagraphFont"/>
    <w:link w:val="Footer"/>
    <w:uiPriority w:val="99"/>
    <w:rsid w:val="00F8415B"/>
  </w:style>
  <w:style w:type="character" w:styleId="PageNumber">
    <w:name w:val="page number"/>
    <w:basedOn w:val="DefaultParagraphFont"/>
    <w:uiPriority w:val="99"/>
    <w:semiHidden/>
    <w:unhideWhenUsed/>
    <w:rsid w:val="00F8415B"/>
  </w:style>
  <w:style w:type="paragraph" w:styleId="Header">
    <w:name w:val="header"/>
    <w:basedOn w:val="Normal"/>
    <w:link w:val="HeaderChar"/>
    <w:uiPriority w:val="99"/>
    <w:unhideWhenUsed/>
    <w:rsid w:val="00F8415B"/>
    <w:pPr>
      <w:tabs>
        <w:tab w:val="center" w:pos="4513"/>
        <w:tab w:val="right" w:pos="9026"/>
      </w:tabs>
    </w:pPr>
  </w:style>
  <w:style w:type="character" w:customStyle="1" w:styleId="HeaderChar">
    <w:name w:val="Header Char"/>
    <w:basedOn w:val="DefaultParagraphFont"/>
    <w:link w:val="Header"/>
    <w:uiPriority w:val="99"/>
    <w:rsid w:val="00F8415B"/>
  </w:style>
  <w:style w:type="paragraph" w:customStyle="1" w:styleId="c05titre2">
    <w:name w:val="c05titre2"/>
    <w:basedOn w:val="Normal"/>
    <w:rsid w:val="003155AA"/>
    <w:pPr>
      <w:spacing w:before="100" w:beforeAutospacing="1" w:after="100" w:afterAutospacing="1"/>
    </w:pPr>
    <w:rPr>
      <w:rFonts w:ascii="Times New Roman" w:eastAsia="Times New Roman" w:hAnsi="Times New Roman" w:cs="Times New Roman"/>
      <w:lang w:eastAsia="en-GB"/>
    </w:rPr>
  </w:style>
  <w:style w:type="paragraph" w:customStyle="1" w:styleId="c04titre1">
    <w:name w:val="c04titre1"/>
    <w:basedOn w:val="Normal"/>
    <w:rsid w:val="003155AA"/>
    <w:pPr>
      <w:spacing w:before="100" w:beforeAutospacing="1" w:after="100" w:afterAutospacing="1"/>
    </w:pPr>
    <w:rPr>
      <w:rFonts w:ascii="Times New Roman" w:eastAsia="Times New Roman" w:hAnsi="Times New Roman" w:cs="Times New Roman"/>
      <w:lang w:eastAsia="en-GB"/>
    </w:rPr>
  </w:style>
  <w:style w:type="paragraph" w:customStyle="1" w:styleId="c41dispositifintroduction">
    <w:name w:val="c41dispositifintroduction"/>
    <w:basedOn w:val="Normal"/>
    <w:rsid w:val="003155AA"/>
    <w:pPr>
      <w:spacing w:before="100" w:beforeAutospacing="1" w:after="100" w:afterAutospacing="1"/>
    </w:pPr>
    <w:rPr>
      <w:rFonts w:ascii="Times New Roman" w:eastAsia="Times New Roman" w:hAnsi="Times New Roman" w:cs="Times New Roman"/>
      <w:lang w:eastAsia="en-GB"/>
    </w:rPr>
  </w:style>
  <w:style w:type="paragraph" w:customStyle="1" w:styleId="c30dispositifalinea">
    <w:name w:val="c30dispositifalinea"/>
    <w:basedOn w:val="Normal"/>
    <w:rsid w:val="003155AA"/>
    <w:pPr>
      <w:spacing w:before="100" w:beforeAutospacing="1" w:after="100" w:afterAutospacing="1"/>
    </w:pPr>
    <w:rPr>
      <w:rFonts w:ascii="Times New Roman" w:eastAsia="Times New Roman" w:hAnsi="Times New Roman" w:cs="Times New Roman"/>
      <w:lang w:eastAsia="en-GB"/>
    </w:rPr>
  </w:style>
  <w:style w:type="paragraph" w:customStyle="1" w:styleId="c01pointaltn">
    <w:name w:val="c01pointaltn"/>
    <w:basedOn w:val="Normal"/>
    <w:rsid w:val="00DE1D06"/>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DE1D06"/>
    <w:rPr>
      <w:color w:val="0000FF"/>
      <w:u w:val="single"/>
    </w:rPr>
  </w:style>
  <w:style w:type="paragraph" w:customStyle="1" w:styleId="c22titrenumerote2">
    <w:name w:val="c22titrenumerote2"/>
    <w:basedOn w:val="Normal"/>
    <w:rsid w:val="00DE1D06"/>
    <w:pPr>
      <w:spacing w:before="100" w:beforeAutospacing="1" w:after="100" w:afterAutospacing="1"/>
    </w:pPr>
    <w:rPr>
      <w:rFonts w:ascii="Times New Roman" w:eastAsia="Times New Roman" w:hAnsi="Times New Roman" w:cs="Times New Roman"/>
      <w:lang w:eastAsia="en-GB"/>
    </w:rPr>
  </w:style>
  <w:style w:type="paragraph" w:customStyle="1" w:styleId="c23titrenumerote3">
    <w:name w:val="c23titrenumerote3"/>
    <w:basedOn w:val="Normal"/>
    <w:rsid w:val="00DE1D06"/>
    <w:pPr>
      <w:spacing w:before="100" w:beforeAutospacing="1" w:after="100" w:afterAutospacing="1"/>
    </w:pPr>
    <w:rPr>
      <w:rFonts w:ascii="Times New Roman" w:eastAsia="Times New Roman" w:hAnsi="Times New Roman" w:cs="Times New Roman"/>
      <w:lang w:eastAsia="en-GB"/>
    </w:rPr>
  </w:style>
  <w:style w:type="paragraph" w:customStyle="1" w:styleId="c24titrenumerote4">
    <w:name w:val="c24titrenumerote4"/>
    <w:basedOn w:val="Normal"/>
    <w:rsid w:val="00DE1D06"/>
    <w:pPr>
      <w:spacing w:before="100" w:beforeAutospacing="1" w:after="100" w:afterAutospacing="1"/>
    </w:pPr>
    <w:rPr>
      <w:rFonts w:ascii="Times New Roman" w:eastAsia="Times New Roman" w:hAnsi="Times New Roman" w:cs="Times New Roman"/>
      <w:lang w:eastAsia="en-GB"/>
    </w:rPr>
  </w:style>
  <w:style w:type="paragraph" w:customStyle="1" w:styleId="c02alineaalta">
    <w:name w:val="c02alineaalta"/>
    <w:basedOn w:val="Normal"/>
    <w:rsid w:val="00DE1D06"/>
    <w:pPr>
      <w:spacing w:before="100" w:beforeAutospacing="1" w:after="100" w:afterAutospacing="1"/>
    </w:pPr>
    <w:rPr>
      <w:rFonts w:ascii="Times New Roman" w:eastAsia="Times New Roman" w:hAnsi="Times New Roman" w:cs="Times New Roman"/>
      <w:lang w:eastAsia="en-GB"/>
    </w:rPr>
  </w:style>
  <w:style w:type="paragraph" w:customStyle="1" w:styleId="c06titre3">
    <w:name w:val="c06titre3"/>
    <w:basedOn w:val="Normal"/>
    <w:rsid w:val="0094062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5334">
      <w:bodyDiv w:val="1"/>
      <w:marLeft w:val="0"/>
      <w:marRight w:val="0"/>
      <w:marTop w:val="0"/>
      <w:marBottom w:val="0"/>
      <w:divBdr>
        <w:top w:val="none" w:sz="0" w:space="0" w:color="auto"/>
        <w:left w:val="none" w:sz="0" w:space="0" w:color="auto"/>
        <w:bottom w:val="none" w:sz="0" w:space="0" w:color="auto"/>
        <w:right w:val="none" w:sz="0" w:space="0" w:color="auto"/>
      </w:divBdr>
    </w:div>
    <w:div w:id="245769750">
      <w:bodyDiv w:val="1"/>
      <w:marLeft w:val="0"/>
      <w:marRight w:val="0"/>
      <w:marTop w:val="0"/>
      <w:marBottom w:val="0"/>
      <w:divBdr>
        <w:top w:val="none" w:sz="0" w:space="0" w:color="auto"/>
        <w:left w:val="none" w:sz="0" w:space="0" w:color="auto"/>
        <w:bottom w:val="none" w:sz="0" w:space="0" w:color="auto"/>
        <w:right w:val="none" w:sz="0" w:space="0" w:color="auto"/>
      </w:divBdr>
      <w:divsChild>
        <w:div w:id="1442722463">
          <w:marLeft w:val="547"/>
          <w:marRight w:val="0"/>
          <w:marTop w:val="106"/>
          <w:marBottom w:val="0"/>
          <w:divBdr>
            <w:top w:val="none" w:sz="0" w:space="0" w:color="auto"/>
            <w:left w:val="none" w:sz="0" w:space="0" w:color="auto"/>
            <w:bottom w:val="none" w:sz="0" w:space="0" w:color="auto"/>
            <w:right w:val="none" w:sz="0" w:space="0" w:color="auto"/>
          </w:divBdr>
        </w:div>
        <w:div w:id="226457645">
          <w:marLeft w:val="547"/>
          <w:marRight w:val="0"/>
          <w:marTop w:val="106"/>
          <w:marBottom w:val="0"/>
          <w:divBdr>
            <w:top w:val="none" w:sz="0" w:space="0" w:color="auto"/>
            <w:left w:val="none" w:sz="0" w:space="0" w:color="auto"/>
            <w:bottom w:val="none" w:sz="0" w:space="0" w:color="auto"/>
            <w:right w:val="none" w:sz="0" w:space="0" w:color="auto"/>
          </w:divBdr>
        </w:div>
      </w:divsChild>
    </w:div>
    <w:div w:id="437144424">
      <w:bodyDiv w:val="1"/>
      <w:marLeft w:val="0"/>
      <w:marRight w:val="0"/>
      <w:marTop w:val="0"/>
      <w:marBottom w:val="0"/>
      <w:divBdr>
        <w:top w:val="none" w:sz="0" w:space="0" w:color="auto"/>
        <w:left w:val="none" w:sz="0" w:space="0" w:color="auto"/>
        <w:bottom w:val="none" w:sz="0" w:space="0" w:color="auto"/>
        <w:right w:val="none" w:sz="0" w:space="0" w:color="auto"/>
      </w:divBdr>
    </w:div>
    <w:div w:id="475336205">
      <w:bodyDiv w:val="1"/>
      <w:marLeft w:val="0"/>
      <w:marRight w:val="0"/>
      <w:marTop w:val="0"/>
      <w:marBottom w:val="0"/>
      <w:divBdr>
        <w:top w:val="none" w:sz="0" w:space="0" w:color="auto"/>
        <w:left w:val="none" w:sz="0" w:space="0" w:color="auto"/>
        <w:bottom w:val="none" w:sz="0" w:space="0" w:color="auto"/>
        <w:right w:val="none" w:sz="0" w:space="0" w:color="auto"/>
      </w:divBdr>
    </w:div>
    <w:div w:id="561520546">
      <w:bodyDiv w:val="1"/>
      <w:marLeft w:val="0"/>
      <w:marRight w:val="0"/>
      <w:marTop w:val="0"/>
      <w:marBottom w:val="0"/>
      <w:divBdr>
        <w:top w:val="none" w:sz="0" w:space="0" w:color="auto"/>
        <w:left w:val="none" w:sz="0" w:space="0" w:color="auto"/>
        <w:bottom w:val="none" w:sz="0" w:space="0" w:color="auto"/>
        <w:right w:val="none" w:sz="0" w:space="0" w:color="auto"/>
      </w:divBdr>
    </w:div>
    <w:div w:id="626350053">
      <w:bodyDiv w:val="1"/>
      <w:marLeft w:val="0"/>
      <w:marRight w:val="0"/>
      <w:marTop w:val="0"/>
      <w:marBottom w:val="0"/>
      <w:divBdr>
        <w:top w:val="none" w:sz="0" w:space="0" w:color="auto"/>
        <w:left w:val="none" w:sz="0" w:space="0" w:color="auto"/>
        <w:bottom w:val="none" w:sz="0" w:space="0" w:color="auto"/>
        <w:right w:val="none" w:sz="0" w:space="0" w:color="auto"/>
      </w:divBdr>
    </w:div>
    <w:div w:id="721902223">
      <w:bodyDiv w:val="1"/>
      <w:marLeft w:val="0"/>
      <w:marRight w:val="0"/>
      <w:marTop w:val="0"/>
      <w:marBottom w:val="0"/>
      <w:divBdr>
        <w:top w:val="none" w:sz="0" w:space="0" w:color="auto"/>
        <w:left w:val="none" w:sz="0" w:space="0" w:color="auto"/>
        <w:bottom w:val="none" w:sz="0" w:space="0" w:color="auto"/>
        <w:right w:val="none" w:sz="0" w:space="0" w:color="auto"/>
      </w:divBdr>
    </w:div>
    <w:div w:id="965693896">
      <w:bodyDiv w:val="1"/>
      <w:marLeft w:val="0"/>
      <w:marRight w:val="0"/>
      <w:marTop w:val="0"/>
      <w:marBottom w:val="0"/>
      <w:divBdr>
        <w:top w:val="none" w:sz="0" w:space="0" w:color="auto"/>
        <w:left w:val="none" w:sz="0" w:space="0" w:color="auto"/>
        <w:bottom w:val="none" w:sz="0" w:space="0" w:color="auto"/>
        <w:right w:val="none" w:sz="0" w:space="0" w:color="auto"/>
      </w:divBdr>
    </w:div>
    <w:div w:id="976298030">
      <w:bodyDiv w:val="1"/>
      <w:marLeft w:val="0"/>
      <w:marRight w:val="0"/>
      <w:marTop w:val="0"/>
      <w:marBottom w:val="0"/>
      <w:divBdr>
        <w:top w:val="none" w:sz="0" w:space="0" w:color="auto"/>
        <w:left w:val="none" w:sz="0" w:space="0" w:color="auto"/>
        <w:bottom w:val="none" w:sz="0" w:space="0" w:color="auto"/>
        <w:right w:val="none" w:sz="0" w:space="0" w:color="auto"/>
      </w:divBdr>
    </w:div>
    <w:div w:id="1076317426">
      <w:bodyDiv w:val="1"/>
      <w:marLeft w:val="0"/>
      <w:marRight w:val="0"/>
      <w:marTop w:val="0"/>
      <w:marBottom w:val="0"/>
      <w:divBdr>
        <w:top w:val="none" w:sz="0" w:space="0" w:color="auto"/>
        <w:left w:val="none" w:sz="0" w:space="0" w:color="auto"/>
        <w:bottom w:val="none" w:sz="0" w:space="0" w:color="auto"/>
        <w:right w:val="none" w:sz="0" w:space="0" w:color="auto"/>
      </w:divBdr>
    </w:div>
    <w:div w:id="1148982482">
      <w:bodyDiv w:val="1"/>
      <w:marLeft w:val="0"/>
      <w:marRight w:val="0"/>
      <w:marTop w:val="0"/>
      <w:marBottom w:val="0"/>
      <w:divBdr>
        <w:top w:val="none" w:sz="0" w:space="0" w:color="auto"/>
        <w:left w:val="none" w:sz="0" w:space="0" w:color="auto"/>
        <w:bottom w:val="none" w:sz="0" w:space="0" w:color="auto"/>
        <w:right w:val="none" w:sz="0" w:space="0" w:color="auto"/>
      </w:divBdr>
    </w:div>
    <w:div w:id="1153524525">
      <w:bodyDiv w:val="1"/>
      <w:marLeft w:val="0"/>
      <w:marRight w:val="0"/>
      <w:marTop w:val="0"/>
      <w:marBottom w:val="0"/>
      <w:divBdr>
        <w:top w:val="none" w:sz="0" w:space="0" w:color="auto"/>
        <w:left w:val="none" w:sz="0" w:space="0" w:color="auto"/>
        <w:bottom w:val="none" w:sz="0" w:space="0" w:color="auto"/>
        <w:right w:val="none" w:sz="0" w:space="0" w:color="auto"/>
      </w:divBdr>
    </w:div>
    <w:div w:id="1179462535">
      <w:bodyDiv w:val="1"/>
      <w:marLeft w:val="0"/>
      <w:marRight w:val="0"/>
      <w:marTop w:val="0"/>
      <w:marBottom w:val="0"/>
      <w:divBdr>
        <w:top w:val="none" w:sz="0" w:space="0" w:color="auto"/>
        <w:left w:val="none" w:sz="0" w:space="0" w:color="auto"/>
        <w:bottom w:val="none" w:sz="0" w:space="0" w:color="auto"/>
        <w:right w:val="none" w:sz="0" w:space="0" w:color="auto"/>
      </w:divBdr>
    </w:div>
    <w:div w:id="1531647391">
      <w:bodyDiv w:val="1"/>
      <w:marLeft w:val="0"/>
      <w:marRight w:val="0"/>
      <w:marTop w:val="0"/>
      <w:marBottom w:val="0"/>
      <w:divBdr>
        <w:top w:val="none" w:sz="0" w:space="0" w:color="auto"/>
        <w:left w:val="none" w:sz="0" w:space="0" w:color="auto"/>
        <w:bottom w:val="none" w:sz="0" w:space="0" w:color="auto"/>
        <w:right w:val="none" w:sz="0" w:space="0" w:color="auto"/>
      </w:divBdr>
    </w:div>
    <w:div w:id="1637027605">
      <w:bodyDiv w:val="1"/>
      <w:marLeft w:val="0"/>
      <w:marRight w:val="0"/>
      <w:marTop w:val="0"/>
      <w:marBottom w:val="0"/>
      <w:divBdr>
        <w:top w:val="none" w:sz="0" w:space="0" w:color="auto"/>
        <w:left w:val="none" w:sz="0" w:space="0" w:color="auto"/>
        <w:bottom w:val="none" w:sz="0" w:space="0" w:color="auto"/>
        <w:right w:val="none" w:sz="0" w:space="0" w:color="auto"/>
      </w:divBdr>
    </w:div>
    <w:div w:id="1682856014">
      <w:bodyDiv w:val="1"/>
      <w:marLeft w:val="0"/>
      <w:marRight w:val="0"/>
      <w:marTop w:val="0"/>
      <w:marBottom w:val="0"/>
      <w:divBdr>
        <w:top w:val="none" w:sz="0" w:space="0" w:color="auto"/>
        <w:left w:val="none" w:sz="0" w:space="0" w:color="auto"/>
        <w:bottom w:val="none" w:sz="0" w:space="0" w:color="auto"/>
        <w:right w:val="none" w:sz="0" w:space="0" w:color="auto"/>
      </w:divBdr>
    </w:div>
    <w:div w:id="1850874967">
      <w:bodyDiv w:val="1"/>
      <w:marLeft w:val="0"/>
      <w:marRight w:val="0"/>
      <w:marTop w:val="0"/>
      <w:marBottom w:val="0"/>
      <w:divBdr>
        <w:top w:val="none" w:sz="0" w:space="0" w:color="auto"/>
        <w:left w:val="none" w:sz="0" w:space="0" w:color="auto"/>
        <w:bottom w:val="none" w:sz="0" w:space="0" w:color="auto"/>
        <w:right w:val="none" w:sz="0" w:space="0" w:color="auto"/>
      </w:divBdr>
    </w:div>
    <w:div w:id="1928995123">
      <w:bodyDiv w:val="1"/>
      <w:marLeft w:val="0"/>
      <w:marRight w:val="0"/>
      <w:marTop w:val="0"/>
      <w:marBottom w:val="0"/>
      <w:divBdr>
        <w:top w:val="none" w:sz="0" w:space="0" w:color="auto"/>
        <w:left w:val="none" w:sz="0" w:space="0" w:color="auto"/>
        <w:bottom w:val="none" w:sz="0" w:space="0" w:color="auto"/>
        <w:right w:val="none" w:sz="0" w:space="0" w:color="auto"/>
      </w:divBdr>
    </w:div>
    <w:div w:id="2016303634">
      <w:bodyDiv w:val="1"/>
      <w:marLeft w:val="0"/>
      <w:marRight w:val="0"/>
      <w:marTop w:val="0"/>
      <w:marBottom w:val="0"/>
      <w:divBdr>
        <w:top w:val="none" w:sz="0" w:space="0" w:color="auto"/>
        <w:left w:val="none" w:sz="0" w:space="0" w:color="auto"/>
        <w:bottom w:val="none" w:sz="0" w:space="0" w:color="auto"/>
        <w:right w:val="none" w:sz="0" w:space="0" w:color="auto"/>
      </w:divBdr>
    </w:div>
    <w:div w:id="20432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999A-00EC-674A-A5B4-E1ECF730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1973</TotalTime>
  <Pages>20</Pages>
  <Words>10133</Words>
  <Characters>57760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Lamensch</dc:creator>
  <cp:keywords/>
  <dc:description/>
  <cp:lastModifiedBy>Marie Lamensch</cp:lastModifiedBy>
  <cp:revision>153</cp:revision>
  <dcterms:created xsi:type="dcterms:W3CDTF">2022-10-07T09:47:00Z</dcterms:created>
  <dcterms:modified xsi:type="dcterms:W3CDTF">2023-01-23T16:33:00Z</dcterms:modified>
</cp:coreProperties>
</file>