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07C" w:rsidRPr="00A53F18" w:rsidRDefault="00542193" w:rsidP="00A53F18">
      <w:pPr>
        <w:jc w:val="center"/>
        <w:rPr>
          <w:rFonts w:ascii="Times New Roman" w:hAnsi="Times New Roman" w:cs="Times New Roman"/>
          <w:b/>
        </w:rPr>
      </w:pPr>
      <w:r w:rsidRPr="00A53F18">
        <w:rPr>
          <w:rFonts w:ascii="Times New Roman" w:hAnsi="Times New Roman" w:cs="Times New Roman"/>
          <w:b/>
        </w:rPr>
        <w:t xml:space="preserve">Retour </w:t>
      </w:r>
      <w:r w:rsidR="0082408E" w:rsidRPr="00A53F18">
        <w:rPr>
          <w:rFonts w:ascii="Times New Roman" w:hAnsi="Times New Roman" w:cs="Times New Roman"/>
          <w:b/>
        </w:rPr>
        <w:t>à Beccaria : proportionnalité et peines internationales en question</w:t>
      </w:r>
    </w:p>
    <w:p w:rsidR="0082408E" w:rsidRPr="00A53F18" w:rsidRDefault="00B02E8D" w:rsidP="00A53F18">
      <w:pPr>
        <w:jc w:val="center"/>
        <w:rPr>
          <w:rFonts w:ascii="Times New Roman" w:hAnsi="Times New Roman" w:cs="Times New Roman"/>
        </w:rPr>
      </w:pPr>
      <w:r w:rsidRPr="00A53F18">
        <w:rPr>
          <w:rFonts w:ascii="Times New Roman" w:hAnsi="Times New Roman" w:cs="Times New Roman"/>
        </w:rPr>
        <w:t>Diane Bernard</w:t>
      </w:r>
      <w:r w:rsidR="00542193" w:rsidRPr="00A53F18">
        <w:rPr>
          <w:rStyle w:val="Marquenotebasdepage"/>
          <w:rFonts w:ascii="Times New Roman" w:hAnsi="Times New Roman" w:cs="Times New Roman"/>
        </w:rPr>
        <w:footnoteReference w:id="1"/>
      </w:r>
      <w:r w:rsidRPr="00A53F18">
        <w:rPr>
          <w:rFonts w:ascii="Times New Roman" w:hAnsi="Times New Roman" w:cs="Times New Roman"/>
        </w:rPr>
        <w:t xml:space="preserve"> et Damien Scalia</w:t>
      </w:r>
      <w:r w:rsidR="00542193" w:rsidRPr="00A53F18">
        <w:rPr>
          <w:rStyle w:val="Marquenotebasdepage"/>
          <w:rFonts w:ascii="Times New Roman" w:hAnsi="Times New Roman" w:cs="Times New Roman"/>
        </w:rPr>
        <w:footnoteReference w:id="2"/>
      </w:r>
    </w:p>
    <w:p w:rsidR="0032067F" w:rsidRDefault="0032067F" w:rsidP="00DF42A6">
      <w:pPr>
        <w:jc w:val="both"/>
        <w:rPr>
          <w:rFonts w:ascii="Times New Roman" w:hAnsi="Times New Roman" w:cs="Times New Roman"/>
        </w:rPr>
      </w:pPr>
    </w:p>
    <w:p w:rsidR="00A53F18" w:rsidRPr="00A53F18" w:rsidRDefault="00A53F18" w:rsidP="00DF42A6">
      <w:pPr>
        <w:jc w:val="both"/>
        <w:rPr>
          <w:rFonts w:ascii="Times New Roman" w:hAnsi="Times New Roman" w:cs="Times New Roman"/>
        </w:rPr>
      </w:pPr>
    </w:p>
    <w:p w:rsidR="00BE6315" w:rsidRPr="00A53F18" w:rsidRDefault="0082408E" w:rsidP="00DF42A6">
      <w:pPr>
        <w:jc w:val="both"/>
        <w:rPr>
          <w:rFonts w:ascii="Times New Roman" w:hAnsi="Times New Roman" w:cs="Times New Roman"/>
        </w:rPr>
      </w:pPr>
      <w:r w:rsidRPr="00A53F18">
        <w:rPr>
          <w:rFonts w:ascii="Times New Roman" w:hAnsi="Times New Roman" w:cs="Times New Roman"/>
        </w:rPr>
        <w:t>Dans le sillage de Montesquieu</w:t>
      </w:r>
      <w:r w:rsidR="00B203B4" w:rsidRPr="00A53F18">
        <w:rPr>
          <w:rStyle w:val="Marquenotebasdepage"/>
          <w:rFonts w:ascii="Times New Roman" w:hAnsi="Times New Roman" w:cs="Times New Roman"/>
        </w:rPr>
        <w:footnoteReference w:id="3"/>
      </w:r>
      <w:r w:rsidRPr="00A53F18">
        <w:rPr>
          <w:rFonts w:ascii="Times New Roman" w:hAnsi="Times New Roman" w:cs="Times New Roman"/>
        </w:rPr>
        <w:t xml:space="preserve">, </w:t>
      </w:r>
      <w:r w:rsidR="00BE6315" w:rsidRPr="00A53F18">
        <w:rPr>
          <w:rFonts w:ascii="Times New Roman" w:hAnsi="Times New Roman" w:cs="Times New Roman"/>
        </w:rPr>
        <w:t xml:space="preserve">Cesare </w:t>
      </w:r>
      <w:r w:rsidRPr="00A53F18">
        <w:rPr>
          <w:rFonts w:ascii="Times New Roman" w:hAnsi="Times New Roman" w:cs="Times New Roman"/>
        </w:rPr>
        <w:t xml:space="preserve">Beccaria consacre un chapitre complet </w:t>
      </w:r>
      <w:r w:rsidR="00FA2B13">
        <w:rPr>
          <w:rFonts w:ascii="Times New Roman" w:hAnsi="Times New Roman" w:cs="Times New Roman"/>
        </w:rPr>
        <w:t xml:space="preserve">de son œuvre majeure </w:t>
      </w:r>
      <w:r w:rsidR="00297E89" w:rsidRPr="00A53F18">
        <w:rPr>
          <w:rFonts w:ascii="Times New Roman" w:hAnsi="Times New Roman" w:cs="Times New Roman"/>
          <w:i/>
        </w:rPr>
        <w:t>D</w:t>
      </w:r>
      <w:r w:rsidRPr="00A53F18">
        <w:rPr>
          <w:rFonts w:ascii="Times New Roman" w:hAnsi="Times New Roman" w:cs="Times New Roman"/>
          <w:i/>
        </w:rPr>
        <w:t>es délits et des peines</w:t>
      </w:r>
      <w:r w:rsidRPr="00A53F18">
        <w:rPr>
          <w:rFonts w:ascii="Times New Roman" w:hAnsi="Times New Roman" w:cs="Times New Roman"/>
        </w:rPr>
        <w:t xml:space="preserve"> à la </w:t>
      </w:r>
      <w:r w:rsidR="00B203B4" w:rsidRPr="00A53F18">
        <w:rPr>
          <w:rFonts w:ascii="Times New Roman" w:hAnsi="Times New Roman" w:cs="Times New Roman"/>
        </w:rPr>
        <w:t>« </w:t>
      </w:r>
      <w:r w:rsidRPr="00A53F18">
        <w:rPr>
          <w:rFonts w:ascii="Times New Roman" w:hAnsi="Times New Roman" w:cs="Times New Roman"/>
        </w:rPr>
        <w:t>proportion entre les délits et les peines</w:t>
      </w:r>
      <w:r w:rsidR="00B203B4" w:rsidRPr="00A53F18">
        <w:rPr>
          <w:rFonts w:ascii="Times New Roman" w:hAnsi="Times New Roman" w:cs="Times New Roman"/>
        </w:rPr>
        <w:t> »</w:t>
      </w:r>
      <w:r w:rsidR="00DE13C1" w:rsidRPr="00A53F18">
        <w:rPr>
          <w:rStyle w:val="Marquenotebasdepage"/>
          <w:rFonts w:ascii="Times New Roman" w:hAnsi="Times New Roman" w:cs="Times New Roman"/>
        </w:rPr>
        <w:footnoteReference w:id="4"/>
      </w:r>
      <w:r w:rsidRPr="00A53F18">
        <w:rPr>
          <w:rFonts w:ascii="Times New Roman" w:hAnsi="Times New Roman" w:cs="Times New Roman"/>
        </w:rPr>
        <w:t xml:space="preserve"> ; il martèle cette exigence de proportionnalité à plusieurs reprises </w:t>
      </w:r>
      <w:r w:rsidR="00DE13C1" w:rsidRPr="00A53F18">
        <w:rPr>
          <w:rFonts w:ascii="Times New Roman" w:hAnsi="Times New Roman" w:cs="Times New Roman"/>
        </w:rPr>
        <w:t xml:space="preserve">tout </w:t>
      </w:r>
      <w:r w:rsidRPr="00A53F18">
        <w:rPr>
          <w:rFonts w:ascii="Times New Roman" w:hAnsi="Times New Roman" w:cs="Times New Roman"/>
        </w:rPr>
        <w:t>au long d</w:t>
      </w:r>
      <w:r w:rsidR="00297E89" w:rsidRPr="00A53F18">
        <w:rPr>
          <w:rFonts w:ascii="Times New Roman" w:hAnsi="Times New Roman" w:cs="Times New Roman"/>
        </w:rPr>
        <w:t>e l’ouvrage</w:t>
      </w:r>
      <w:r w:rsidRPr="00A53F18">
        <w:rPr>
          <w:rFonts w:ascii="Times New Roman" w:hAnsi="Times New Roman" w:cs="Times New Roman"/>
          <w:i/>
        </w:rPr>
        <w:t xml:space="preserve">. </w:t>
      </w:r>
      <w:r w:rsidR="00A70B33" w:rsidRPr="00A53F18">
        <w:rPr>
          <w:rFonts w:ascii="Times New Roman" w:hAnsi="Times New Roman" w:cs="Times New Roman"/>
        </w:rPr>
        <w:t>Comme l’expliquent</w:t>
      </w:r>
      <w:r w:rsidRPr="00A53F18">
        <w:rPr>
          <w:rFonts w:ascii="Times New Roman" w:hAnsi="Times New Roman" w:cs="Times New Roman"/>
        </w:rPr>
        <w:t xml:space="preserve"> </w:t>
      </w:r>
      <w:r w:rsidR="006668D2" w:rsidRPr="00A53F18">
        <w:rPr>
          <w:rFonts w:ascii="Times New Roman" w:hAnsi="Times New Roman" w:cs="Times New Roman"/>
        </w:rPr>
        <w:t xml:space="preserve">Michel </w:t>
      </w:r>
      <w:r w:rsidRPr="00A53F18">
        <w:rPr>
          <w:rFonts w:ascii="Times New Roman" w:hAnsi="Times New Roman" w:cs="Times New Roman"/>
        </w:rPr>
        <w:t xml:space="preserve">Porret </w:t>
      </w:r>
      <w:r w:rsidR="00A70B33" w:rsidRPr="00A53F18">
        <w:rPr>
          <w:rFonts w:ascii="Times New Roman" w:hAnsi="Times New Roman" w:cs="Times New Roman"/>
        </w:rPr>
        <w:t>et</w:t>
      </w:r>
      <w:r w:rsidRPr="00A53F18">
        <w:rPr>
          <w:rFonts w:ascii="Times New Roman" w:hAnsi="Times New Roman" w:cs="Times New Roman"/>
        </w:rPr>
        <w:t xml:space="preserve"> </w:t>
      </w:r>
      <w:r w:rsidR="006668D2" w:rsidRPr="00A53F18">
        <w:rPr>
          <w:rFonts w:ascii="Times New Roman" w:hAnsi="Times New Roman" w:cs="Times New Roman"/>
        </w:rPr>
        <w:t xml:space="preserve">Yves </w:t>
      </w:r>
      <w:r w:rsidRPr="00A53F18">
        <w:rPr>
          <w:rFonts w:ascii="Times New Roman" w:hAnsi="Times New Roman" w:cs="Times New Roman"/>
        </w:rPr>
        <w:t>Cartuyvels, le marquis trouve là un garde-fou contre l’arbitraire d’un souverain démesurément répressif</w:t>
      </w:r>
      <w:r w:rsidR="006668D2" w:rsidRPr="00A53F18">
        <w:rPr>
          <w:rFonts w:ascii="Times New Roman" w:hAnsi="Times New Roman" w:cs="Times New Roman"/>
        </w:rPr>
        <w:t> : la proportionnalité constitue</w:t>
      </w:r>
      <w:r w:rsidR="00BE6315" w:rsidRPr="00A53F18">
        <w:rPr>
          <w:rFonts w:ascii="Times New Roman" w:hAnsi="Times New Roman" w:cs="Times New Roman"/>
        </w:rPr>
        <w:t xml:space="preserve"> pour lui</w:t>
      </w:r>
      <w:r w:rsidR="006668D2" w:rsidRPr="00A53F18">
        <w:rPr>
          <w:rFonts w:ascii="Times New Roman" w:hAnsi="Times New Roman" w:cs="Times New Roman"/>
        </w:rPr>
        <w:t xml:space="preserve"> un </w:t>
      </w:r>
      <w:r w:rsidRPr="00A53F18">
        <w:rPr>
          <w:rFonts w:ascii="Times New Roman" w:hAnsi="Times New Roman" w:cs="Times New Roman"/>
        </w:rPr>
        <w:t xml:space="preserve">instrument de modération </w:t>
      </w:r>
      <w:r w:rsidR="00820C54" w:rsidRPr="00A53F18">
        <w:rPr>
          <w:rFonts w:ascii="Times New Roman" w:hAnsi="Times New Roman" w:cs="Times New Roman"/>
        </w:rPr>
        <w:t xml:space="preserve">et de justesse </w:t>
      </w:r>
      <w:r w:rsidR="00566FE1">
        <w:rPr>
          <w:rFonts w:ascii="Times New Roman" w:hAnsi="Times New Roman" w:cs="Times New Roman"/>
        </w:rPr>
        <w:t>des peines</w:t>
      </w:r>
      <w:r w:rsidRPr="00A53F18">
        <w:rPr>
          <w:rStyle w:val="Marquenotebasdepage"/>
          <w:rFonts w:ascii="Times New Roman" w:hAnsi="Times New Roman" w:cs="Times New Roman"/>
        </w:rPr>
        <w:footnoteReference w:id="5"/>
      </w:r>
      <w:r w:rsidRPr="00A53F18">
        <w:rPr>
          <w:rFonts w:ascii="Times New Roman" w:hAnsi="Times New Roman" w:cs="Times New Roman"/>
        </w:rPr>
        <w:t xml:space="preserve">. </w:t>
      </w:r>
      <w:r w:rsidR="00BE6315" w:rsidRPr="00A53F18">
        <w:rPr>
          <w:rFonts w:ascii="Times New Roman" w:hAnsi="Times New Roman" w:cs="Times New Roman"/>
        </w:rPr>
        <w:t>Cette proposition nous paraît revêtir un intérêt tout particulier en droit actuel, et plus précisément en droit international pénal.</w:t>
      </w:r>
    </w:p>
    <w:p w:rsidR="00BE6315" w:rsidRPr="00A53F18" w:rsidRDefault="00BE6315" w:rsidP="00DF42A6">
      <w:pPr>
        <w:jc w:val="both"/>
        <w:rPr>
          <w:rFonts w:ascii="Times New Roman" w:hAnsi="Times New Roman" w:cs="Times New Roman"/>
        </w:rPr>
      </w:pPr>
    </w:p>
    <w:p w:rsidR="00BE6315" w:rsidRPr="00A53F18" w:rsidRDefault="00AB7DDD" w:rsidP="00DF42A6">
      <w:pPr>
        <w:jc w:val="both"/>
        <w:rPr>
          <w:rFonts w:ascii="Times New Roman" w:hAnsi="Times New Roman" w:cs="Times New Roman"/>
        </w:rPr>
      </w:pPr>
      <w:r w:rsidRPr="00A53F18">
        <w:rPr>
          <w:rFonts w:ascii="Times New Roman" w:hAnsi="Times New Roman" w:cs="Times New Roman"/>
          <w:color w:val="0A0B0A"/>
        </w:rPr>
        <w:t>Cette discipline peut être définie</w:t>
      </w:r>
      <w:r w:rsidR="00BE6315" w:rsidRPr="00A53F18">
        <w:rPr>
          <w:rFonts w:ascii="Times New Roman" w:hAnsi="Times New Roman" w:cs="Times New Roman"/>
          <w:color w:val="0A0B0A"/>
        </w:rPr>
        <w:t xml:space="preserve"> comme « le droit des crimes les plus graves », visant en particulier le</w:t>
      </w:r>
      <w:r w:rsidRPr="00A53F18">
        <w:rPr>
          <w:rFonts w:ascii="Times New Roman" w:hAnsi="Times New Roman" w:cs="Times New Roman"/>
          <w:color w:val="0A0B0A"/>
        </w:rPr>
        <w:t xml:space="preserve"> génocide, les crimes de guerre et</w:t>
      </w:r>
      <w:r w:rsidR="00BE6315" w:rsidRPr="00A53F18">
        <w:rPr>
          <w:rFonts w:ascii="Times New Roman" w:hAnsi="Times New Roman" w:cs="Times New Roman"/>
          <w:color w:val="0A0B0A"/>
        </w:rPr>
        <w:t xml:space="preserve"> les crimes contre l’humanité. Ce sont là des comportement</w:t>
      </w:r>
      <w:r w:rsidR="00820C54" w:rsidRPr="00A53F18">
        <w:rPr>
          <w:rFonts w:ascii="Times New Roman" w:hAnsi="Times New Roman" w:cs="Times New Roman"/>
          <w:color w:val="0A0B0A"/>
        </w:rPr>
        <w:t>s</w:t>
      </w:r>
      <w:r w:rsidR="00BE6315" w:rsidRPr="00A53F18">
        <w:rPr>
          <w:rFonts w:ascii="Times New Roman" w:hAnsi="Times New Roman" w:cs="Times New Roman"/>
          <w:color w:val="0A0B0A"/>
        </w:rPr>
        <w:t xml:space="preserve"> que Beccaria aurait sans doute considéré comme des plus </w:t>
      </w:r>
      <w:r w:rsidR="00820C54" w:rsidRPr="00A53F18">
        <w:rPr>
          <w:rFonts w:ascii="Times New Roman" w:hAnsi="Times New Roman" w:cs="Times New Roman"/>
          <w:color w:val="0A0B0A"/>
        </w:rPr>
        <w:t>inacceptables</w:t>
      </w:r>
      <w:r w:rsidR="00BE6315" w:rsidRPr="00A53F18">
        <w:rPr>
          <w:rFonts w:ascii="Times New Roman" w:hAnsi="Times New Roman" w:cs="Times New Roman"/>
          <w:color w:val="0A0B0A"/>
        </w:rPr>
        <w:t xml:space="preserve"> aussi, en ce qu’ils « détruisent directement la société » : pour le milanais, </w:t>
      </w:r>
      <w:r w:rsidR="00BE6315" w:rsidRPr="00A53F18">
        <w:rPr>
          <w:rFonts w:ascii="Times New Roman" w:hAnsi="Times New Roman" w:cs="Times New Roman"/>
        </w:rPr>
        <w:t xml:space="preserve">« la </w:t>
      </w:r>
      <w:r w:rsidR="00EB6F6A">
        <w:rPr>
          <w:rFonts w:ascii="Times New Roman" w:hAnsi="Times New Roman" w:cs="Times New Roman"/>
        </w:rPr>
        <w:t>seule et véritable mesure des délits est le dommage fait à la nation</w:t>
      </w:r>
      <w:r w:rsidR="00BE6315" w:rsidRPr="00A53F18">
        <w:rPr>
          <w:rFonts w:ascii="Times New Roman" w:hAnsi="Times New Roman" w:cs="Times New Roman"/>
        </w:rPr>
        <w:t> »</w:t>
      </w:r>
      <w:r w:rsidR="00BE6315" w:rsidRPr="00A53F18">
        <w:rPr>
          <w:rStyle w:val="Marquenotebasdepage"/>
          <w:rFonts w:ascii="Times New Roman" w:hAnsi="Times New Roman" w:cs="Times New Roman"/>
        </w:rPr>
        <w:footnoteReference w:id="6"/>
      </w:r>
      <w:r w:rsidR="00EB6F6A">
        <w:rPr>
          <w:rFonts w:ascii="Times New Roman" w:hAnsi="Times New Roman" w:cs="Times New Roman"/>
        </w:rPr>
        <w:t>, ou à la « société »</w:t>
      </w:r>
      <w:r w:rsidR="00EB6F6A">
        <w:rPr>
          <w:rStyle w:val="Marquenotebasdepage"/>
          <w:rFonts w:ascii="Times New Roman" w:hAnsi="Times New Roman" w:cs="Times New Roman"/>
        </w:rPr>
        <w:footnoteReference w:id="7"/>
      </w:r>
      <w:r w:rsidR="00BE6315" w:rsidRPr="00A53F18">
        <w:rPr>
          <w:rFonts w:ascii="Times New Roman" w:hAnsi="Times New Roman" w:cs="Times New Roman"/>
        </w:rPr>
        <w:t xml:space="preserve">. </w:t>
      </w:r>
      <w:r w:rsidR="009E4E5B" w:rsidRPr="00A53F18">
        <w:rPr>
          <w:rFonts w:ascii="Times New Roman" w:hAnsi="Times New Roman" w:cs="Times New Roman"/>
        </w:rPr>
        <w:t>Notre propos sera</w:t>
      </w:r>
      <w:r w:rsidR="00BE6315" w:rsidRPr="00A53F18">
        <w:rPr>
          <w:rFonts w:ascii="Times New Roman" w:hAnsi="Times New Roman" w:cs="Times New Roman"/>
        </w:rPr>
        <w:t xml:space="preserve"> plus particulièrement</w:t>
      </w:r>
      <w:r w:rsidR="009E4E5B" w:rsidRPr="00A53F18">
        <w:rPr>
          <w:rFonts w:ascii="Times New Roman" w:hAnsi="Times New Roman" w:cs="Times New Roman"/>
        </w:rPr>
        <w:t xml:space="preserve"> centré</w:t>
      </w:r>
      <w:r w:rsidR="00BE6315" w:rsidRPr="00A53F18">
        <w:rPr>
          <w:rFonts w:ascii="Times New Roman" w:hAnsi="Times New Roman" w:cs="Times New Roman"/>
        </w:rPr>
        <w:t xml:space="preserve"> sur les Tribunaux pénaux internationaux pour l’ex-Yougoslavie et le Rwanda (TPIY et TPIR), ainsi que sur la Cour pénale internationale (CPI), en tant que juridic</w:t>
      </w:r>
      <w:r w:rsidR="00E96139" w:rsidRPr="00A53F18">
        <w:rPr>
          <w:rFonts w:ascii="Times New Roman" w:hAnsi="Times New Roman" w:cs="Times New Roman"/>
        </w:rPr>
        <w:t xml:space="preserve">tions principales en la matière. </w:t>
      </w:r>
      <w:r w:rsidR="00820C54" w:rsidRPr="00A53F18">
        <w:rPr>
          <w:rFonts w:ascii="Times New Roman" w:hAnsi="Times New Roman" w:cs="Times New Roman"/>
        </w:rPr>
        <w:t>Créées respectivement en 1993 (pour le TPIY), 1994 (pour le TPIR) et 1998 (pour la CPI), ces juridictions exercent aujourd’hui une c</w:t>
      </w:r>
      <w:r w:rsidRPr="00A53F18">
        <w:rPr>
          <w:rFonts w:ascii="Times New Roman" w:hAnsi="Times New Roman" w:cs="Times New Roman"/>
        </w:rPr>
        <w:t>ompétence pénale internationale</w:t>
      </w:r>
      <w:r w:rsidR="00820C54" w:rsidRPr="00A53F18">
        <w:rPr>
          <w:rFonts w:ascii="Times New Roman" w:hAnsi="Times New Roman" w:cs="Times New Roman"/>
        </w:rPr>
        <w:t xml:space="preserve"> sans précédent</w:t>
      </w:r>
      <w:r w:rsidR="00820C54" w:rsidRPr="00A53F18">
        <w:rPr>
          <w:rStyle w:val="Marquenotebasdepage"/>
          <w:rFonts w:ascii="Times New Roman" w:hAnsi="Times New Roman" w:cs="Times New Roman"/>
        </w:rPr>
        <w:footnoteReference w:id="8"/>
      </w:r>
      <w:r w:rsidR="00820C54" w:rsidRPr="00A53F18">
        <w:rPr>
          <w:rFonts w:ascii="Times New Roman" w:hAnsi="Times New Roman" w:cs="Times New Roman"/>
        </w:rPr>
        <w:t>.</w:t>
      </w:r>
    </w:p>
    <w:p w:rsidR="00E96139" w:rsidRPr="00A53F18" w:rsidRDefault="00E96139" w:rsidP="00DF42A6">
      <w:pPr>
        <w:jc w:val="both"/>
        <w:rPr>
          <w:rFonts w:ascii="Times New Roman" w:hAnsi="Times New Roman" w:cs="Times New Roman"/>
        </w:rPr>
      </w:pPr>
    </w:p>
    <w:p w:rsidR="00AF7826" w:rsidRPr="00A53F18" w:rsidRDefault="00820C54" w:rsidP="00DF42A6">
      <w:pPr>
        <w:jc w:val="both"/>
        <w:rPr>
          <w:rFonts w:ascii="Times New Roman" w:hAnsi="Times New Roman" w:cs="Times New Roman"/>
        </w:rPr>
      </w:pPr>
      <w:r w:rsidRPr="00A53F18">
        <w:rPr>
          <w:rFonts w:ascii="Times New Roman" w:hAnsi="Times New Roman" w:cs="Times New Roman"/>
        </w:rPr>
        <w:t xml:space="preserve">Dans ce champ, l’étude </w:t>
      </w:r>
      <w:r w:rsidR="00E96139" w:rsidRPr="00A53F18">
        <w:rPr>
          <w:rFonts w:ascii="Times New Roman" w:hAnsi="Times New Roman" w:cs="Times New Roman"/>
        </w:rPr>
        <w:t xml:space="preserve">des propositions beccariennes procède d’une décontextualisation, au vu des différences entre l’Ancien Régime, dans lequel s’inscrit le pragmatisme du marquis, et le droit international pénal, dont la prétention universelle n’efface pas les spécificités institutionnelles. </w:t>
      </w:r>
      <w:r w:rsidR="00AF7826" w:rsidRPr="00A53F18">
        <w:rPr>
          <w:rFonts w:ascii="Times New Roman" w:hAnsi="Times New Roman" w:cs="Times New Roman"/>
        </w:rPr>
        <w:t xml:space="preserve">Nous ne prétendons ni observer un </w:t>
      </w:r>
      <w:r w:rsidR="00AF7826" w:rsidRPr="00A53F18">
        <w:rPr>
          <w:rFonts w:ascii="Times New Roman" w:hAnsi="Times New Roman" w:cs="Times New Roman"/>
          <w:i/>
        </w:rPr>
        <w:t>continuum</w:t>
      </w:r>
      <w:r w:rsidR="00AF7826" w:rsidRPr="00A53F18">
        <w:rPr>
          <w:rFonts w:ascii="Times New Roman" w:hAnsi="Times New Roman" w:cs="Times New Roman"/>
        </w:rPr>
        <w:t xml:space="preserve"> (épistémologique) de la notion de droit au fil de l’histoire européenne, ni rapprocher des situations sociales et juridiques très différentes (d’un point de vue ontologique sans doute autant que pratique)</w:t>
      </w:r>
      <w:r w:rsidR="00AF7826" w:rsidRPr="00A53F18">
        <w:rPr>
          <w:rStyle w:val="Marquenotebasdepage"/>
          <w:rFonts w:ascii="Times New Roman" w:hAnsi="Times New Roman" w:cs="Times New Roman"/>
        </w:rPr>
        <w:footnoteReference w:id="9"/>
      </w:r>
      <w:r w:rsidR="00AF7826" w:rsidRPr="00A53F18">
        <w:rPr>
          <w:rFonts w:ascii="Times New Roman" w:hAnsi="Times New Roman" w:cs="Times New Roman"/>
        </w:rPr>
        <w:t>. Mais c</w:t>
      </w:r>
      <w:r w:rsidR="00E96139" w:rsidRPr="00A53F18">
        <w:rPr>
          <w:rFonts w:ascii="Times New Roman" w:hAnsi="Times New Roman" w:cs="Times New Roman"/>
        </w:rPr>
        <w:t>e grand écart</w:t>
      </w:r>
      <w:r w:rsidR="00AF7826" w:rsidRPr="00A53F18">
        <w:rPr>
          <w:rFonts w:ascii="Times New Roman" w:hAnsi="Times New Roman" w:cs="Times New Roman"/>
        </w:rPr>
        <w:t xml:space="preserve"> historique et sociétal, de Milan à La Haye,</w:t>
      </w:r>
      <w:r w:rsidR="00E96139" w:rsidRPr="00A53F18">
        <w:rPr>
          <w:rFonts w:ascii="Times New Roman" w:hAnsi="Times New Roman" w:cs="Times New Roman"/>
        </w:rPr>
        <w:t xml:space="preserve"> constitue la base </w:t>
      </w:r>
      <w:r w:rsidRPr="00A53F18">
        <w:rPr>
          <w:rFonts w:ascii="Times New Roman" w:hAnsi="Times New Roman" w:cs="Times New Roman"/>
        </w:rPr>
        <w:t xml:space="preserve">même de notre réflexion : </w:t>
      </w:r>
      <w:r w:rsidR="00AF7826" w:rsidRPr="00A53F18">
        <w:rPr>
          <w:rFonts w:ascii="Times New Roman" w:hAnsi="Times New Roman" w:cs="Times New Roman"/>
        </w:rPr>
        <w:t xml:space="preserve">ici et aujourd’hui encore, les travaux de Cesare Beccaria revêtent une pertinence et un potentiel subversif saisissants. </w:t>
      </w:r>
      <w:r w:rsidR="009E4E5B" w:rsidRPr="00A53F18">
        <w:rPr>
          <w:rFonts w:ascii="Times New Roman" w:hAnsi="Times New Roman" w:cs="Times New Roman"/>
        </w:rPr>
        <w:t>Une analyse du principe de proportionnalité le reflète tout particulièrement.</w:t>
      </w:r>
    </w:p>
    <w:p w:rsidR="00BE6315" w:rsidRPr="00A53F18" w:rsidRDefault="00BE6315" w:rsidP="00DF42A6">
      <w:pPr>
        <w:jc w:val="both"/>
        <w:rPr>
          <w:rFonts w:ascii="Times New Roman" w:hAnsi="Times New Roman" w:cs="Times New Roman"/>
        </w:rPr>
      </w:pPr>
    </w:p>
    <w:p w:rsidR="00BE6315" w:rsidRPr="00A53F18" w:rsidRDefault="00BE6315" w:rsidP="00DF42A6">
      <w:pPr>
        <w:jc w:val="both"/>
        <w:rPr>
          <w:rFonts w:ascii="Times New Roman" w:hAnsi="Times New Roman" w:cs="Times New Roman"/>
        </w:rPr>
      </w:pPr>
    </w:p>
    <w:p w:rsidR="00FA2B13" w:rsidRDefault="0082408E" w:rsidP="00DF42A6">
      <w:pPr>
        <w:jc w:val="both"/>
        <w:rPr>
          <w:rFonts w:ascii="Times New Roman" w:hAnsi="Times New Roman" w:cs="Times New Roman"/>
        </w:rPr>
      </w:pPr>
      <w:r w:rsidRPr="00A53F18">
        <w:rPr>
          <w:rFonts w:ascii="Times New Roman" w:hAnsi="Times New Roman" w:cs="Times New Roman"/>
        </w:rPr>
        <w:t xml:space="preserve">Beccaria </w:t>
      </w:r>
      <w:r w:rsidR="006668D2" w:rsidRPr="00A53F18">
        <w:rPr>
          <w:rFonts w:ascii="Times New Roman" w:hAnsi="Times New Roman" w:cs="Times New Roman"/>
        </w:rPr>
        <w:t>associe la proportionnalité</w:t>
      </w:r>
      <w:r w:rsidRPr="00A53F18">
        <w:rPr>
          <w:rFonts w:ascii="Times New Roman" w:hAnsi="Times New Roman" w:cs="Times New Roman"/>
        </w:rPr>
        <w:t xml:space="preserve"> au principe de </w:t>
      </w:r>
      <w:r w:rsidRPr="00A53F18">
        <w:rPr>
          <w:rFonts w:ascii="Times New Roman" w:hAnsi="Times New Roman" w:cs="Times New Roman"/>
          <w:i/>
        </w:rPr>
        <w:t>légalité</w:t>
      </w:r>
      <w:r w:rsidRPr="00A53F18">
        <w:rPr>
          <w:rFonts w:ascii="Times New Roman" w:hAnsi="Times New Roman" w:cs="Times New Roman"/>
        </w:rPr>
        <w:t xml:space="preserve"> (des délits et surtout des peines)</w:t>
      </w:r>
      <w:r w:rsidR="00FA2B13">
        <w:rPr>
          <w:rFonts w:ascii="Times New Roman" w:hAnsi="Times New Roman" w:cs="Times New Roman"/>
        </w:rPr>
        <w:t xml:space="preserve"> – lequel énonce qu’il ne peut y avoir de crime et de peine sans loi –</w:t>
      </w:r>
      <w:r w:rsidRPr="00A53F18">
        <w:rPr>
          <w:rFonts w:ascii="Times New Roman" w:hAnsi="Times New Roman" w:cs="Times New Roman"/>
        </w:rPr>
        <w:t xml:space="preserve"> et </w:t>
      </w:r>
      <w:r w:rsidR="00566FE1">
        <w:rPr>
          <w:rFonts w:ascii="Times New Roman" w:hAnsi="Times New Roman" w:cs="Times New Roman"/>
        </w:rPr>
        <w:t xml:space="preserve">au principe </w:t>
      </w:r>
      <w:r w:rsidRPr="00A53F18">
        <w:rPr>
          <w:rFonts w:ascii="Times New Roman" w:hAnsi="Times New Roman" w:cs="Times New Roman"/>
        </w:rPr>
        <w:t xml:space="preserve">de </w:t>
      </w:r>
      <w:r w:rsidRPr="00A53F18">
        <w:rPr>
          <w:rFonts w:ascii="Times New Roman" w:hAnsi="Times New Roman" w:cs="Times New Roman"/>
          <w:i/>
        </w:rPr>
        <w:t>nécessité</w:t>
      </w:r>
      <w:r w:rsidRPr="00A53F18">
        <w:rPr>
          <w:rFonts w:ascii="Times New Roman" w:hAnsi="Times New Roman" w:cs="Times New Roman"/>
        </w:rPr>
        <w:t xml:space="preserve"> – lequel impose de choisir la mesure la moins liberticide pour parvenir à l’objectif souhaité, la </w:t>
      </w:r>
      <w:r w:rsidR="006D3434" w:rsidRPr="00A53F18">
        <w:rPr>
          <w:rFonts w:ascii="Times New Roman" w:hAnsi="Times New Roman" w:cs="Times New Roman"/>
        </w:rPr>
        <w:t>« </w:t>
      </w:r>
      <w:r w:rsidRPr="00A53F18">
        <w:rPr>
          <w:rFonts w:ascii="Times New Roman" w:hAnsi="Times New Roman" w:cs="Times New Roman"/>
        </w:rPr>
        <w:t>juste mesure</w:t>
      </w:r>
      <w:r w:rsidR="006D3434" w:rsidRPr="00A53F18">
        <w:rPr>
          <w:rFonts w:ascii="Times New Roman" w:hAnsi="Times New Roman" w:cs="Times New Roman"/>
        </w:rPr>
        <w:t> »</w:t>
      </w:r>
      <w:r w:rsidRPr="00A53F18">
        <w:rPr>
          <w:rStyle w:val="Marquenotebasdepage"/>
          <w:rFonts w:ascii="Times New Roman" w:hAnsi="Times New Roman" w:cs="Times New Roman"/>
        </w:rPr>
        <w:footnoteReference w:id="10"/>
      </w:r>
      <w:r w:rsidRPr="00A53F18">
        <w:rPr>
          <w:rFonts w:ascii="Times New Roman" w:hAnsi="Times New Roman" w:cs="Times New Roman"/>
        </w:rPr>
        <w:t xml:space="preserve">. </w:t>
      </w:r>
      <w:r w:rsidR="00AF7826" w:rsidRPr="00A53F18">
        <w:rPr>
          <w:rFonts w:ascii="Times New Roman" w:hAnsi="Times New Roman" w:cs="Times New Roman"/>
        </w:rPr>
        <w:t>Nous observerons que se cumulent ainsi une volonté de « justesse pénale », un souci de modération pénale et un objectif de prévention</w:t>
      </w:r>
      <w:r w:rsidR="00566FE1">
        <w:rPr>
          <w:rFonts w:ascii="Times New Roman" w:hAnsi="Times New Roman" w:cs="Times New Roman"/>
        </w:rPr>
        <w:t xml:space="preserve"> dans la conception beccarienne du droit pénal.</w:t>
      </w:r>
      <w:r w:rsidR="00AF7826" w:rsidRPr="00A53F18">
        <w:rPr>
          <w:rFonts w:ascii="Times New Roman" w:hAnsi="Times New Roman" w:cs="Times New Roman"/>
        </w:rPr>
        <w:t xml:space="preserve"> </w:t>
      </w:r>
    </w:p>
    <w:p w:rsidR="00566FE1" w:rsidRDefault="00566FE1" w:rsidP="00DF42A6">
      <w:pPr>
        <w:jc w:val="both"/>
        <w:rPr>
          <w:rFonts w:ascii="Times New Roman" w:hAnsi="Times New Roman" w:cs="Times New Roman"/>
        </w:rPr>
      </w:pPr>
    </w:p>
    <w:p w:rsidR="00402D9C" w:rsidRPr="00A53F18" w:rsidRDefault="00AF7826" w:rsidP="00DF42A6">
      <w:pPr>
        <w:jc w:val="both"/>
        <w:rPr>
          <w:rFonts w:ascii="Times New Roman" w:hAnsi="Times New Roman" w:cs="Times New Roman"/>
          <w:color w:val="0A0B0A"/>
        </w:rPr>
      </w:pPr>
      <w:r w:rsidRPr="00A53F18">
        <w:rPr>
          <w:rFonts w:ascii="Times New Roman" w:hAnsi="Times New Roman" w:cs="Times New Roman"/>
        </w:rPr>
        <w:t>Cela dit, le marquis estime qu’« </w:t>
      </w:r>
      <w:r w:rsidRPr="00A53F18">
        <w:rPr>
          <w:rFonts w:ascii="Times New Roman" w:hAnsi="Times New Roman" w:cs="Times New Roman"/>
          <w:color w:val="0A0B0A"/>
        </w:rPr>
        <w:t xml:space="preserve">il </w:t>
      </w:r>
      <w:r w:rsidR="00EB6F6A">
        <w:rPr>
          <w:rFonts w:ascii="Times New Roman" w:hAnsi="Times New Roman" w:cs="Times New Roman"/>
          <w:color w:val="0A0B0A"/>
        </w:rPr>
        <w:t>n’est pas … facile de conserver l’essentielle</w:t>
      </w:r>
      <w:r w:rsidRPr="00A53F18">
        <w:rPr>
          <w:rFonts w:ascii="Times New Roman" w:hAnsi="Times New Roman" w:cs="Times New Roman"/>
          <w:color w:val="0A0B0A"/>
        </w:rPr>
        <w:t xml:space="preserve"> proportion ent</w:t>
      </w:r>
      <w:r w:rsidR="00EB6F6A">
        <w:rPr>
          <w:rFonts w:ascii="Times New Roman" w:hAnsi="Times New Roman" w:cs="Times New Roman"/>
          <w:color w:val="0A0B0A"/>
        </w:rPr>
        <w:t>re les délits et les peines, parce que (…) on ne trouverait plus pour les délits plus dommageables et plus atroces une peine plus lourde qui leur correspondît</w:t>
      </w:r>
      <w:r w:rsidRPr="00A53F18">
        <w:rPr>
          <w:rFonts w:ascii="Times New Roman" w:hAnsi="Times New Roman" w:cs="Times New Roman"/>
          <w:color w:val="0A0B0A"/>
        </w:rPr>
        <w:t> »</w:t>
      </w:r>
      <w:r w:rsidRPr="00A53F18">
        <w:rPr>
          <w:rStyle w:val="Marquenotebasdepage"/>
          <w:rFonts w:ascii="Times New Roman" w:hAnsi="Times New Roman" w:cs="Times New Roman"/>
          <w:color w:val="0A0B0A"/>
        </w:rPr>
        <w:footnoteReference w:id="11"/>
      </w:r>
      <w:r w:rsidRPr="00A53F18">
        <w:rPr>
          <w:rFonts w:ascii="Times New Roman" w:hAnsi="Times New Roman" w:cs="Times New Roman"/>
          <w:color w:val="0A0B0A"/>
        </w:rPr>
        <w:t xml:space="preserve">. Cette difficulté pointée par Beccaria est bien de celles auxquelles sont confrontés les acteurs du droit international pénal. </w:t>
      </w:r>
      <w:r w:rsidR="009E4E5B" w:rsidRPr="00A53F18">
        <w:rPr>
          <w:rFonts w:ascii="Times New Roman" w:hAnsi="Times New Roman" w:cs="Times New Roman"/>
          <w:color w:val="0A0B0A"/>
        </w:rPr>
        <w:t>P</w:t>
      </w:r>
      <w:r w:rsidR="00402D9C" w:rsidRPr="00A53F18">
        <w:rPr>
          <w:rFonts w:ascii="Times New Roman" w:hAnsi="Times New Roman" w:cs="Times New Roman"/>
        </w:rPr>
        <w:t>eut-on penser la modération et la justesse pénale, telles que le marquis les concevait, dans des situations aussi dramatiques que celles de l’ex-Yougoslavie entre 1991 et 2002, du Rwanda, de l’Est du Congo, des pays arabes avant et après les récentes révolutions, du Kenya lors des élections présidentielles de 2008 ?</w:t>
      </w:r>
      <w:r w:rsidR="00402D9C" w:rsidRPr="00A53F18">
        <w:rPr>
          <w:rStyle w:val="Marquenotebasdepage"/>
          <w:rFonts w:ascii="Times New Roman" w:hAnsi="Times New Roman" w:cs="Times New Roman"/>
        </w:rPr>
        <w:footnoteReference w:id="12"/>
      </w:r>
      <w:r w:rsidR="00402D9C" w:rsidRPr="00A53F18">
        <w:rPr>
          <w:rFonts w:ascii="Times New Roman" w:hAnsi="Times New Roman" w:cs="Times New Roman"/>
        </w:rPr>
        <w:t xml:space="preserve"> Y est-il encore possible, pour répondre aux exigences beccariennes, d</w:t>
      </w:r>
      <w:r w:rsidR="009E4E5B" w:rsidRPr="00A53F18">
        <w:rPr>
          <w:rFonts w:ascii="Times New Roman" w:hAnsi="Times New Roman" w:cs="Times New Roman"/>
        </w:rPr>
        <w:t>e fixer</w:t>
      </w:r>
      <w:r w:rsidR="00402D9C" w:rsidRPr="00A53F18">
        <w:rPr>
          <w:rFonts w:ascii="Times New Roman" w:hAnsi="Times New Roman" w:cs="Times New Roman"/>
        </w:rPr>
        <w:t xml:space="preserve"> une « juste peine », alors même qu’</w:t>
      </w:r>
      <w:r w:rsidR="00402D9C" w:rsidRPr="00A53F18">
        <w:rPr>
          <w:rFonts w:ascii="Times New Roman" w:hAnsi="Times New Roman" w:cs="Times New Roman"/>
          <w:color w:val="0A0B0A"/>
        </w:rPr>
        <w:t>e</w:t>
      </w:r>
      <w:r w:rsidR="009E4E5B" w:rsidRPr="00A53F18">
        <w:rPr>
          <w:rFonts w:ascii="Times New Roman" w:hAnsi="Times New Roman" w:cs="Times New Roman"/>
          <w:color w:val="0A0B0A"/>
        </w:rPr>
        <w:t xml:space="preserve">st parfois </w:t>
      </w:r>
      <w:r w:rsidR="00402D9C" w:rsidRPr="00A53F18">
        <w:rPr>
          <w:rFonts w:ascii="Times New Roman" w:hAnsi="Times New Roman" w:cs="Times New Roman"/>
          <w:color w:val="0A0B0A"/>
        </w:rPr>
        <w:t xml:space="preserve">contestée la </w:t>
      </w:r>
      <w:r w:rsidR="00402D9C" w:rsidRPr="00A53F18">
        <w:rPr>
          <w:rFonts w:ascii="Times New Roman" w:hAnsi="Times New Roman" w:cs="Times New Roman"/>
          <w:i/>
          <w:color w:val="0A0B0A"/>
        </w:rPr>
        <w:t>légalité</w:t>
      </w:r>
      <w:r w:rsidR="00402D9C" w:rsidRPr="00A53F18">
        <w:rPr>
          <w:rFonts w:ascii="Times New Roman" w:hAnsi="Times New Roman" w:cs="Times New Roman"/>
          <w:color w:val="0A0B0A"/>
        </w:rPr>
        <w:t xml:space="preserve"> des tribunaux internationaux</w:t>
      </w:r>
      <w:r w:rsidR="00402D9C" w:rsidRPr="00A53F18">
        <w:rPr>
          <w:rStyle w:val="Marquenotebasdepage"/>
          <w:rFonts w:ascii="Times New Roman" w:hAnsi="Times New Roman" w:cs="Times New Roman"/>
          <w:color w:val="0A0B0A"/>
        </w:rPr>
        <w:footnoteReference w:id="13"/>
      </w:r>
      <w:r w:rsidR="00402D9C" w:rsidRPr="00A53F18">
        <w:rPr>
          <w:rFonts w:ascii="Times New Roman" w:hAnsi="Times New Roman" w:cs="Times New Roman"/>
          <w:color w:val="0A0B0A"/>
        </w:rPr>
        <w:t>, que le principe de légalité des peines n’y est pas strictement respecté</w:t>
      </w:r>
      <w:r w:rsidR="009E4E5B" w:rsidRPr="00A53F18">
        <w:rPr>
          <w:rStyle w:val="Marquenotebasdepage"/>
          <w:rFonts w:ascii="Times New Roman" w:hAnsi="Times New Roman" w:cs="Times New Roman"/>
          <w:color w:val="0A0B0A"/>
        </w:rPr>
        <w:footnoteReference w:id="14"/>
      </w:r>
      <w:r w:rsidR="00402D9C" w:rsidRPr="00A53F18">
        <w:rPr>
          <w:rFonts w:ascii="Times New Roman" w:hAnsi="Times New Roman" w:cs="Times New Roman"/>
          <w:color w:val="0A0B0A"/>
        </w:rPr>
        <w:t xml:space="preserve">, que le lien entre </w:t>
      </w:r>
      <w:r w:rsidR="00402D9C" w:rsidRPr="00A53F18">
        <w:rPr>
          <w:rFonts w:ascii="Times New Roman" w:hAnsi="Times New Roman" w:cs="Times New Roman"/>
          <w:i/>
          <w:color w:val="0A0B0A"/>
        </w:rPr>
        <w:t>proportionnalité</w:t>
      </w:r>
      <w:r w:rsidR="00402D9C" w:rsidRPr="00A53F18">
        <w:rPr>
          <w:rFonts w:ascii="Times New Roman" w:hAnsi="Times New Roman" w:cs="Times New Roman"/>
          <w:color w:val="0A0B0A"/>
        </w:rPr>
        <w:t xml:space="preserve"> et </w:t>
      </w:r>
      <w:r w:rsidR="00402D9C" w:rsidRPr="00A53F18">
        <w:rPr>
          <w:rFonts w:ascii="Times New Roman" w:hAnsi="Times New Roman" w:cs="Times New Roman"/>
          <w:i/>
          <w:color w:val="0A0B0A"/>
        </w:rPr>
        <w:t>nécessité</w:t>
      </w:r>
      <w:r w:rsidR="00402D9C" w:rsidRPr="00A53F18">
        <w:rPr>
          <w:rFonts w:ascii="Times New Roman" w:hAnsi="Times New Roman" w:cs="Times New Roman"/>
          <w:color w:val="0A0B0A"/>
        </w:rPr>
        <w:t xml:space="preserve"> y semble distendu ? Nous verrons qu’un retour aux fondamentaux beccarien</w:t>
      </w:r>
      <w:r w:rsidR="009E4E5B" w:rsidRPr="00A53F18">
        <w:rPr>
          <w:rFonts w:ascii="Times New Roman" w:hAnsi="Times New Roman" w:cs="Times New Roman"/>
          <w:color w:val="0A0B0A"/>
        </w:rPr>
        <w:t>s</w:t>
      </w:r>
      <w:r w:rsidR="00402D9C" w:rsidRPr="00A53F18">
        <w:rPr>
          <w:rFonts w:ascii="Times New Roman" w:hAnsi="Times New Roman" w:cs="Times New Roman"/>
          <w:color w:val="0A0B0A"/>
        </w:rPr>
        <w:t xml:space="preserve">, toutes différences contextuelles </w:t>
      </w:r>
      <w:r w:rsidR="009E4E5B" w:rsidRPr="00A53F18">
        <w:rPr>
          <w:rFonts w:ascii="Times New Roman" w:hAnsi="Times New Roman" w:cs="Times New Roman"/>
          <w:color w:val="0A0B0A"/>
        </w:rPr>
        <w:t>gardée</w:t>
      </w:r>
      <w:r w:rsidR="00402D9C" w:rsidRPr="00A53F18">
        <w:rPr>
          <w:rFonts w:ascii="Times New Roman" w:hAnsi="Times New Roman" w:cs="Times New Roman"/>
          <w:color w:val="0A0B0A"/>
        </w:rPr>
        <w:t xml:space="preserve">s, permet d’évaluer et d’analyser l’action judiciaire internationale. </w:t>
      </w:r>
      <w:r w:rsidR="009E4E5B" w:rsidRPr="00A53F18">
        <w:rPr>
          <w:rFonts w:ascii="Times New Roman" w:hAnsi="Times New Roman" w:cs="Times New Roman"/>
          <w:color w:val="0A0B0A"/>
        </w:rPr>
        <w:t>Sur base de cette étude du principe de proportionnalité</w:t>
      </w:r>
      <w:r w:rsidR="00402D9C" w:rsidRPr="00A53F18">
        <w:rPr>
          <w:rFonts w:ascii="Times New Roman" w:hAnsi="Times New Roman" w:cs="Times New Roman"/>
          <w:color w:val="0A0B0A"/>
        </w:rPr>
        <w:t>, nous pourrons observer également que les juges internationaux paraissent parfois oublier la</w:t>
      </w:r>
      <w:r w:rsidR="00402D9C" w:rsidRPr="00A53F18">
        <w:rPr>
          <w:rFonts w:ascii="Times New Roman" w:hAnsi="Times New Roman" w:cs="Times New Roman"/>
        </w:rPr>
        <w:t xml:space="preserve"> subsidiarité même du droit pénal, prônant une répression rétributiviste moins subtile et libérale que les propositions de Cesare Beccaria. </w:t>
      </w:r>
    </w:p>
    <w:p w:rsidR="00AB6AAF" w:rsidRPr="00A53F18" w:rsidRDefault="00AB6AAF" w:rsidP="00DF42A6">
      <w:pPr>
        <w:jc w:val="both"/>
        <w:rPr>
          <w:rFonts w:ascii="Times New Roman" w:hAnsi="Times New Roman" w:cs="Times New Roman"/>
        </w:rPr>
      </w:pPr>
    </w:p>
    <w:p w:rsidR="00402D9C" w:rsidRPr="00A53F18" w:rsidRDefault="00402D9C" w:rsidP="00DF42A6">
      <w:pPr>
        <w:jc w:val="both"/>
        <w:rPr>
          <w:rFonts w:ascii="Times New Roman" w:hAnsi="Times New Roman" w:cs="Times New Roman"/>
        </w:rPr>
      </w:pPr>
      <w:r w:rsidRPr="00A53F18">
        <w:rPr>
          <w:rFonts w:ascii="Times New Roman" w:hAnsi="Times New Roman" w:cs="Times New Roman"/>
        </w:rPr>
        <w:t>N</w:t>
      </w:r>
      <w:r w:rsidR="0082408E" w:rsidRPr="00A53F18">
        <w:rPr>
          <w:rFonts w:ascii="Times New Roman" w:hAnsi="Times New Roman" w:cs="Times New Roman"/>
        </w:rPr>
        <w:t xml:space="preserve">ous </w:t>
      </w:r>
      <w:r w:rsidRPr="00A53F18">
        <w:rPr>
          <w:rFonts w:ascii="Times New Roman" w:hAnsi="Times New Roman" w:cs="Times New Roman"/>
        </w:rPr>
        <w:t>dresserons brièvement un</w:t>
      </w:r>
      <w:r w:rsidR="00FB7FC2" w:rsidRPr="00A53F18">
        <w:rPr>
          <w:rFonts w:ascii="Times New Roman" w:hAnsi="Times New Roman" w:cs="Times New Roman"/>
        </w:rPr>
        <w:t> « </w:t>
      </w:r>
      <w:r w:rsidR="0082408E" w:rsidRPr="00A53F18">
        <w:rPr>
          <w:rFonts w:ascii="Times New Roman" w:hAnsi="Times New Roman" w:cs="Times New Roman"/>
        </w:rPr>
        <w:t>état</w:t>
      </w:r>
      <w:r w:rsidR="00FB7FC2" w:rsidRPr="00A53F18">
        <w:rPr>
          <w:rFonts w:ascii="Times New Roman" w:hAnsi="Times New Roman" w:cs="Times New Roman"/>
        </w:rPr>
        <w:t> » du principe de proportionnalité</w:t>
      </w:r>
      <w:r w:rsidR="0082408E" w:rsidRPr="00A53F18">
        <w:rPr>
          <w:rFonts w:ascii="Times New Roman" w:hAnsi="Times New Roman" w:cs="Times New Roman"/>
        </w:rPr>
        <w:t xml:space="preserve"> en droit internati</w:t>
      </w:r>
      <w:r w:rsidRPr="00A53F18">
        <w:rPr>
          <w:rFonts w:ascii="Times New Roman" w:hAnsi="Times New Roman" w:cs="Times New Roman"/>
        </w:rPr>
        <w:t>onal pénal, en le confrontant aux opinions soutenues dans</w:t>
      </w:r>
      <w:r w:rsidR="0082408E" w:rsidRPr="00A53F18">
        <w:rPr>
          <w:rFonts w:ascii="Times New Roman" w:hAnsi="Times New Roman" w:cs="Times New Roman"/>
        </w:rPr>
        <w:t xml:space="preserve"> </w:t>
      </w:r>
      <w:r w:rsidR="00297E89" w:rsidRPr="00A53F18">
        <w:rPr>
          <w:rFonts w:ascii="Times New Roman" w:hAnsi="Times New Roman" w:cs="Times New Roman"/>
          <w:i/>
        </w:rPr>
        <w:t>D</w:t>
      </w:r>
      <w:r w:rsidR="0082408E" w:rsidRPr="00A53F18">
        <w:rPr>
          <w:rFonts w:ascii="Times New Roman" w:hAnsi="Times New Roman" w:cs="Times New Roman"/>
          <w:i/>
        </w:rPr>
        <w:t>es délits et des peines</w:t>
      </w:r>
      <w:r w:rsidR="0082408E" w:rsidRPr="00A53F18">
        <w:rPr>
          <w:rFonts w:ascii="Times New Roman" w:hAnsi="Times New Roman" w:cs="Times New Roman"/>
        </w:rPr>
        <w:t xml:space="preserve"> </w:t>
      </w:r>
      <w:r w:rsidRPr="00A53F18">
        <w:rPr>
          <w:rFonts w:ascii="Times New Roman" w:hAnsi="Times New Roman" w:cs="Times New Roman"/>
        </w:rPr>
        <w:t>à cet égard</w:t>
      </w:r>
      <w:r w:rsidR="00545920" w:rsidRPr="00A53F18">
        <w:rPr>
          <w:rFonts w:ascii="Times New Roman" w:hAnsi="Times New Roman" w:cs="Times New Roman"/>
        </w:rPr>
        <w:t xml:space="preserve"> </w:t>
      </w:r>
      <w:r w:rsidR="0082408E" w:rsidRPr="00A53F18">
        <w:rPr>
          <w:rFonts w:ascii="Times New Roman" w:hAnsi="Times New Roman" w:cs="Times New Roman"/>
        </w:rPr>
        <w:t>(I)</w:t>
      </w:r>
      <w:r w:rsidR="0082408E" w:rsidRPr="00A53F18">
        <w:rPr>
          <w:rFonts w:ascii="Times New Roman" w:hAnsi="Times New Roman" w:cs="Times New Roman"/>
          <w:i/>
        </w:rPr>
        <w:t xml:space="preserve">. </w:t>
      </w:r>
      <w:r w:rsidRPr="00A53F18">
        <w:rPr>
          <w:rFonts w:ascii="Times New Roman" w:hAnsi="Times New Roman" w:cs="Times New Roman"/>
        </w:rPr>
        <w:t xml:space="preserve">Sur cette base, deux propositions seront esquissées : l’une, </w:t>
      </w:r>
      <w:r w:rsidR="009E4E5B" w:rsidRPr="00A53F18">
        <w:rPr>
          <w:rFonts w:ascii="Times New Roman" w:hAnsi="Times New Roman" w:cs="Times New Roman"/>
        </w:rPr>
        <w:t>d’obédience</w:t>
      </w:r>
      <w:r w:rsidRPr="00A53F18">
        <w:rPr>
          <w:rFonts w:ascii="Times New Roman" w:hAnsi="Times New Roman" w:cs="Times New Roman"/>
        </w:rPr>
        <w:t xml:space="preserve"> beccarienne, consiste en une « re</w:t>
      </w:r>
      <w:r w:rsidR="009E4E5B" w:rsidRPr="00A53F18">
        <w:rPr>
          <w:rFonts w:ascii="Times New Roman" w:hAnsi="Times New Roman" w:cs="Times New Roman"/>
        </w:rPr>
        <w:t>-</w:t>
      </w:r>
      <w:r w:rsidRPr="00A53F18">
        <w:rPr>
          <w:rFonts w:ascii="Times New Roman" w:hAnsi="Times New Roman" w:cs="Times New Roman"/>
        </w:rPr>
        <w:t xml:space="preserve">conception » pragmatique de la proportionnalité en droit des crimes internationaux. L’autre, plus utopique et radicale, </w:t>
      </w:r>
      <w:r w:rsidR="0035024C">
        <w:rPr>
          <w:rFonts w:ascii="Times New Roman" w:hAnsi="Times New Roman" w:cs="Times New Roman"/>
        </w:rPr>
        <w:t>pointe les limites du procès pénal en renvoyant</w:t>
      </w:r>
      <w:r w:rsidRPr="00A53F18">
        <w:rPr>
          <w:rFonts w:ascii="Times New Roman" w:hAnsi="Times New Roman" w:cs="Times New Roman"/>
        </w:rPr>
        <w:t xml:space="preserve"> </w:t>
      </w:r>
      <w:r w:rsidR="009E4E5B" w:rsidRPr="00A53F18">
        <w:rPr>
          <w:rFonts w:ascii="Times New Roman" w:hAnsi="Times New Roman" w:cs="Times New Roman"/>
        </w:rPr>
        <w:t>néanmoins à certains</w:t>
      </w:r>
      <w:r w:rsidRPr="00A53F18">
        <w:rPr>
          <w:rFonts w:ascii="Times New Roman" w:hAnsi="Times New Roman" w:cs="Times New Roman"/>
        </w:rPr>
        <w:t xml:space="preserve"> fondamentaux </w:t>
      </w:r>
      <w:r w:rsidR="009E4E5B" w:rsidRPr="00A53F18">
        <w:rPr>
          <w:rFonts w:ascii="Times New Roman" w:hAnsi="Times New Roman" w:cs="Times New Roman"/>
        </w:rPr>
        <w:t xml:space="preserve">esquissés par Cesare </w:t>
      </w:r>
      <w:r w:rsidRPr="00A53F18">
        <w:rPr>
          <w:rFonts w:ascii="Times New Roman" w:hAnsi="Times New Roman" w:cs="Times New Roman"/>
        </w:rPr>
        <w:t>Beccaria (II).</w:t>
      </w:r>
      <w:r w:rsidR="0068794E">
        <w:rPr>
          <w:rFonts w:ascii="Times New Roman" w:hAnsi="Times New Roman" w:cs="Times New Roman"/>
        </w:rPr>
        <w:t xml:space="preserve"> </w:t>
      </w:r>
    </w:p>
    <w:p w:rsidR="00402D9C" w:rsidRPr="00A53F18" w:rsidRDefault="00402D9C" w:rsidP="00DF42A6">
      <w:pPr>
        <w:jc w:val="both"/>
        <w:rPr>
          <w:rFonts w:ascii="Times New Roman" w:hAnsi="Times New Roman" w:cs="Times New Roman"/>
        </w:rPr>
      </w:pPr>
    </w:p>
    <w:p w:rsidR="0082408E" w:rsidRPr="00A53F18" w:rsidRDefault="0082408E" w:rsidP="00DF42A6">
      <w:pPr>
        <w:jc w:val="both"/>
        <w:rPr>
          <w:rFonts w:ascii="Times New Roman" w:hAnsi="Times New Roman" w:cs="Times New Roman"/>
          <w:b/>
        </w:rPr>
      </w:pPr>
    </w:p>
    <w:p w:rsidR="007371AE" w:rsidRPr="00A53F18" w:rsidRDefault="007371AE" w:rsidP="00DF42A6">
      <w:pPr>
        <w:jc w:val="both"/>
        <w:rPr>
          <w:rFonts w:ascii="Times New Roman" w:hAnsi="Times New Roman" w:cs="Times New Roman"/>
          <w:b/>
        </w:rPr>
      </w:pPr>
      <w:r w:rsidRPr="00A53F18">
        <w:rPr>
          <w:rFonts w:ascii="Times New Roman" w:hAnsi="Times New Roman" w:cs="Times New Roman"/>
          <w:b/>
        </w:rPr>
        <w:t>I. Proportionnalité et crimes internationaux</w:t>
      </w:r>
    </w:p>
    <w:p w:rsidR="00402D9C" w:rsidRPr="00A53F18" w:rsidRDefault="00402D9C" w:rsidP="00DF42A6">
      <w:pPr>
        <w:pStyle w:val="Footer1"/>
        <w:tabs>
          <w:tab w:val="clear" w:pos="9072"/>
          <w:tab w:val="right" w:pos="9046"/>
        </w:tabs>
        <w:spacing w:before="0" w:after="0"/>
        <w:jc w:val="both"/>
        <w:rPr>
          <w:szCs w:val="24"/>
        </w:rPr>
      </w:pPr>
    </w:p>
    <w:p w:rsidR="000A1471" w:rsidRPr="00A53F18" w:rsidRDefault="00566FE1" w:rsidP="00DF42A6">
      <w:pPr>
        <w:pStyle w:val="Footer1"/>
        <w:tabs>
          <w:tab w:val="clear" w:pos="9072"/>
          <w:tab w:val="right" w:pos="9046"/>
        </w:tabs>
        <w:spacing w:before="0" w:after="0"/>
        <w:jc w:val="both"/>
        <w:rPr>
          <w:szCs w:val="24"/>
        </w:rPr>
      </w:pPr>
      <w:r>
        <w:rPr>
          <w:szCs w:val="24"/>
        </w:rPr>
        <w:t>Comment articuler</w:t>
      </w:r>
      <w:r w:rsidR="00CF407C" w:rsidRPr="00A53F18">
        <w:rPr>
          <w:szCs w:val="24"/>
        </w:rPr>
        <w:t xml:space="preserve"> la pratique de la proportionnalité par les juridictions internationales pénales avec la théorie relative à ce princip</w:t>
      </w:r>
      <w:r>
        <w:rPr>
          <w:szCs w:val="24"/>
        </w:rPr>
        <w:t>e ?</w:t>
      </w:r>
      <w:r w:rsidR="00CF407C" w:rsidRPr="00A53F18">
        <w:rPr>
          <w:szCs w:val="24"/>
        </w:rPr>
        <w:t xml:space="preserve"> Dans les textes établissant les TPI et la CPI, d’abord, on constate une mobilisation des notions de gravité et d’arbitraire assez différentes de celles que proposait le marquis ; l’analyse comparée permet de </w:t>
      </w:r>
      <w:r w:rsidR="0068794E" w:rsidRPr="0068794E">
        <w:rPr>
          <w:szCs w:val="24"/>
        </w:rPr>
        <w:t>mieux</w:t>
      </w:r>
      <w:r w:rsidR="0068794E" w:rsidRPr="00A53F18">
        <w:rPr>
          <w:szCs w:val="24"/>
        </w:rPr>
        <w:t xml:space="preserve"> </w:t>
      </w:r>
      <w:r w:rsidR="00CF407C" w:rsidRPr="0068794E">
        <w:rPr>
          <w:szCs w:val="24"/>
        </w:rPr>
        <w:t xml:space="preserve">conscientiser </w:t>
      </w:r>
      <w:r w:rsidR="00CF407C" w:rsidRPr="00A53F18">
        <w:rPr>
          <w:szCs w:val="24"/>
        </w:rPr>
        <w:t xml:space="preserve">la pratique actuelle (a). La pratique de ces juridictions, par ailleurs, présente certaines </w:t>
      </w:r>
      <w:r w:rsidR="0068794E">
        <w:rPr>
          <w:szCs w:val="24"/>
        </w:rPr>
        <w:t>failles propres au droit pénal en général</w:t>
      </w:r>
      <w:r w:rsidR="0068794E" w:rsidRPr="00A53F18">
        <w:rPr>
          <w:szCs w:val="24"/>
        </w:rPr>
        <w:t xml:space="preserve"> </w:t>
      </w:r>
      <w:r w:rsidR="00CF407C" w:rsidRPr="00A53F18">
        <w:rPr>
          <w:szCs w:val="24"/>
        </w:rPr>
        <w:t xml:space="preserve">que </w:t>
      </w:r>
      <w:r w:rsidR="0068794E">
        <w:rPr>
          <w:szCs w:val="24"/>
        </w:rPr>
        <w:t>Beccaria avait déjà identifiées</w:t>
      </w:r>
      <w:r w:rsidR="00CF407C" w:rsidRPr="00A53F18">
        <w:rPr>
          <w:szCs w:val="24"/>
        </w:rPr>
        <w:t xml:space="preserve"> (b).</w:t>
      </w:r>
    </w:p>
    <w:p w:rsidR="000A1471" w:rsidRPr="00A53F18" w:rsidRDefault="000A1471" w:rsidP="00DF42A6">
      <w:pPr>
        <w:pStyle w:val="Footer1"/>
        <w:tabs>
          <w:tab w:val="clear" w:pos="9072"/>
          <w:tab w:val="right" w:pos="9046"/>
        </w:tabs>
        <w:spacing w:before="0" w:after="0"/>
        <w:jc w:val="both"/>
        <w:rPr>
          <w:szCs w:val="24"/>
        </w:rPr>
      </w:pPr>
    </w:p>
    <w:p w:rsidR="000A1471" w:rsidRPr="00A53F18" w:rsidRDefault="000A1471" w:rsidP="00DF42A6">
      <w:pPr>
        <w:jc w:val="both"/>
        <w:rPr>
          <w:rFonts w:ascii="Times New Roman" w:hAnsi="Times New Roman" w:cs="Times New Roman"/>
          <w:b/>
        </w:rPr>
      </w:pPr>
      <w:r w:rsidRPr="00A53F18">
        <w:rPr>
          <w:rFonts w:ascii="Times New Roman" w:hAnsi="Times New Roman" w:cs="Times New Roman"/>
          <w:b/>
        </w:rPr>
        <w:t>a. Gravité et arbitraire</w:t>
      </w:r>
    </w:p>
    <w:p w:rsidR="000A1471" w:rsidRPr="00A53F18" w:rsidRDefault="000A1471" w:rsidP="00DF42A6">
      <w:pPr>
        <w:jc w:val="both"/>
        <w:rPr>
          <w:rFonts w:ascii="Times New Roman" w:hAnsi="Times New Roman" w:cs="Times New Roman"/>
        </w:rPr>
      </w:pPr>
    </w:p>
    <w:p w:rsidR="00346888" w:rsidRPr="00A53F18" w:rsidRDefault="008D7978" w:rsidP="00DF42A6">
      <w:pPr>
        <w:jc w:val="both"/>
        <w:rPr>
          <w:rFonts w:ascii="Times New Roman" w:hAnsi="Times New Roman" w:cs="Times New Roman"/>
        </w:rPr>
      </w:pPr>
      <w:r w:rsidRPr="00A53F18">
        <w:rPr>
          <w:rFonts w:ascii="Times New Roman" w:hAnsi="Times New Roman" w:cs="Times New Roman"/>
        </w:rPr>
        <w:t xml:space="preserve">Le principe de proportionnalité </w:t>
      </w:r>
      <w:r w:rsidR="005F0037" w:rsidRPr="00A53F18">
        <w:rPr>
          <w:rFonts w:ascii="Times New Roman" w:hAnsi="Times New Roman" w:cs="Times New Roman"/>
        </w:rPr>
        <w:t xml:space="preserve">n’est </w:t>
      </w:r>
      <w:r w:rsidR="00346888" w:rsidRPr="00A53F18">
        <w:rPr>
          <w:rFonts w:ascii="Times New Roman" w:hAnsi="Times New Roman" w:cs="Times New Roman"/>
        </w:rPr>
        <w:t>qu’implicite dans</w:t>
      </w:r>
      <w:r w:rsidR="005F0037" w:rsidRPr="00A53F18">
        <w:rPr>
          <w:rFonts w:ascii="Times New Roman" w:hAnsi="Times New Roman" w:cs="Times New Roman"/>
        </w:rPr>
        <w:t xml:space="preserve"> les textes fondateurs des juridic</w:t>
      </w:r>
      <w:r w:rsidR="00346888" w:rsidRPr="00A53F18">
        <w:rPr>
          <w:rFonts w:ascii="Times New Roman" w:hAnsi="Times New Roman" w:cs="Times New Roman"/>
        </w:rPr>
        <w:t xml:space="preserve">tions internationales pénales. </w:t>
      </w:r>
      <w:r w:rsidR="009E4E5B" w:rsidRPr="00A53F18">
        <w:rPr>
          <w:rFonts w:ascii="Times New Roman" w:hAnsi="Times New Roman" w:cs="Times New Roman"/>
        </w:rPr>
        <w:t>L</w:t>
      </w:r>
      <w:r w:rsidR="005F0037" w:rsidRPr="00A53F18">
        <w:rPr>
          <w:rFonts w:ascii="Times New Roman" w:hAnsi="Times New Roman" w:cs="Times New Roman"/>
        </w:rPr>
        <w:t>es Statut</w:t>
      </w:r>
      <w:r w:rsidR="000C7C13" w:rsidRPr="00A53F18">
        <w:rPr>
          <w:rFonts w:ascii="Times New Roman" w:hAnsi="Times New Roman" w:cs="Times New Roman"/>
        </w:rPr>
        <w:t>s</w:t>
      </w:r>
      <w:r w:rsidRPr="00A53F18">
        <w:rPr>
          <w:rFonts w:ascii="Times New Roman" w:hAnsi="Times New Roman" w:cs="Times New Roman"/>
        </w:rPr>
        <w:t xml:space="preserve"> des </w:t>
      </w:r>
      <w:r w:rsidR="009E4E5B" w:rsidRPr="00A53F18">
        <w:rPr>
          <w:rFonts w:ascii="Times New Roman" w:hAnsi="Times New Roman" w:cs="Times New Roman"/>
        </w:rPr>
        <w:t>TPIY et TPIR</w:t>
      </w:r>
      <w:r w:rsidR="005F0037" w:rsidRPr="00A53F18">
        <w:rPr>
          <w:rFonts w:ascii="Times New Roman" w:hAnsi="Times New Roman" w:cs="Times New Roman"/>
        </w:rPr>
        <w:t xml:space="preserve"> </w:t>
      </w:r>
      <w:r w:rsidR="00566FE1">
        <w:rPr>
          <w:rFonts w:ascii="Times New Roman" w:hAnsi="Times New Roman" w:cs="Times New Roman"/>
        </w:rPr>
        <w:t>dispose</w:t>
      </w:r>
      <w:r w:rsidR="00566FE1" w:rsidRPr="00A53F18">
        <w:rPr>
          <w:rFonts w:ascii="Times New Roman" w:hAnsi="Times New Roman" w:cs="Times New Roman"/>
        </w:rPr>
        <w:t xml:space="preserve">nt </w:t>
      </w:r>
      <w:r w:rsidRPr="00A53F18">
        <w:rPr>
          <w:rFonts w:ascii="Times New Roman" w:hAnsi="Times New Roman" w:cs="Times New Roman"/>
        </w:rPr>
        <w:t xml:space="preserve">que les juges </w:t>
      </w:r>
      <w:r w:rsidR="00566FE1">
        <w:rPr>
          <w:rFonts w:ascii="Times New Roman" w:hAnsi="Times New Roman" w:cs="Times New Roman"/>
        </w:rPr>
        <w:t xml:space="preserve">prennent </w:t>
      </w:r>
      <w:r w:rsidRPr="00A53F18">
        <w:rPr>
          <w:rFonts w:ascii="Times New Roman" w:hAnsi="Times New Roman" w:cs="Times New Roman"/>
          <w:i/>
        </w:rPr>
        <w:t>la gravité du crime</w:t>
      </w:r>
      <w:r w:rsidRPr="00A53F18">
        <w:rPr>
          <w:rFonts w:ascii="Times New Roman" w:hAnsi="Times New Roman" w:cs="Times New Roman"/>
        </w:rPr>
        <w:t xml:space="preserve"> en considération lorsqu’ils imposent une peine, c’est-à-dire pour fixer la durée d’un emprisonnement</w:t>
      </w:r>
      <w:r w:rsidR="005F0037" w:rsidRPr="00A53F18">
        <w:rPr>
          <w:rStyle w:val="Marquenotebasdepage"/>
          <w:rFonts w:ascii="Times New Roman" w:hAnsi="Times New Roman" w:cs="Times New Roman"/>
        </w:rPr>
        <w:footnoteReference w:id="15"/>
      </w:r>
      <w:r w:rsidR="009E4E5B" w:rsidRPr="00A53F18">
        <w:rPr>
          <w:rFonts w:ascii="Times New Roman" w:hAnsi="Times New Roman" w:cs="Times New Roman"/>
        </w:rPr>
        <w:t xml:space="preserve"> : </w:t>
      </w:r>
      <w:r w:rsidRPr="00A53F18">
        <w:rPr>
          <w:rFonts w:ascii="Times New Roman" w:hAnsi="Times New Roman" w:cs="Times New Roman"/>
        </w:rPr>
        <w:t xml:space="preserve">c’est </w:t>
      </w:r>
      <w:r w:rsidR="00346888" w:rsidRPr="00A53F18">
        <w:rPr>
          <w:rFonts w:ascii="Times New Roman" w:hAnsi="Times New Roman" w:cs="Times New Roman"/>
        </w:rPr>
        <w:t xml:space="preserve">donc </w:t>
      </w:r>
      <w:r w:rsidRPr="00A53F18">
        <w:rPr>
          <w:rFonts w:ascii="Times New Roman" w:hAnsi="Times New Roman" w:cs="Times New Roman"/>
        </w:rPr>
        <w:t xml:space="preserve">par un rapport entre gravité du crime et </w:t>
      </w:r>
      <w:r w:rsidR="0068794E">
        <w:rPr>
          <w:rFonts w:ascii="Times New Roman" w:hAnsi="Times New Roman" w:cs="Times New Roman"/>
        </w:rPr>
        <w:t>sévérité</w:t>
      </w:r>
      <w:r w:rsidR="0068794E" w:rsidRPr="00A53F18">
        <w:rPr>
          <w:rFonts w:ascii="Times New Roman" w:hAnsi="Times New Roman" w:cs="Times New Roman"/>
        </w:rPr>
        <w:t xml:space="preserve"> </w:t>
      </w:r>
      <w:r w:rsidRPr="00A53F18">
        <w:rPr>
          <w:rFonts w:ascii="Times New Roman" w:hAnsi="Times New Roman" w:cs="Times New Roman"/>
        </w:rPr>
        <w:t xml:space="preserve">de la peine que la proportionnalité est inscrite dans le droit des Tribunaux </w:t>
      </w:r>
      <w:r w:rsidR="0068794E" w:rsidRPr="0006700C">
        <w:rPr>
          <w:rFonts w:ascii="Times New Roman" w:hAnsi="Times New Roman" w:cs="Times New Roman"/>
        </w:rPr>
        <w:t>pénaux internationaux</w:t>
      </w:r>
      <w:r w:rsidRPr="00A53F18">
        <w:rPr>
          <w:rFonts w:ascii="Times New Roman" w:hAnsi="Times New Roman" w:cs="Times New Roman"/>
        </w:rPr>
        <w:t xml:space="preserve">. La </w:t>
      </w:r>
      <w:r w:rsidR="00346888" w:rsidRPr="00A53F18">
        <w:rPr>
          <w:rFonts w:ascii="Times New Roman" w:hAnsi="Times New Roman" w:cs="Times New Roman"/>
        </w:rPr>
        <w:t>jurisprudence des Tribunaux va confirmer</w:t>
      </w:r>
      <w:r w:rsidRPr="00A53F18">
        <w:rPr>
          <w:rFonts w:ascii="Times New Roman" w:hAnsi="Times New Roman" w:cs="Times New Roman"/>
        </w:rPr>
        <w:t xml:space="preserve"> </w:t>
      </w:r>
      <w:r w:rsidR="00346888" w:rsidRPr="00A53F18">
        <w:rPr>
          <w:rFonts w:ascii="Times New Roman" w:hAnsi="Times New Roman" w:cs="Times New Roman"/>
        </w:rPr>
        <w:t>cette insistance sur la gravité du crime, en l’établissant comme</w:t>
      </w:r>
      <w:r w:rsidRPr="00A53F18">
        <w:rPr>
          <w:rFonts w:ascii="Times New Roman" w:hAnsi="Times New Roman" w:cs="Times New Roman"/>
        </w:rPr>
        <w:t xml:space="preserve"> « l’élément principal à prendre en compte dans la sentence »</w:t>
      </w:r>
      <w:r w:rsidRPr="00A53F18">
        <w:rPr>
          <w:rStyle w:val="FootnoteReference"/>
          <w:rFonts w:ascii="Times New Roman" w:hAnsi="Times New Roman" w:cs="Times New Roman"/>
          <w:sz w:val="24"/>
        </w:rPr>
        <w:footnoteReference w:id="16"/>
      </w:r>
      <w:r w:rsidR="00346888" w:rsidRPr="00A53F18">
        <w:rPr>
          <w:rFonts w:ascii="Times New Roman" w:hAnsi="Times New Roman" w:cs="Times New Roman"/>
        </w:rPr>
        <w:t xml:space="preserve"> : </w:t>
      </w:r>
      <w:r w:rsidRPr="00A53F18">
        <w:rPr>
          <w:rFonts w:ascii="Times New Roman" w:hAnsi="Times New Roman" w:cs="Times New Roman"/>
        </w:rPr>
        <w:t xml:space="preserve">pour les TPI, il s’agit là du critère déterminant </w:t>
      </w:r>
      <w:r w:rsidR="00346888" w:rsidRPr="00A53F18">
        <w:rPr>
          <w:rFonts w:ascii="Times New Roman" w:hAnsi="Times New Roman" w:cs="Times New Roman"/>
        </w:rPr>
        <w:t>dans la fixation des peines</w:t>
      </w:r>
      <w:r w:rsidRPr="00A53F18">
        <w:rPr>
          <w:rStyle w:val="FootnoteReference"/>
          <w:rFonts w:ascii="Times New Roman" w:hAnsi="Times New Roman" w:cs="Times New Roman"/>
          <w:sz w:val="24"/>
        </w:rPr>
        <w:footnoteReference w:id="17"/>
      </w:r>
      <w:r w:rsidR="00346888" w:rsidRPr="00A53F18">
        <w:rPr>
          <w:rFonts w:ascii="Times New Roman" w:hAnsi="Times New Roman" w:cs="Times New Roman"/>
        </w:rPr>
        <w:t>. La</w:t>
      </w:r>
      <w:r w:rsidRPr="00A53F18">
        <w:rPr>
          <w:rFonts w:ascii="Times New Roman" w:hAnsi="Times New Roman" w:cs="Times New Roman"/>
        </w:rPr>
        <w:t xml:space="preserve"> Chambre d’Appel du </w:t>
      </w:r>
      <w:r w:rsidR="00545920" w:rsidRPr="00A53F18">
        <w:rPr>
          <w:rFonts w:ascii="Times New Roman" w:hAnsi="Times New Roman" w:cs="Times New Roman"/>
        </w:rPr>
        <w:t>TPIY</w:t>
      </w:r>
      <w:r w:rsidRPr="00A53F18">
        <w:rPr>
          <w:rFonts w:ascii="Times New Roman" w:hAnsi="Times New Roman" w:cs="Times New Roman"/>
        </w:rPr>
        <w:t xml:space="preserve"> explique </w:t>
      </w:r>
      <w:r w:rsidR="000C7C13" w:rsidRPr="00A53F18">
        <w:rPr>
          <w:rFonts w:ascii="Times New Roman" w:hAnsi="Times New Roman" w:cs="Times New Roman"/>
        </w:rPr>
        <w:t xml:space="preserve">ainsi </w:t>
      </w:r>
      <w:r w:rsidRPr="00A53F18">
        <w:rPr>
          <w:rFonts w:ascii="Times New Roman" w:hAnsi="Times New Roman" w:cs="Times New Roman"/>
        </w:rPr>
        <w:t>que « la peine prononcée doit refléter la gravité inhérente à la conduite criminelle de l’accusé. La détermination de la gravité de l’infraction nécessite la prise en considération des circonstances propres à l’espèce »</w:t>
      </w:r>
      <w:r w:rsidRPr="00A53F18">
        <w:rPr>
          <w:rStyle w:val="FootnoteReference"/>
          <w:rFonts w:ascii="Times New Roman" w:hAnsi="Times New Roman" w:cs="Times New Roman"/>
          <w:sz w:val="24"/>
        </w:rPr>
        <w:footnoteReference w:id="18"/>
      </w:r>
      <w:r w:rsidRPr="00A53F18">
        <w:rPr>
          <w:rFonts w:ascii="Times New Roman" w:hAnsi="Times New Roman" w:cs="Times New Roman"/>
        </w:rPr>
        <w:t xml:space="preserve">. L’accent est donc mis sur la </w:t>
      </w:r>
      <w:r w:rsidRPr="00A53F18">
        <w:rPr>
          <w:rFonts w:ascii="Times New Roman" w:hAnsi="Times New Roman" w:cs="Times New Roman"/>
          <w:i/>
        </w:rPr>
        <w:t>gravité</w:t>
      </w:r>
      <w:r w:rsidRPr="00A53F18">
        <w:rPr>
          <w:rFonts w:ascii="Times New Roman" w:hAnsi="Times New Roman" w:cs="Times New Roman"/>
        </w:rPr>
        <w:t xml:space="preserve">, impliquant la </w:t>
      </w:r>
      <w:r w:rsidRPr="00A53F18">
        <w:rPr>
          <w:rFonts w:ascii="Times New Roman" w:hAnsi="Times New Roman" w:cs="Times New Roman"/>
          <w:i/>
        </w:rPr>
        <w:t>sévérité</w:t>
      </w:r>
      <w:r w:rsidRPr="00A53F18">
        <w:rPr>
          <w:rFonts w:ascii="Times New Roman" w:hAnsi="Times New Roman" w:cs="Times New Roman"/>
        </w:rPr>
        <w:t xml:space="preserve"> pénale, plutôt que sur une </w:t>
      </w:r>
      <w:r w:rsidRPr="00A53F18">
        <w:rPr>
          <w:rFonts w:ascii="Times New Roman" w:hAnsi="Times New Roman" w:cs="Times New Roman"/>
          <w:i/>
        </w:rPr>
        <w:t xml:space="preserve">proportionnalité </w:t>
      </w:r>
      <w:r w:rsidR="00346888" w:rsidRPr="00A53F18">
        <w:rPr>
          <w:rFonts w:ascii="Times New Roman" w:hAnsi="Times New Roman" w:cs="Times New Roman"/>
        </w:rPr>
        <w:t xml:space="preserve">en tant que telle </w:t>
      </w:r>
      <w:r w:rsidRPr="00A53F18">
        <w:rPr>
          <w:rFonts w:ascii="Times New Roman" w:hAnsi="Times New Roman" w:cs="Times New Roman"/>
        </w:rPr>
        <w:t>de</w:t>
      </w:r>
      <w:r w:rsidR="00545920" w:rsidRPr="00A53F18">
        <w:rPr>
          <w:rFonts w:ascii="Times New Roman" w:hAnsi="Times New Roman" w:cs="Times New Roman"/>
        </w:rPr>
        <w:t>/dans</w:t>
      </w:r>
      <w:r w:rsidRPr="00A53F18">
        <w:rPr>
          <w:rFonts w:ascii="Times New Roman" w:hAnsi="Times New Roman" w:cs="Times New Roman"/>
        </w:rPr>
        <w:t xml:space="preserve"> la réaction pénale</w:t>
      </w:r>
      <w:r w:rsidRPr="00A53F18">
        <w:rPr>
          <w:rStyle w:val="Marquenotebasdepage"/>
          <w:rFonts w:ascii="Times New Roman" w:hAnsi="Times New Roman" w:cs="Times New Roman"/>
        </w:rPr>
        <w:footnoteReference w:id="19"/>
      </w:r>
      <w:r w:rsidRPr="00A53F18">
        <w:rPr>
          <w:rFonts w:ascii="Times New Roman" w:hAnsi="Times New Roman" w:cs="Times New Roman"/>
        </w:rPr>
        <w:t xml:space="preserve">. </w:t>
      </w:r>
      <w:r w:rsidR="00346888" w:rsidRPr="00A53F18">
        <w:rPr>
          <w:rFonts w:ascii="Times New Roman" w:hAnsi="Times New Roman" w:cs="Times New Roman"/>
        </w:rPr>
        <w:t xml:space="preserve">Chez Beccaria, la proportionnalité articulait plus subtilement l’adéquation du crime et de la peine (fût-elle sévère si le crime était grave) et la modération pénale, limite à l’arbitraire du souverain. </w:t>
      </w:r>
    </w:p>
    <w:p w:rsidR="008D7978" w:rsidRPr="00A53F18" w:rsidRDefault="008D7978" w:rsidP="00DF42A6">
      <w:pPr>
        <w:jc w:val="both"/>
        <w:rPr>
          <w:rFonts w:ascii="Times New Roman" w:hAnsi="Times New Roman" w:cs="Times New Roman"/>
        </w:rPr>
      </w:pPr>
    </w:p>
    <w:p w:rsidR="008D7978" w:rsidRPr="00A53F18" w:rsidRDefault="00346888" w:rsidP="00DF42A6">
      <w:pPr>
        <w:widowControl w:val="0"/>
        <w:autoSpaceDE w:val="0"/>
        <w:autoSpaceDN w:val="0"/>
        <w:adjustRightInd w:val="0"/>
        <w:jc w:val="both"/>
        <w:rPr>
          <w:rFonts w:ascii="Times New Roman" w:hAnsi="Times New Roman" w:cs="Times New Roman"/>
        </w:rPr>
      </w:pPr>
      <w:r w:rsidRPr="00A53F18">
        <w:rPr>
          <w:rFonts w:ascii="Times New Roman" w:hAnsi="Times New Roman" w:cs="Times New Roman"/>
        </w:rPr>
        <w:t>Quant au Statut de</w:t>
      </w:r>
      <w:r w:rsidR="008D7978" w:rsidRPr="00A53F18">
        <w:rPr>
          <w:rFonts w:ascii="Times New Roman" w:hAnsi="Times New Roman" w:cs="Times New Roman"/>
        </w:rPr>
        <w:t xml:space="preserve"> la Cour</w:t>
      </w:r>
      <w:r w:rsidR="000C7C13" w:rsidRPr="00A53F18">
        <w:rPr>
          <w:rFonts w:ascii="Times New Roman" w:hAnsi="Times New Roman" w:cs="Times New Roman"/>
        </w:rPr>
        <w:t xml:space="preserve"> pénale internationale, </w:t>
      </w:r>
      <w:r w:rsidRPr="00A53F18">
        <w:rPr>
          <w:rFonts w:ascii="Times New Roman" w:hAnsi="Times New Roman" w:cs="Times New Roman"/>
        </w:rPr>
        <w:t xml:space="preserve">il </w:t>
      </w:r>
      <w:r w:rsidR="004E0D08" w:rsidRPr="00A53F18">
        <w:rPr>
          <w:rFonts w:ascii="Times New Roman" w:hAnsi="Times New Roman" w:cs="Times New Roman"/>
        </w:rPr>
        <w:t>n’inscrit pas non plus la proportionnalité parmi les « principes généraux du droit pénal » (</w:t>
      </w:r>
      <w:r w:rsidR="00B74C23">
        <w:rPr>
          <w:rFonts w:ascii="Times New Roman" w:hAnsi="Times New Roman" w:cs="Times New Roman"/>
        </w:rPr>
        <w:t>énoncés</w:t>
      </w:r>
      <w:r w:rsidR="00B74C23" w:rsidRPr="00A53F18">
        <w:rPr>
          <w:rFonts w:ascii="Times New Roman" w:hAnsi="Times New Roman" w:cs="Times New Roman"/>
        </w:rPr>
        <w:t xml:space="preserve"> </w:t>
      </w:r>
      <w:r w:rsidR="004E0D08" w:rsidRPr="00A53F18">
        <w:rPr>
          <w:rFonts w:ascii="Times New Roman" w:hAnsi="Times New Roman" w:cs="Times New Roman"/>
        </w:rPr>
        <w:t xml:space="preserve">au Chapitre III) mais </w:t>
      </w:r>
      <w:r w:rsidRPr="00A53F18">
        <w:rPr>
          <w:rFonts w:ascii="Times New Roman" w:hAnsi="Times New Roman" w:cs="Times New Roman"/>
        </w:rPr>
        <w:t>fait de la « disproportion » entre crime et peine un motif d’a</w:t>
      </w:r>
      <w:r w:rsidR="004E0D08" w:rsidRPr="00A53F18">
        <w:rPr>
          <w:rFonts w:ascii="Times New Roman" w:hAnsi="Times New Roman" w:cs="Times New Roman"/>
        </w:rPr>
        <w:t>ppel (art. 81-1-a et 83-3).</w:t>
      </w:r>
      <w:r w:rsidR="00556D2C">
        <w:rPr>
          <w:rFonts w:ascii="Times New Roman" w:hAnsi="Times New Roman" w:cs="Times New Roman"/>
        </w:rPr>
        <w:t xml:space="preserve"> </w:t>
      </w:r>
      <w:r w:rsidR="004E0D08" w:rsidRPr="00A53F18">
        <w:rPr>
          <w:rFonts w:ascii="Times New Roman" w:hAnsi="Times New Roman" w:cs="Times New Roman"/>
        </w:rPr>
        <w:t>Héritage des TPI, la gravit</w:t>
      </w:r>
      <w:r w:rsidR="00B74C23">
        <w:rPr>
          <w:rFonts w:ascii="Times New Roman" w:hAnsi="Times New Roman" w:cs="Times New Roman"/>
        </w:rPr>
        <w:t>é</w:t>
      </w:r>
      <w:r w:rsidR="004E0D08" w:rsidRPr="00A53F18">
        <w:rPr>
          <w:rFonts w:ascii="Times New Roman" w:hAnsi="Times New Roman" w:cs="Times New Roman"/>
        </w:rPr>
        <w:t xml:space="preserve"> apparaît par contre </w:t>
      </w:r>
      <w:r w:rsidR="00B74C23">
        <w:rPr>
          <w:rFonts w:ascii="Times New Roman" w:hAnsi="Times New Roman" w:cs="Times New Roman"/>
        </w:rPr>
        <w:t>à</w:t>
      </w:r>
      <w:r w:rsidR="004E0D08" w:rsidRPr="00A53F18">
        <w:rPr>
          <w:rFonts w:ascii="Times New Roman" w:hAnsi="Times New Roman" w:cs="Times New Roman"/>
        </w:rPr>
        <w:t xml:space="preserve"> de nombreuses reprises dans le Statut, notamment en tant que critère de détermination de la peine (art. 78). </w:t>
      </w:r>
      <w:r w:rsidR="00D27C0F" w:rsidRPr="00A53F18">
        <w:rPr>
          <w:rFonts w:ascii="Times New Roman" w:hAnsi="Times New Roman" w:cs="Times New Roman"/>
        </w:rPr>
        <w:t xml:space="preserve">Autrement dit, dans ces piliers du droit international pénal que sont les Statuts et la jurisprudence des </w:t>
      </w:r>
      <w:r w:rsidR="0032067F" w:rsidRPr="00A53F18">
        <w:rPr>
          <w:rFonts w:ascii="Times New Roman" w:hAnsi="Times New Roman" w:cs="Times New Roman"/>
        </w:rPr>
        <w:t>juridictions internationales pénales</w:t>
      </w:r>
      <w:r w:rsidR="00D27C0F" w:rsidRPr="00A53F18">
        <w:rPr>
          <w:rFonts w:ascii="Times New Roman" w:hAnsi="Times New Roman" w:cs="Times New Roman"/>
        </w:rPr>
        <w:t>, la vision qui prévaut de la proportionnalité est celle selon laquelle la peine doit être méritée, en lien avec la gravité du crime</w:t>
      </w:r>
      <w:r w:rsidR="004E0D08" w:rsidRPr="00A53F18">
        <w:rPr>
          <w:rFonts w:ascii="Times New Roman" w:hAnsi="Times New Roman" w:cs="Times New Roman"/>
        </w:rPr>
        <w:t xml:space="preserve">. Se développe là </w:t>
      </w:r>
      <w:r w:rsidR="0032067F" w:rsidRPr="00A53F18">
        <w:rPr>
          <w:rFonts w:ascii="Times New Roman" w:hAnsi="Times New Roman" w:cs="Times New Roman"/>
        </w:rPr>
        <w:t xml:space="preserve">une </w:t>
      </w:r>
      <w:r w:rsidR="00D27C0F" w:rsidRPr="00A53F18">
        <w:rPr>
          <w:rFonts w:ascii="Times New Roman" w:hAnsi="Times New Roman" w:cs="Times New Roman"/>
        </w:rPr>
        <w:t>« culture de la condamnation »</w:t>
      </w:r>
      <w:r w:rsidR="00D27C0F" w:rsidRPr="00A53F18">
        <w:rPr>
          <w:rStyle w:val="Marquenotebasdepage"/>
          <w:rFonts w:ascii="Times New Roman" w:hAnsi="Times New Roman" w:cs="Times New Roman"/>
        </w:rPr>
        <w:footnoteReference w:id="20"/>
      </w:r>
      <w:r w:rsidR="004E0D08" w:rsidRPr="00A53F18">
        <w:rPr>
          <w:rFonts w:ascii="Times New Roman" w:hAnsi="Times New Roman" w:cs="Times New Roman"/>
        </w:rPr>
        <w:t>.</w:t>
      </w:r>
    </w:p>
    <w:p w:rsidR="0032067F" w:rsidRPr="00A53F18" w:rsidRDefault="0032067F" w:rsidP="00DF42A6">
      <w:pPr>
        <w:jc w:val="both"/>
        <w:rPr>
          <w:rFonts w:ascii="Times New Roman" w:hAnsi="Times New Roman" w:cs="Times New Roman"/>
        </w:rPr>
      </w:pPr>
    </w:p>
    <w:p w:rsidR="004E0D08" w:rsidRPr="00A53F18" w:rsidRDefault="004E0D08" w:rsidP="00DF42A6">
      <w:pPr>
        <w:jc w:val="both"/>
        <w:rPr>
          <w:rFonts w:ascii="Times New Roman" w:hAnsi="Times New Roman" w:cs="Times New Roman"/>
        </w:rPr>
      </w:pPr>
      <w:r w:rsidRPr="00A53F18">
        <w:rPr>
          <w:rFonts w:ascii="Times New Roman" w:hAnsi="Times New Roman" w:cs="Times New Roman"/>
        </w:rPr>
        <w:t>Cette quête d’une peine-reflet-de-la-gravité-du-crime, rétributiv</w:t>
      </w:r>
      <w:r w:rsidR="00A53F18">
        <w:rPr>
          <w:rFonts w:ascii="Times New Roman" w:hAnsi="Times New Roman" w:cs="Times New Roman"/>
        </w:rPr>
        <w:t>ist</w:t>
      </w:r>
      <w:r w:rsidRPr="00A53F18">
        <w:rPr>
          <w:rFonts w:ascii="Times New Roman" w:hAnsi="Times New Roman" w:cs="Times New Roman"/>
        </w:rPr>
        <w:t xml:space="preserve">e, prend distance avec la pensée </w:t>
      </w:r>
      <w:r w:rsidR="00566FE1">
        <w:rPr>
          <w:rFonts w:ascii="Times New Roman" w:hAnsi="Times New Roman" w:cs="Times New Roman"/>
        </w:rPr>
        <w:t>(</w:t>
      </w:r>
      <w:r w:rsidRPr="00A53F18">
        <w:rPr>
          <w:rFonts w:ascii="Times New Roman" w:hAnsi="Times New Roman" w:cs="Times New Roman"/>
        </w:rPr>
        <w:t>plus pragmatique</w:t>
      </w:r>
      <w:r w:rsidR="00566FE1">
        <w:rPr>
          <w:rFonts w:ascii="Times New Roman" w:hAnsi="Times New Roman" w:cs="Times New Roman"/>
        </w:rPr>
        <w:t>)</w:t>
      </w:r>
      <w:r w:rsidRPr="00A53F18">
        <w:rPr>
          <w:rFonts w:ascii="Times New Roman" w:hAnsi="Times New Roman" w:cs="Times New Roman"/>
        </w:rPr>
        <w:t xml:space="preserve"> de Beccaria, ainsi qu’avec la jurisprudence (surtout utilitariste) de la Cour européenne des droits de l’homme, laquelle évalue la proportionnalité </w:t>
      </w:r>
      <w:r w:rsidR="00B74C23">
        <w:rPr>
          <w:rFonts w:ascii="Times New Roman" w:hAnsi="Times New Roman" w:cs="Times New Roman"/>
        </w:rPr>
        <w:t xml:space="preserve">notamment </w:t>
      </w:r>
      <w:r w:rsidRPr="00A53F18">
        <w:rPr>
          <w:rFonts w:ascii="Times New Roman" w:hAnsi="Times New Roman" w:cs="Times New Roman"/>
        </w:rPr>
        <w:t>à l’aune des objectifs poursuivis par la sanction</w:t>
      </w:r>
      <w:r w:rsidRPr="00A53F18">
        <w:rPr>
          <w:rStyle w:val="Marquenotebasdepage"/>
          <w:rFonts w:ascii="Times New Roman" w:hAnsi="Times New Roman" w:cs="Times New Roman"/>
        </w:rPr>
        <w:footnoteReference w:id="21"/>
      </w:r>
      <w:r w:rsidRPr="00A53F18">
        <w:rPr>
          <w:rFonts w:ascii="Times New Roman" w:hAnsi="Times New Roman" w:cs="Times New Roman"/>
        </w:rPr>
        <w:t>. La</w:t>
      </w:r>
      <w:r w:rsidR="008D7978" w:rsidRPr="00A53F18">
        <w:rPr>
          <w:rFonts w:ascii="Times New Roman" w:hAnsi="Times New Roman" w:cs="Times New Roman"/>
        </w:rPr>
        <w:t xml:space="preserve"> vision de la proportionnalité comme reflet de la gravité </w:t>
      </w:r>
      <w:r w:rsidRPr="00A53F18">
        <w:rPr>
          <w:rFonts w:ascii="Times New Roman" w:hAnsi="Times New Roman" w:cs="Times New Roman"/>
        </w:rPr>
        <w:t>s’explique</w:t>
      </w:r>
      <w:r w:rsidR="008D7978" w:rsidRPr="00A53F18">
        <w:rPr>
          <w:rFonts w:ascii="Times New Roman" w:hAnsi="Times New Roman" w:cs="Times New Roman"/>
        </w:rPr>
        <w:t xml:space="preserve"> à la lumière </w:t>
      </w:r>
      <w:r w:rsidRPr="00A53F18">
        <w:rPr>
          <w:rFonts w:ascii="Times New Roman" w:hAnsi="Times New Roman" w:cs="Times New Roman"/>
        </w:rPr>
        <w:t>du mandat donné aux juridictions internationales pénales : selon le</w:t>
      </w:r>
      <w:r w:rsidR="008D7978" w:rsidRPr="00A53F18">
        <w:rPr>
          <w:rFonts w:ascii="Times New Roman" w:hAnsi="Times New Roman" w:cs="Times New Roman"/>
        </w:rPr>
        <w:t xml:space="preserve"> Conseil de Sécurité</w:t>
      </w:r>
      <w:r w:rsidR="0032067F" w:rsidRPr="00A53F18">
        <w:rPr>
          <w:rStyle w:val="Marquenotebasdepage"/>
          <w:rFonts w:ascii="Times New Roman" w:hAnsi="Times New Roman" w:cs="Times New Roman"/>
        </w:rPr>
        <w:footnoteReference w:id="22"/>
      </w:r>
      <w:r w:rsidR="008D7978" w:rsidRPr="00A53F18">
        <w:rPr>
          <w:rFonts w:ascii="Times New Roman" w:hAnsi="Times New Roman" w:cs="Times New Roman"/>
        </w:rPr>
        <w:t xml:space="preserve"> comme dans le Préambule du Statut de </w:t>
      </w:r>
      <w:r w:rsidR="00ED792F" w:rsidRPr="00A53F18">
        <w:rPr>
          <w:rFonts w:ascii="Times New Roman" w:hAnsi="Times New Roman" w:cs="Times New Roman"/>
        </w:rPr>
        <w:t>la Cour pénale internationale</w:t>
      </w:r>
      <w:r w:rsidR="0032067F" w:rsidRPr="00A53F18">
        <w:rPr>
          <w:rStyle w:val="Marquenotebasdepage"/>
          <w:rFonts w:ascii="Times New Roman" w:hAnsi="Times New Roman" w:cs="Times New Roman"/>
        </w:rPr>
        <w:footnoteReference w:id="23"/>
      </w:r>
      <w:r w:rsidR="008D7978" w:rsidRPr="00A53F18">
        <w:rPr>
          <w:rFonts w:ascii="Times New Roman" w:hAnsi="Times New Roman" w:cs="Times New Roman"/>
        </w:rPr>
        <w:t xml:space="preserve">, </w:t>
      </w:r>
      <w:r w:rsidRPr="00A53F18">
        <w:rPr>
          <w:rFonts w:ascii="Times New Roman" w:hAnsi="Times New Roman" w:cs="Times New Roman"/>
        </w:rPr>
        <w:t>il s’agit d’abord</w:t>
      </w:r>
      <w:r w:rsidR="008D7978" w:rsidRPr="00A53F18">
        <w:rPr>
          <w:rFonts w:ascii="Times New Roman" w:hAnsi="Times New Roman" w:cs="Times New Roman"/>
        </w:rPr>
        <w:t xml:space="preserve"> de « lutter contre l’impunité » </w:t>
      </w:r>
      <w:r w:rsidRPr="00A53F18">
        <w:rPr>
          <w:rFonts w:ascii="Times New Roman" w:hAnsi="Times New Roman" w:cs="Times New Roman"/>
        </w:rPr>
        <w:t>pour les crimes les plus graves, d’assurer leur répression, avant de travailler aux effets présents et futurs des jugements. Rétribuer a</w:t>
      </w:r>
      <w:r w:rsidR="004D780A" w:rsidRPr="00A53F18">
        <w:rPr>
          <w:rFonts w:ascii="Times New Roman" w:hAnsi="Times New Roman" w:cs="Times New Roman"/>
        </w:rPr>
        <w:t>vant de réparer ou de prévenir.</w:t>
      </w:r>
    </w:p>
    <w:p w:rsidR="004D780A" w:rsidRPr="00A53F18" w:rsidRDefault="004D780A" w:rsidP="00DF42A6">
      <w:pPr>
        <w:jc w:val="both"/>
        <w:rPr>
          <w:rFonts w:ascii="Times New Roman" w:hAnsi="Times New Roman" w:cs="Times New Roman"/>
        </w:rPr>
      </w:pPr>
    </w:p>
    <w:p w:rsidR="00635837" w:rsidRDefault="004D780A" w:rsidP="00DF42A6">
      <w:pPr>
        <w:jc w:val="both"/>
        <w:rPr>
          <w:rFonts w:ascii="Times New Roman" w:hAnsi="Times New Roman" w:cs="Times New Roman"/>
        </w:rPr>
      </w:pPr>
      <w:r w:rsidRPr="00A53F18">
        <w:rPr>
          <w:rFonts w:ascii="Times New Roman" w:hAnsi="Times New Roman" w:cs="Times New Roman"/>
        </w:rPr>
        <w:t xml:space="preserve">Chez Cesare Beccaria, </w:t>
      </w:r>
      <w:r w:rsidR="00566FE1">
        <w:rPr>
          <w:rFonts w:ascii="Times New Roman" w:hAnsi="Times New Roman" w:cs="Times New Roman"/>
        </w:rPr>
        <w:t xml:space="preserve">par contre, </w:t>
      </w:r>
      <w:r w:rsidRPr="00A53F18">
        <w:rPr>
          <w:rFonts w:ascii="Times New Roman" w:hAnsi="Times New Roman" w:cs="Times New Roman"/>
        </w:rPr>
        <w:t xml:space="preserve">on trouve une exigence de proportion entre les délits et les peines, motivée par un refus d’une sévérité </w:t>
      </w:r>
      <w:r w:rsidR="00B74C23">
        <w:rPr>
          <w:rFonts w:ascii="Times New Roman" w:hAnsi="Times New Roman" w:cs="Times New Roman"/>
        </w:rPr>
        <w:t xml:space="preserve">accrue et </w:t>
      </w:r>
      <w:r w:rsidRPr="00A53F18">
        <w:rPr>
          <w:rFonts w:ascii="Times New Roman" w:hAnsi="Times New Roman" w:cs="Times New Roman"/>
        </w:rPr>
        <w:t xml:space="preserve">arbitraire ; en droit international pénal, par contre, on trouve une quête de peines reflétant la gravité du crime, motivée par un refus d’une clémence arbitraire. </w:t>
      </w:r>
      <w:r w:rsidR="00ED792F" w:rsidRPr="00A53F18">
        <w:rPr>
          <w:rFonts w:ascii="Times New Roman" w:hAnsi="Times New Roman" w:cs="Times New Roman"/>
        </w:rPr>
        <w:t>Le marquis</w:t>
      </w:r>
      <w:r w:rsidR="008D7978" w:rsidRPr="00A53F18">
        <w:rPr>
          <w:rFonts w:ascii="Times New Roman" w:hAnsi="Times New Roman" w:cs="Times New Roman"/>
        </w:rPr>
        <w:t xml:space="preserve"> établit le principe de proportionnalité comme une exigence de </w:t>
      </w:r>
      <w:r w:rsidR="00F74D12">
        <w:rPr>
          <w:rFonts w:ascii="Times New Roman" w:hAnsi="Times New Roman" w:cs="Times New Roman"/>
        </w:rPr>
        <w:t>douceur</w:t>
      </w:r>
      <w:r w:rsidRPr="00A53F18">
        <w:rPr>
          <w:rFonts w:ascii="Times New Roman" w:hAnsi="Times New Roman" w:cs="Times New Roman"/>
        </w:rPr>
        <w:t xml:space="preserve"> et de justesse</w:t>
      </w:r>
      <w:r w:rsidR="008D7978" w:rsidRPr="00A53F18">
        <w:rPr>
          <w:rFonts w:ascii="Times New Roman" w:hAnsi="Times New Roman" w:cs="Times New Roman"/>
        </w:rPr>
        <w:t xml:space="preserve"> pénale, un rempart contre les excès répressifs d’un souverain abusif</w:t>
      </w:r>
      <w:r w:rsidR="006E63A3" w:rsidRPr="00A53F18">
        <w:rPr>
          <w:rStyle w:val="Marquenotebasdepage"/>
          <w:rFonts w:ascii="Times New Roman" w:hAnsi="Times New Roman" w:cs="Times New Roman"/>
        </w:rPr>
        <w:footnoteReference w:id="24"/>
      </w:r>
      <w:r w:rsidR="00ED792F" w:rsidRPr="00A53F18">
        <w:rPr>
          <w:rFonts w:ascii="Times New Roman" w:hAnsi="Times New Roman" w:cs="Times New Roman"/>
        </w:rPr>
        <w:t xml:space="preserve"> : </w:t>
      </w:r>
      <w:r w:rsidRPr="00A53F18">
        <w:rPr>
          <w:rFonts w:ascii="Times New Roman" w:hAnsi="Times New Roman" w:cs="Times New Roman"/>
        </w:rPr>
        <w:t>l’</w:t>
      </w:r>
      <w:r w:rsidR="008D7978" w:rsidRPr="00A53F18">
        <w:rPr>
          <w:rFonts w:ascii="Times New Roman" w:hAnsi="Times New Roman" w:cs="Times New Roman"/>
        </w:rPr>
        <w:t xml:space="preserve">arbitraire, chez lui, consiste en une </w:t>
      </w:r>
      <w:r w:rsidR="008D7978" w:rsidRPr="00A53F18">
        <w:rPr>
          <w:rFonts w:ascii="Times New Roman" w:hAnsi="Times New Roman" w:cs="Times New Roman"/>
          <w:i/>
        </w:rPr>
        <w:t>sévérité démesurée</w:t>
      </w:r>
      <w:r w:rsidR="008D7978" w:rsidRPr="00A53F18">
        <w:rPr>
          <w:rFonts w:ascii="Times New Roman" w:hAnsi="Times New Roman" w:cs="Times New Roman"/>
        </w:rPr>
        <w:t xml:space="preserve"> contre laquelle un droit pénal écrit, public, proportionnel permet de lutter. </w:t>
      </w:r>
    </w:p>
    <w:p w:rsidR="00635837" w:rsidRDefault="00635837" w:rsidP="00DF42A6">
      <w:pPr>
        <w:jc w:val="both"/>
        <w:rPr>
          <w:rFonts w:ascii="Times New Roman" w:hAnsi="Times New Roman" w:cs="Times New Roman"/>
          <w:i/>
        </w:rPr>
      </w:pPr>
    </w:p>
    <w:p w:rsidR="006E63A3" w:rsidRDefault="00635837" w:rsidP="00DF42A6">
      <w:pPr>
        <w:jc w:val="both"/>
        <w:rPr>
          <w:rFonts w:ascii="Times New Roman" w:hAnsi="Times New Roman" w:cs="Times New Roman"/>
        </w:rPr>
      </w:pPr>
      <w:r>
        <w:rPr>
          <w:rFonts w:ascii="Times New Roman" w:hAnsi="Times New Roman" w:cs="Times New Roman"/>
          <w:i/>
        </w:rPr>
        <w:t xml:space="preserve">A contrario, </w:t>
      </w:r>
      <w:r>
        <w:rPr>
          <w:rFonts w:ascii="Times New Roman" w:hAnsi="Times New Roman" w:cs="Times New Roman"/>
        </w:rPr>
        <w:t>l</w:t>
      </w:r>
      <w:r w:rsidR="00ED792F" w:rsidRPr="00A53F18">
        <w:rPr>
          <w:rFonts w:ascii="Times New Roman" w:hAnsi="Times New Roman" w:cs="Times New Roman"/>
        </w:rPr>
        <w:t xml:space="preserve">a crainte de l’arbitraire s’exprime surtout, en droit international pénal actuel, à l’encontre des </w:t>
      </w:r>
      <w:r w:rsidR="00545920" w:rsidRPr="00A53F18">
        <w:rPr>
          <w:rFonts w:ascii="Times New Roman" w:hAnsi="Times New Roman" w:cs="Times New Roman"/>
        </w:rPr>
        <w:t>« procès fictifs »</w:t>
      </w:r>
      <w:r w:rsidR="008D7978" w:rsidRPr="00A53F18">
        <w:rPr>
          <w:rFonts w:ascii="Times New Roman" w:hAnsi="Times New Roman" w:cs="Times New Roman"/>
        </w:rPr>
        <w:t xml:space="preserve"> (</w:t>
      </w:r>
      <w:r w:rsidR="008D7978" w:rsidRPr="00A53F18">
        <w:rPr>
          <w:rFonts w:ascii="Times New Roman" w:hAnsi="Times New Roman" w:cs="Times New Roman"/>
          <w:i/>
        </w:rPr>
        <w:t>sham trials</w:t>
      </w:r>
      <w:r w:rsidR="008D7978" w:rsidRPr="00A53F18">
        <w:rPr>
          <w:rFonts w:ascii="Times New Roman" w:hAnsi="Times New Roman" w:cs="Times New Roman"/>
        </w:rPr>
        <w:t>)</w:t>
      </w:r>
      <w:r w:rsidR="004D780A" w:rsidRPr="00A53F18">
        <w:rPr>
          <w:rFonts w:ascii="Times New Roman" w:hAnsi="Times New Roman" w:cs="Times New Roman"/>
        </w:rPr>
        <w:t xml:space="preserve"> et </w:t>
      </w:r>
      <w:r w:rsidR="00ED792F" w:rsidRPr="00A53F18">
        <w:rPr>
          <w:rFonts w:ascii="Times New Roman" w:hAnsi="Times New Roman" w:cs="Times New Roman"/>
        </w:rPr>
        <w:t>d</w:t>
      </w:r>
      <w:r w:rsidR="008D7978" w:rsidRPr="00A53F18">
        <w:rPr>
          <w:rFonts w:ascii="Times New Roman" w:hAnsi="Times New Roman" w:cs="Times New Roman"/>
        </w:rPr>
        <w:t>es amnisties de complaisance</w:t>
      </w:r>
      <w:r w:rsidR="00ED792F" w:rsidRPr="00A53F18">
        <w:rPr>
          <w:rFonts w:ascii="Times New Roman" w:hAnsi="Times New Roman" w:cs="Times New Roman"/>
        </w:rPr>
        <w:t xml:space="preserve"> -</w:t>
      </w:r>
      <w:r w:rsidR="008D7978" w:rsidRPr="00A53F18">
        <w:rPr>
          <w:rFonts w:ascii="Times New Roman" w:hAnsi="Times New Roman" w:cs="Times New Roman"/>
        </w:rPr>
        <w:t xml:space="preserve"> </w:t>
      </w:r>
      <w:r w:rsidR="00B74C23">
        <w:rPr>
          <w:rFonts w:ascii="Times New Roman" w:hAnsi="Times New Roman" w:cs="Times New Roman"/>
        </w:rPr>
        <w:t>c’est-à-dire</w:t>
      </w:r>
      <w:r w:rsidR="008D7978" w:rsidRPr="00A53F18">
        <w:rPr>
          <w:rFonts w:ascii="Times New Roman" w:hAnsi="Times New Roman" w:cs="Times New Roman"/>
        </w:rPr>
        <w:t xml:space="preserve"> </w:t>
      </w:r>
      <w:r w:rsidR="00B74C23">
        <w:rPr>
          <w:rFonts w:ascii="Times New Roman" w:hAnsi="Times New Roman" w:cs="Times New Roman"/>
        </w:rPr>
        <w:t>d</w:t>
      </w:r>
      <w:r w:rsidR="008D7978" w:rsidRPr="00A53F18">
        <w:rPr>
          <w:rFonts w:ascii="Times New Roman" w:hAnsi="Times New Roman" w:cs="Times New Roman"/>
        </w:rPr>
        <w:t>e manœuvres politico-judiciaires qui, après un conflit, visent à épargner toute poursuite réelle aux anciens dirigeants du pays ou responsables d’armée</w:t>
      </w:r>
      <w:r w:rsidR="006E63A3" w:rsidRPr="00A53F18">
        <w:rPr>
          <w:rStyle w:val="Marquenotebasdepage"/>
          <w:rFonts w:ascii="Times New Roman" w:hAnsi="Times New Roman" w:cs="Times New Roman"/>
        </w:rPr>
        <w:footnoteReference w:id="25"/>
      </w:r>
      <w:r w:rsidR="008D7978" w:rsidRPr="00A53F18">
        <w:rPr>
          <w:rFonts w:ascii="Times New Roman" w:hAnsi="Times New Roman" w:cs="Times New Roman"/>
        </w:rPr>
        <w:t>.</w:t>
      </w:r>
      <w:r w:rsidR="004D780A" w:rsidRPr="00A53F18">
        <w:rPr>
          <w:rFonts w:ascii="Times New Roman" w:hAnsi="Times New Roman" w:cs="Times New Roman"/>
        </w:rPr>
        <w:t> </w:t>
      </w:r>
      <w:r w:rsidR="008D7978" w:rsidRPr="00A53F18">
        <w:rPr>
          <w:rFonts w:ascii="Times New Roman" w:hAnsi="Times New Roman" w:cs="Times New Roman"/>
        </w:rPr>
        <w:t xml:space="preserve">L’arbitraire, </w:t>
      </w:r>
      <w:r w:rsidR="00ED792F" w:rsidRPr="00A53F18">
        <w:rPr>
          <w:rFonts w:ascii="Times New Roman" w:hAnsi="Times New Roman" w:cs="Times New Roman"/>
        </w:rPr>
        <w:t>ici</w:t>
      </w:r>
      <w:r w:rsidR="008D7978" w:rsidRPr="00A53F18">
        <w:rPr>
          <w:rFonts w:ascii="Times New Roman" w:hAnsi="Times New Roman" w:cs="Times New Roman"/>
        </w:rPr>
        <w:t xml:space="preserve">, consiste en une </w:t>
      </w:r>
      <w:r w:rsidR="008D7978" w:rsidRPr="00A53F18">
        <w:rPr>
          <w:rFonts w:ascii="Times New Roman" w:hAnsi="Times New Roman" w:cs="Times New Roman"/>
          <w:i/>
        </w:rPr>
        <w:t>clémence démesurée</w:t>
      </w:r>
      <w:r w:rsidR="008D7978" w:rsidRPr="00A53F18">
        <w:rPr>
          <w:rFonts w:ascii="Times New Roman" w:hAnsi="Times New Roman" w:cs="Times New Roman"/>
        </w:rPr>
        <w:t>, laquelle se manifesterait en particulier par le prononcé d’une peine dérisoire</w:t>
      </w:r>
      <w:r w:rsidR="004D780A" w:rsidRPr="00A53F18">
        <w:rPr>
          <w:rFonts w:ascii="Times New Roman" w:hAnsi="Times New Roman" w:cs="Times New Roman"/>
        </w:rPr>
        <w:t>. Là où Beccaria exigeait une peine proportionnée, éventuellement sévère mais nécessairement juste et modérée, le projet d’une justice internationale pour les crimes « les plus graves » paraît associer la proportionnalité à la seule sévérité.</w:t>
      </w:r>
      <w:r w:rsidR="00566FE1">
        <w:rPr>
          <w:rFonts w:ascii="Times New Roman" w:hAnsi="Times New Roman" w:cs="Times New Roman"/>
        </w:rPr>
        <w:t xml:space="preserve"> </w:t>
      </w:r>
      <w:r w:rsidR="00566FE1" w:rsidRPr="00A53F18">
        <w:rPr>
          <w:rFonts w:ascii="Times New Roman" w:hAnsi="Times New Roman" w:cs="Times New Roman"/>
        </w:rPr>
        <w:t xml:space="preserve">Les perspectives sont renversées, ce qui reflète bien notre </w:t>
      </w:r>
      <w:r w:rsidR="00566FE1">
        <w:rPr>
          <w:rFonts w:ascii="Times New Roman" w:hAnsi="Times New Roman" w:cs="Times New Roman"/>
        </w:rPr>
        <w:t>postulat</w:t>
      </w:r>
      <w:r w:rsidR="00566FE1" w:rsidRPr="00A53F18">
        <w:rPr>
          <w:rFonts w:ascii="Times New Roman" w:hAnsi="Times New Roman" w:cs="Times New Roman"/>
        </w:rPr>
        <w:t> : un « retour aux fondamentaux de Beccaria » nourrit la réflexion critique en droit international pénal.</w:t>
      </w:r>
    </w:p>
    <w:p w:rsidR="00635837" w:rsidRDefault="00635837" w:rsidP="00635837">
      <w:pPr>
        <w:jc w:val="both"/>
        <w:rPr>
          <w:rFonts w:ascii="Times New Roman" w:hAnsi="Times New Roman" w:cs="Times New Roman"/>
        </w:rPr>
      </w:pPr>
    </w:p>
    <w:p w:rsidR="00635837" w:rsidRDefault="00635837" w:rsidP="00635837">
      <w:pPr>
        <w:jc w:val="both"/>
        <w:rPr>
          <w:rFonts w:ascii="Times New Roman" w:hAnsi="Times New Roman" w:cs="Times New Roman"/>
        </w:rPr>
      </w:pPr>
      <w:r>
        <w:rPr>
          <w:rFonts w:ascii="Times New Roman" w:hAnsi="Times New Roman" w:cs="Times New Roman"/>
        </w:rPr>
        <w:t>Moins techniquement, la crainte beccarienne de l’arbitraire se répète peut-être</w:t>
      </w:r>
      <w:r w:rsidRPr="00A53F18">
        <w:rPr>
          <w:rFonts w:ascii="Times New Roman" w:hAnsi="Times New Roman" w:cs="Times New Roman"/>
        </w:rPr>
        <w:t xml:space="preserve"> dans les reproches d’hégémonie occidentale adressés à la justice internationale pénale</w:t>
      </w:r>
      <w:r w:rsidRPr="00A53F18">
        <w:rPr>
          <w:rStyle w:val="Marquenotebasdepage"/>
          <w:rFonts w:ascii="Times New Roman" w:hAnsi="Times New Roman" w:cs="Times New Roman"/>
        </w:rPr>
        <w:footnoteReference w:id="26"/>
      </w:r>
      <w:r w:rsidRPr="00A53F18">
        <w:rPr>
          <w:rFonts w:ascii="Times New Roman" w:hAnsi="Times New Roman" w:cs="Times New Roman"/>
        </w:rPr>
        <w:t xml:space="preserve"> : </w:t>
      </w:r>
      <w:r w:rsidR="00566FE1" w:rsidRPr="00A53F18">
        <w:rPr>
          <w:rFonts w:ascii="Times New Roman" w:hAnsi="Times New Roman" w:cs="Times New Roman"/>
        </w:rPr>
        <w:t>le sentiment d’arbitraire judiciaire reflète toujours les tensions sociales</w:t>
      </w:r>
      <w:r w:rsidR="00566FE1">
        <w:rPr>
          <w:rFonts w:ascii="Times New Roman" w:hAnsi="Times New Roman" w:cs="Times New Roman"/>
        </w:rPr>
        <w:t xml:space="preserve">, </w:t>
      </w:r>
      <w:r w:rsidRPr="00A53F18">
        <w:rPr>
          <w:rFonts w:ascii="Times New Roman" w:hAnsi="Times New Roman" w:cs="Times New Roman"/>
        </w:rPr>
        <w:t>lorsque les condamnés s’étonnent de la sélection des poursuites ou de procédures qui leur sont étrangères</w:t>
      </w:r>
      <w:r w:rsidR="00566FE1">
        <w:rPr>
          <w:rFonts w:ascii="Times New Roman" w:hAnsi="Times New Roman" w:cs="Times New Roman"/>
        </w:rPr>
        <w:t>, par exemple</w:t>
      </w:r>
      <w:r w:rsidRPr="00A53F18">
        <w:rPr>
          <w:rStyle w:val="Marquenotebasdepage"/>
          <w:rFonts w:ascii="Times New Roman" w:hAnsi="Times New Roman" w:cs="Times New Roman"/>
        </w:rPr>
        <w:footnoteReference w:id="27"/>
      </w:r>
      <w:r w:rsidRPr="00A53F18">
        <w:rPr>
          <w:rFonts w:ascii="Times New Roman" w:hAnsi="Times New Roman" w:cs="Times New Roman"/>
        </w:rPr>
        <w:t xml:space="preserve">. </w:t>
      </w:r>
    </w:p>
    <w:p w:rsidR="00635837" w:rsidRPr="00A53F18" w:rsidRDefault="00635837" w:rsidP="00DF42A6">
      <w:pPr>
        <w:jc w:val="both"/>
        <w:rPr>
          <w:rFonts w:ascii="Times New Roman" w:hAnsi="Times New Roman" w:cs="Times New Roman"/>
        </w:rPr>
      </w:pPr>
    </w:p>
    <w:p w:rsidR="00DC3151" w:rsidRPr="00A53F18" w:rsidRDefault="00DC3151" w:rsidP="00DF42A6">
      <w:pPr>
        <w:jc w:val="both"/>
        <w:rPr>
          <w:rFonts w:ascii="Times New Roman" w:hAnsi="Times New Roman" w:cs="Times New Roman"/>
        </w:rPr>
      </w:pPr>
    </w:p>
    <w:p w:rsidR="004D780A" w:rsidRPr="00A53F18" w:rsidRDefault="004D780A" w:rsidP="00DF42A6">
      <w:pPr>
        <w:jc w:val="both"/>
        <w:rPr>
          <w:rFonts w:ascii="Times New Roman" w:hAnsi="Times New Roman" w:cs="Times New Roman"/>
          <w:b/>
        </w:rPr>
      </w:pPr>
      <w:r w:rsidRPr="00A53F18">
        <w:rPr>
          <w:rFonts w:ascii="Times New Roman" w:hAnsi="Times New Roman" w:cs="Times New Roman"/>
          <w:b/>
        </w:rPr>
        <w:t xml:space="preserve">b. </w:t>
      </w:r>
      <w:r w:rsidR="00566FE1">
        <w:rPr>
          <w:rFonts w:ascii="Times New Roman" w:hAnsi="Times New Roman" w:cs="Times New Roman"/>
          <w:b/>
        </w:rPr>
        <w:t>Du</w:t>
      </w:r>
      <w:r w:rsidR="000A1471" w:rsidRPr="00A53F18">
        <w:rPr>
          <w:rFonts w:ascii="Times New Roman" w:hAnsi="Times New Roman" w:cs="Times New Roman"/>
          <w:b/>
        </w:rPr>
        <w:t xml:space="preserve"> désordre parmi les peines</w:t>
      </w:r>
    </w:p>
    <w:p w:rsidR="004D780A" w:rsidRPr="00A53F18" w:rsidRDefault="004D780A" w:rsidP="00DF42A6">
      <w:pPr>
        <w:jc w:val="both"/>
        <w:rPr>
          <w:rFonts w:ascii="Times New Roman" w:hAnsi="Times New Roman" w:cs="Times New Roman"/>
        </w:rPr>
      </w:pPr>
    </w:p>
    <w:p w:rsidR="001A3D01" w:rsidRPr="00A53F18" w:rsidRDefault="004D780A" w:rsidP="00DF42A6">
      <w:pPr>
        <w:jc w:val="both"/>
        <w:rPr>
          <w:rFonts w:ascii="Times New Roman" w:hAnsi="Times New Roman" w:cs="Times New Roman"/>
        </w:rPr>
      </w:pPr>
      <w:r w:rsidRPr="00A53F18">
        <w:rPr>
          <w:rFonts w:ascii="Times New Roman" w:hAnsi="Times New Roman" w:cs="Times New Roman"/>
        </w:rPr>
        <w:t>Sur base de c</w:t>
      </w:r>
      <w:r w:rsidR="001A3D01" w:rsidRPr="00A53F18">
        <w:rPr>
          <w:rFonts w:ascii="Times New Roman" w:hAnsi="Times New Roman" w:cs="Times New Roman"/>
        </w:rPr>
        <w:t xml:space="preserve">es textes fondateurs, </w:t>
      </w:r>
      <w:r w:rsidR="008D7978" w:rsidRPr="00A53F18">
        <w:rPr>
          <w:rFonts w:ascii="Times New Roman" w:hAnsi="Times New Roman" w:cs="Times New Roman"/>
        </w:rPr>
        <w:t>les juges internationaux, pourtant saisis de comportement</w:t>
      </w:r>
      <w:r w:rsidR="006E63A3" w:rsidRPr="00A53F18">
        <w:rPr>
          <w:rFonts w:ascii="Times New Roman" w:hAnsi="Times New Roman" w:cs="Times New Roman"/>
        </w:rPr>
        <w:t>s</w:t>
      </w:r>
      <w:r w:rsidR="00271A42" w:rsidRPr="00A53F18">
        <w:rPr>
          <w:rFonts w:ascii="Times New Roman" w:hAnsi="Times New Roman" w:cs="Times New Roman"/>
        </w:rPr>
        <w:t xml:space="preserve"> qualifiés de </w:t>
      </w:r>
      <w:r w:rsidR="008D7978" w:rsidRPr="00A53F18">
        <w:rPr>
          <w:rFonts w:ascii="Times New Roman" w:hAnsi="Times New Roman" w:cs="Times New Roman"/>
        </w:rPr>
        <w:t xml:space="preserve">façon </w:t>
      </w:r>
      <w:r w:rsidR="00271A42" w:rsidRPr="00A53F18">
        <w:rPr>
          <w:rFonts w:ascii="Times New Roman" w:hAnsi="Times New Roman" w:cs="Times New Roman"/>
        </w:rPr>
        <w:t xml:space="preserve">identique </w:t>
      </w:r>
      <w:r w:rsidR="000A1471" w:rsidRPr="00A53F18">
        <w:rPr>
          <w:rFonts w:ascii="Times New Roman" w:hAnsi="Times New Roman" w:cs="Times New Roman"/>
        </w:rPr>
        <w:t>(</w:t>
      </w:r>
      <w:r w:rsidR="008D7978" w:rsidRPr="00A53F18">
        <w:rPr>
          <w:rFonts w:ascii="Times New Roman" w:hAnsi="Times New Roman" w:cs="Times New Roman"/>
        </w:rPr>
        <w:t>crimes de guerre</w:t>
      </w:r>
      <w:r w:rsidR="000A1471" w:rsidRPr="00A53F18">
        <w:rPr>
          <w:rFonts w:ascii="Times New Roman" w:hAnsi="Times New Roman" w:cs="Times New Roman"/>
        </w:rPr>
        <w:t xml:space="preserve">, </w:t>
      </w:r>
      <w:r w:rsidR="00271A42" w:rsidRPr="00A53F18">
        <w:rPr>
          <w:rFonts w:ascii="Times New Roman" w:hAnsi="Times New Roman" w:cs="Times New Roman"/>
        </w:rPr>
        <w:t>crimes contre l’humanité</w:t>
      </w:r>
      <w:r w:rsidR="000A1471" w:rsidRPr="00A53F18">
        <w:rPr>
          <w:rFonts w:ascii="Times New Roman" w:hAnsi="Times New Roman" w:cs="Times New Roman"/>
        </w:rPr>
        <w:t xml:space="preserve"> ou</w:t>
      </w:r>
      <w:r w:rsidR="008D7978" w:rsidRPr="00A53F18">
        <w:rPr>
          <w:rFonts w:ascii="Times New Roman" w:hAnsi="Times New Roman" w:cs="Times New Roman"/>
        </w:rPr>
        <w:t xml:space="preserve"> génocide</w:t>
      </w:r>
      <w:r w:rsidR="000A1471" w:rsidRPr="00A53F18">
        <w:rPr>
          <w:rFonts w:ascii="Times New Roman" w:hAnsi="Times New Roman" w:cs="Times New Roman"/>
        </w:rPr>
        <w:t>)</w:t>
      </w:r>
      <w:r w:rsidRPr="00A53F18">
        <w:rPr>
          <w:rFonts w:ascii="Times New Roman" w:hAnsi="Times New Roman" w:cs="Times New Roman"/>
        </w:rPr>
        <w:t xml:space="preserve"> n’ont pas établi d’« échelle » de</w:t>
      </w:r>
      <w:r w:rsidR="008D7978" w:rsidRPr="00A53F18">
        <w:rPr>
          <w:rFonts w:ascii="Times New Roman" w:hAnsi="Times New Roman" w:cs="Times New Roman"/>
        </w:rPr>
        <w:t xml:space="preserve"> </w:t>
      </w:r>
      <w:r w:rsidR="001A3D01" w:rsidRPr="00A53F18">
        <w:rPr>
          <w:rFonts w:ascii="Times New Roman" w:hAnsi="Times New Roman" w:cs="Times New Roman"/>
        </w:rPr>
        <w:t>crimes</w:t>
      </w:r>
      <w:r w:rsidR="008D7978" w:rsidRPr="00A53F18">
        <w:rPr>
          <w:rFonts w:ascii="Times New Roman" w:hAnsi="Times New Roman" w:cs="Times New Roman"/>
        </w:rPr>
        <w:t xml:space="preserve">, à laquelle aurait correspondu une « échelle des peines » </w:t>
      </w:r>
      <w:r w:rsidRPr="00A53F18">
        <w:rPr>
          <w:rFonts w:ascii="Times New Roman" w:hAnsi="Times New Roman" w:cs="Times New Roman"/>
        </w:rPr>
        <w:t>telle que souhaitée par</w:t>
      </w:r>
      <w:r w:rsidR="008D7978" w:rsidRPr="00A53F18">
        <w:rPr>
          <w:rFonts w:ascii="Times New Roman" w:hAnsi="Times New Roman" w:cs="Times New Roman"/>
        </w:rPr>
        <w:t xml:space="preserve"> Beccaria</w:t>
      </w:r>
      <w:r w:rsidRPr="00A53F18">
        <w:rPr>
          <w:rStyle w:val="Marquenotebasdepage"/>
          <w:rFonts w:ascii="Times New Roman" w:hAnsi="Times New Roman" w:cs="Times New Roman"/>
        </w:rPr>
        <w:footnoteReference w:id="28"/>
      </w:r>
      <w:r w:rsidR="008D7978" w:rsidRPr="00A53F18">
        <w:rPr>
          <w:rFonts w:ascii="Times New Roman" w:hAnsi="Times New Roman" w:cs="Times New Roman"/>
        </w:rPr>
        <w:t xml:space="preserve">. La gravité aurait pourtant pu se décliner en différentes versions quantifiables, renouant ainsi avec les principes arithmétiques chers au marquis : à défaut de recouper </w:t>
      </w:r>
      <w:r w:rsidR="000A1471" w:rsidRPr="00A53F18">
        <w:rPr>
          <w:rFonts w:ascii="Times New Roman" w:hAnsi="Times New Roman" w:cs="Times New Roman"/>
        </w:rPr>
        <w:t xml:space="preserve">parfaitement </w:t>
      </w:r>
      <w:r w:rsidR="008D7978" w:rsidRPr="00A53F18">
        <w:rPr>
          <w:rFonts w:ascii="Times New Roman" w:hAnsi="Times New Roman" w:cs="Times New Roman"/>
        </w:rPr>
        <w:t xml:space="preserve">la </w:t>
      </w:r>
      <w:r w:rsidR="008D7978" w:rsidRPr="00A53F18">
        <w:rPr>
          <w:rFonts w:ascii="Times New Roman" w:hAnsi="Times New Roman" w:cs="Times New Roman"/>
          <w:i/>
        </w:rPr>
        <w:t xml:space="preserve">ratio legis </w:t>
      </w:r>
      <w:r w:rsidR="008D7978" w:rsidRPr="00A53F18">
        <w:rPr>
          <w:rFonts w:ascii="Times New Roman" w:hAnsi="Times New Roman" w:cs="Times New Roman"/>
        </w:rPr>
        <w:t>de la proportionnalité beccarienne (comme nous ve</w:t>
      </w:r>
      <w:r w:rsidR="00730E31" w:rsidRPr="00A53F18">
        <w:rPr>
          <w:rFonts w:ascii="Times New Roman" w:hAnsi="Times New Roman" w:cs="Times New Roman"/>
        </w:rPr>
        <w:t>n</w:t>
      </w:r>
      <w:r w:rsidR="008D7978" w:rsidRPr="00A53F18">
        <w:rPr>
          <w:rFonts w:ascii="Times New Roman" w:hAnsi="Times New Roman" w:cs="Times New Roman"/>
        </w:rPr>
        <w:t xml:space="preserve">ons de le voir), </w:t>
      </w:r>
      <w:r w:rsidR="000A1471" w:rsidRPr="00A53F18">
        <w:rPr>
          <w:rFonts w:ascii="Times New Roman" w:hAnsi="Times New Roman" w:cs="Times New Roman"/>
        </w:rPr>
        <w:t>on aurait alors renoué</w:t>
      </w:r>
      <w:r w:rsidR="008D7978" w:rsidRPr="00A53F18">
        <w:rPr>
          <w:rFonts w:ascii="Times New Roman" w:hAnsi="Times New Roman" w:cs="Times New Roman"/>
        </w:rPr>
        <w:t xml:space="preserve"> avec ses exigences </w:t>
      </w:r>
      <w:r w:rsidR="000A1471" w:rsidRPr="00A53F18">
        <w:rPr>
          <w:rFonts w:ascii="Times New Roman" w:hAnsi="Times New Roman" w:cs="Times New Roman"/>
        </w:rPr>
        <w:t>pratique</w:t>
      </w:r>
      <w:r w:rsidR="008D7978" w:rsidRPr="00A53F18">
        <w:rPr>
          <w:rFonts w:ascii="Times New Roman" w:hAnsi="Times New Roman" w:cs="Times New Roman"/>
        </w:rPr>
        <w:t xml:space="preserve">s. </w:t>
      </w:r>
      <w:r w:rsidR="000A1471" w:rsidRPr="00A53F18">
        <w:rPr>
          <w:rFonts w:ascii="Times New Roman" w:hAnsi="Times New Roman" w:cs="Times New Roman"/>
        </w:rPr>
        <w:t>Mais (n</w:t>
      </w:r>
      <w:r w:rsidR="001A3D01" w:rsidRPr="00A53F18">
        <w:rPr>
          <w:rFonts w:ascii="Times New Roman" w:hAnsi="Times New Roman" w:cs="Times New Roman"/>
        </w:rPr>
        <w:t>i les textes fondateurs ni) les</w:t>
      </w:r>
      <w:r w:rsidR="008D7978" w:rsidRPr="00A53F18">
        <w:rPr>
          <w:rFonts w:ascii="Times New Roman" w:hAnsi="Times New Roman" w:cs="Times New Roman"/>
        </w:rPr>
        <w:t xml:space="preserve"> </w:t>
      </w:r>
      <w:r w:rsidR="001A3D01" w:rsidRPr="00A53F18">
        <w:rPr>
          <w:rFonts w:ascii="Times New Roman" w:hAnsi="Times New Roman" w:cs="Times New Roman"/>
        </w:rPr>
        <w:t>juges n’ont</w:t>
      </w:r>
      <w:r w:rsidR="008D7978" w:rsidRPr="00A53F18">
        <w:rPr>
          <w:rFonts w:ascii="Times New Roman" w:hAnsi="Times New Roman" w:cs="Times New Roman"/>
        </w:rPr>
        <w:t xml:space="preserve"> imposé de </w:t>
      </w:r>
      <w:r w:rsidR="008D7978" w:rsidRPr="00A53F18">
        <w:rPr>
          <w:rFonts w:ascii="Times New Roman" w:hAnsi="Times New Roman" w:cs="Times New Roman"/>
          <w:i/>
        </w:rPr>
        <w:t>quantum</w:t>
      </w:r>
      <w:r w:rsidR="008D7978" w:rsidRPr="00A53F18">
        <w:rPr>
          <w:rFonts w:ascii="Times New Roman" w:hAnsi="Times New Roman" w:cs="Times New Roman"/>
        </w:rPr>
        <w:t xml:space="preserve"> spécifique aux différents crimes ; la pratique </w:t>
      </w:r>
      <w:r w:rsidR="000A1471" w:rsidRPr="00A53F18">
        <w:rPr>
          <w:rFonts w:ascii="Times New Roman" w:hAnsi="Times New Roman" w:cs="Times New Roman"/>
        </w:rPr>
        <w:t>des différentes</w:t>
      </w:r>
      <w:r w:rsidR="008D7978" w:rsidRPr="00A53F18">
        <w:rPr>
          <w:rFonts w:ascii="Times New Roman" w:hAnsi="Times New Roman" w:cs="Times New Roman"/>
        </w:rPr>
        <w:t xml:space="preserve"> juridictions </w:t>
      </w:r>
      <w:r w:rsidR="000A1471" w:rsidRPr="00A53F18">
        <w:rPr>
          <w:rFonts w:ascii="Times New Roman" w:hAnsi="Times New Roman" w:cs="Times New Roman"/>
        </w:rPr>
        <w:t>ne permet pas de</w:t>
      </w:r>
      <w:r w:rsidR="008D7978" w:rsidRPr="00A53F18">
        <w:rPr>
          <w:rFonts w:ascii="Times New Roman" w:hAnsi="Times New Roman" w:cs="Times New Roman"/>
        </w:rPr>
        <w:t xml:space="preserve"> dégager l’une ou l’autre</w:t>
      </w:r>
      <w:r w:rsidR="000A1471" w:rsidRPr="00A53F18">
        <w:rPr>
          <w:rFonts w:ascii="Times New Roman" w:hAnsi="Times New Roman" w:cs="Times New Roman"/>
        </w:rPr>
        <w:t xml:space="preserve"> échelle ou fourchette appliquée lors du prononcé de peines</w:t>
      </w:r>
      <w:r w:rsidR="002C1C4F" w:rsidRPr="00A53F18">
        <w:rPr>
          <w:rStyle w:val="Marquenotebasdepage"/>
          <w:rFonts w:ascii="Times New Roman" w:hAnsi="Times New Roman" w:cs="Times New Roman"/>
        </w:rPr>
        <w:footnoteReference w:id="29"/>
      </w:r>
      <w:r w:rsidR="008D7978" w:rsidRPr="00A53F18">
        <w:rPr>
          <w:rFonts w:ascii="Times New Roman" w:hAnsi="Times New Roman" w:cs="Times New Roman"/>
        </w:rPr>
        <w:t xml:space="preserve">. </w:t>
      </w:r>
      <w:r w:rsidR="002F6999">
        <w:rPr>
          <w:rFonts w:ascii="Times New Roman" w:hAnsi="Times New Roman" w:cs="Times New Roman"/>
        </w:rPr>
        <w:t>Tout juste ont-ils relevé que le génocide est le « crime des crimes »</w:t>
      </w:r>
      <w:r w:rsidR="002F6999">
        <w:rPr>
          <w:rStyle w:val="Marquenotebasdepage"/>
          <w:rFonts w:ascii="Times New Roman" w:hAnsi="Times New Roman" w:cs="Times New Roman"/>
        </w:rPr>
        <w:footnoteReference w:id="30"/>
      </w:r>
      <w:r w:rsidR="002F6999">
        <w:rPr>
          <w:rFonts w:ascii="Times New Roman" w:hAnsi="Times New Roman" w:cs="Times New Roman"/>
        </w:rPr>
        <w:t xml:space="preserve">, sans en tirer </w:t>
      </w:r>
      <w:r w:rsidR="00566FE1">
        <w:rPr>
          <w:rFonts w:ascii="Times New Roman" w:hAnsi="Times New Roman" w:cs="Times New Roman"/>
        </w:rPr>
        <w:t xml:space="preserve">néanmoins </w:t>
      </w:r>
      <w:r w:rsidR="002F6999">
        <w:rPr>
          <w:rFonts w:ascii="Times New Roman" w:hAnsi="Times New Roman" w:cs="Times New Roman"/>
        </w:rPr>
        <w:t>de conséquence sur le quantum des peines.</w:t>
      </w:r>
    </w:p>
    <w:p w:rsidR="001A3D01" w:rsidRPr="00A53F18" w:rsidRDefault="001A3D01" w:rsidP="00DF42A6">
      <w:pPr>
        <w:jc w:val="both"/>
        <w:rPr>
          <w:rFonts w:ascii="Times New Roman" w:hAnsi="Times New Roman" w:cs="Times New Roman"/>
        </w:rPr>
      </w:pPr>
    </w:p>
    <w:p w:rsidR="000A1471" w:rsidRPr="00A53F18" w:rsidRDefault="008D7978" w:rsidP="00DF42A6">
      <w:pPr>
        <w:jc w:val="both"/>
        <w:rPr>
          <w:rFonts w:ascii="Times New Roman" w:hAnsi="Times New Roman" w:cs="Times New Roman"/>
        </w:rPr>
      </w:pPr>
      <w:r w:rsidRPr="00A53F18">
        <w:rPr>
          <w:rFonts w:ascii="Times New Roman" w:hAnsi="Times New Roman" w:cs="Times New Roman"/>
        </w:rPr>
        <w:t>Les juges ont d’ailleurs reconnu</w:t>
      </w:r>
      <w:r w:rsidR="002F6999">
        <w:rPr>
          <w:rFonts w:ascii="Times New Roman" w:hAnsi="Times New Roman" w:cs="Times New Roman"/>
        </w:rPr>
        <w:t xml:space="preserve"> cette absence d’échelle</w:t>
      </w:r>
      <w:r w:rsidR="000A1471" w:rsidRPr="00A53F18">
        <w:rPr>
          <w:rFonts w:ascii="Times New Roman" w:hAnsi="Times New Roman" w:cs="Times New Roman"/>
        </w:rPr>
        <w:t xml:space="preserve"> : </w:t>
      </w:r>
      <w:r w:rsidRPr="00A53F18">
        <w:rPr>
          <w:rFonts w:ascii="Times New Roman" w:hAnsi="Times New Roman" w:cs="Times New Roman"/>
        </w:rPr>
        <w:t>dans l’affaire Furundžija</w:t>
      </w:r>
      <w:r w:rsidR="000A1471" w:rsidRPr="00A53F18">
        <w:rPr>
          <w:rFonts w:ascii="Times New Roman" w:hAnsi="Times New Roman" w:cs="Times New Roman"/>
        </w:rPr>
        <w:t xml:space="preserve">, </w:t>
      </w:r>
      <w:r w:rsidR="00A22F08" w:rsidRPr="00A53F18">
        <w:rPr>
          <w:rFonts w:ascii="Times New Roman" w:hAnsi="Times New Roman" w:cs="Times New Roman"/>
        </w:rPr>
        <w:t>sept ans après la création du TPIY</w:t>
      </w:r>
      <w:r w:rsidR="00566FE1">
        <w:rPr>
          <w:rFonts w:ascii="Times New Roman" w:hAnsi="Times New Roman" w:cs="Times New Roman"/>
        </w:rPr>
        <w:t xml:space="preserve">, </w:t>
      </w:r>
      <w:r w:rsidRPr="00A53F18">
        <w:rPr>
          <w:rFonts w:ascii="Times New Roman" w:hAnsi="Times New Roman" w:cs="Times New Roman"/>
        </w:rPr>
        <w:t xml:space="preserve">la Chambre d’appel </w:t>
      </w:r>
      <w:r w:rsidR="00566FE1">
        <w:rPr>
          <w:rFonts w:ascii="Times New Roman" w:hAnsi="Times New Roman" w:cs="Times New Roman"/>
        </w:rPr>
        <w:t xml:space="preserve">a ainsi estimé </w:t>
      </w:r>
      <w:r w:rsidR="000A1471" w:rsidRPr="00A53F18">
        <w:rPr>
          <w:rFonts w:ascii="Times New Roman" w:hAnsi="Times New Roman" w:cs="Times New Roman"/>
        </w:rPr>
        <w:t>qu</w:t>
      </w:r>
      <w:r w:rsidR="00A22F08">
        <w:rPr>
          <w:rFonts w:ascii="Times New Roman" w:hAnsi="Times New Roman" w:cs="Times New Roman"/>
        </w:rPr>
        <w:t>’</w:t>
      </w:r>
      <w:r w:rsidR="000A1471" w:rsidRPr="00A53F18">
        <w:rPr>
          <w:rFonts w:ascii="Times New Roman" w:hAnsi="Times New Roman" w:cs="Times New Roman"/>
        </w:rPr>
        <w:t>il était « </w:t>
      </w:r>
      <w:r w:rsidRPr="00A53F18">
        <w:rPr>
          <w:rFonts w:ascii="Times New Roman" w:hAnsi="Times New Roman" w:cs="Times New Roman"/>
        </w:rPr>
        <w:t>trop tôt pour parler d’un “régime de la peine” naissant et de la cohérence qu’il impliquerait dans la pratique en matière de détermination de la peine. S’il est vrai que certaines questions ayant trait à la détermination de la peine ont désormais été traitées en profondeur, il n’en demeure pas moins que d’autres n’ont pas encore été abordées »</w:t>
      </w:r>
      <w:r w:rsidRPr="00A53F18">
        <w:rPr>
          <w:rStyle w:val="FootnoteReference"/>
          <w:rFonts w:ascii="Times New Roman" w:hAnsi="Times New Roman" w:cs="Times New Roman"/>
          <w:sz w:val="24"/>
        </w:rPr>
        <w:t xml:space="preserve"> </w:t>
      </w:r>
      <w:r w:rsidRPr="00A53F18">
        <w:rPr>
          <w:rStyle w:val="FootnoteReference"/>
          <w:rFonts w:ascii="Times New Roman" w:hAnsi="Times New Roman" w:cs="Times New Roman"/>
          <w:sz w:val="24"/>
        </w:rPr>
        <w:footnoteReference w:id="31"/>
      </w:r>
      <w:r w:rsidRPr="00A53F18">
        <w:rPr>
          <w:rFonts w:ascii="Times New Roman" w:hAnsi="Times New Roman" w:cs="Times New Roman"/>
        </w:rPr>
        <w:t xml:space="preserve">. </w:t>
      </w:r>
      <w:r w:rsidR="000A1471" w:rsidRPr="00A53F18">
        <w:rPr>
          <w:rFonts w:ascii="Times New Roman" w:hAnsi="Times New Roman" w:cs="Times New Roman"/>
        </w:rPr>
        <w:t>La</w:t>
      </w:r>
      <w:r w:rsidRPr="00A53F18">
        <w:rPr>
          <w:rFonts w:ascii="Times New Roman" w:hAnsi="Times New Roman" w:cs="Times New Roman"/>
        </w:rPr>
        <w:t xml:space="preserve"> Chambre d’appel du TPIY </w:t>
      </w:r>
      <w:r w:rsidR="000A1471" w:rsidRPr="00A53F18">
        <w:rPr>
          <w:rFonts w:ascii="Times New Roman" w:hAnsi="Times New Roman" w:cs="Times New Roman"/>
        </w:rPr>
        <w:t xml:space="preserve">a réitéré le constat, </w:t>
      </w:r>
      <w:r w:rsidRPr="00A53F18">
        <w:rPr>
          <w:rFonts w:ascii="Times New Roman" w:hAnsi="Times New Roman" w:cs="Times New Roman"/>
        </w:rPr>
        <w:t xml:space="preserve">quelques mois plus tard, </w:t>
      </w:r>
      <w:r w:rsidR="00A22F08">
        <w:rPr>
          <w:rFonts w:ascii="Times New Roman" w:hAnsi="Times New Roman" w:cs="Times New Roman"/>
        </w:rPr>
        <w:t xml:space="preserve">énonçant que </w:t>
      </w:r>
      <w:r w:rsidRPr="00A53F18">
        <w:rPr>
          <w:rFonts w:ascii="Times New Roman" w:hAnsi="Times New Roman" w:cs="Times New Roman"/>
        </w:rPr>
        <w:t>« l’intérê</w:t>
      </w:r>
      <w:r w:rsidR="000A1471" w:rsidRPr="00A53F18">
        <w:rPr>
          <w:rFonts w:ascii="Times New Roman" w:hAnsi="Times New Roman" w:cs="Times New Roman"/>
        </w:rPr>
        <w:t>t d’une telle liste</w:t>
      </w:r>
      <w:r w:rsidR="00A22F08">
        <w:rPr>
          <w:rFonts w:ascii="Times New Roman" w:hAnsi="Times New Roman" w:cs="Times New Roman"/>
        </w:rPr>
        <w:t xml:space="preserve"> est douteuse</w:t>
      </w:r>
      <w:r w:rsidR="000A1471" w:rsidRPr="00A53F18">
        <w:rPr>
          <w:rFonts w:ascii="Times New Roman" w:hAnsi="Times New Roman" w:cs="Times New Roman"/>
        </w:rPr>
        <w:t xml:space="preserve"> </w:t>
      </w:r>
      <w:r w:rsidRPr="00A53F18">
        <w:rPr>
          <w:rFonts w:ascii="Times New Roman" w:hAnsi="Times New Roman" w:cs="Times New Roman"/>
        </w:rPr>
        <w:t>»</w:t>
      </w:r>
      <w:r w:rsidRPr="00A53F18">
        <w:rPr>
          <w:rFonts w:ascii="Times New Roman" w:hAnsi="Times New Roman" w:cs="Times New Roman"/>
          <w:vertAlign w:val="superscript"/>
        </w:rPr>
        <w:footnoteReference w:id="32"/>
      </w:r>
      <w:r w:rsidR="00A22F08">
        <w:rPr>
          <w:rFonts w:ascii="Times New Roman" w:hAnsi="Times New Roman" w:cs="Times New Roman"/>
        </w:rPr>
        <w:t xml:space="preserve"> (</w:t>
      </w:r>
      <w:r w:rsidR="00A22F08" w:rsidRPr="0006700C">
        <w:rPr>
          <w:rFonts w:ascii="Times New Roman" w:hAnsi="Times New Roman" w:cs="Times New Roman"/>
          <w:i/>
        </w:rPr>
        <w:t>sic</w:t>
      </w:r>
      <w:r w:rsidR="00A22F08">
        <w:rPr>
          <w:rFonts w:ascii="Times New Roman" w:hAnsi="Times New Roman" w:cs="Times New Roman"/>
        </w:rPr>
        <w:t>)</w:t>
      </w:r>
      <w:r w:rsidRPr="00A53F18">
        <w:rPr>
          <w:rFonts w:ascii="Times New Roman" w:hAnsi="Times New Roman" w:cs="Times New Roman"/>
        </w:rPr>
        <w:t>.</w:t>
      </w:r>
      <w:r w:rsidR="00A22F08">
        <w:rPr>
          <w:rFonts w:ascii="Times New Roman" w:hAnsi="Times New Roman" w:cs="Times New Roman"/>
        </w:rPr>
        <w:t xml:space="preserve"> Vingt ans </w:t>
      </w:r>
      <w:r w:rsidR="00F9532E">
        <w:rPr>
          <w:rFonts w:ascii="Times New Roman" w:hAnsi="Times New Roman" w:cs="Times New Roman"/>
        </w:rPr>
        <w:t>après</w:t>
      </w:r>
      <w:r w:rsidR="00A22F08">
        <w:rPr>
          <w:rFonts w:ascii="Times New Roman" w:hAnsi="Times New Roman" w:cs="Times New Roman"/>
        </w:rPr>
        <w:t xml:space="preserve"> </w:t>
      </w:r>
      <w:r w:rsidR="00F9532E">
        <w:rPr>
          <w:rFonts w:ascii="Times New Roman" w:hAnsi="Times New Roman" w:cs="Times New Roman"/>
        </w:rPr>
        <w:t>la mise en place des TPI, c</w:t>
      </w:r>
      <w:r w:rsidR="00A22F08">
        <w:rPr>
          <w:rFonts w:ascii="Times New Roman" w:hAnsi="Times New Roman" w:cs="Times New Roman"/>
        </w:rPr>
        <w:t xml:space="preserve">ette liste n’existe toujours pas, et aucune échelle des peines n’est </w:t>
      </w:r>
      <w:r w:rsidR="00F9532E">
        <w:rPr>
          <w:rFonts w:ascii="Times New Roman" w:hAnsi="Times New Roman" w:cs="Times New Roman"/>
        </w:rPr>
        <w:t>établie</w:t>
      </w:r>
      <w:r w:rsidR="00A22F08">
        <w:rPr>
          <w:rStyle w:val="Marquenotebasdepage"/>
          <w:rFonts w:ascii="Times New Roman" w:hAnsi="Times New Roman" w:cs="Times New Roman"/>
        </w:rPr>
        <w:footnoteReference w:id="33"/>
      </w:r>
      <w:r w:rsidR="00A22F08">
        <w:rPr>
          <w:rFonts w:ascii="Times New Roman" w:hAnsi="Times New Roman" w:cs="Times New Roman"/>
        </w:rPr>
        <w:t>.</w:t>
      </w:r>
    </w:p>
    <w:p w:rsidR="000A1471" w:rsidRPr="00A53F18" w:rsidRDefault="000A1471" w:rsidP="00DF42A6">
      <w:pPr>
        <w:jc w:val="both"/>
        <w:rPr>
          <w:rFonts w:ascii="Times New Roman" w:hAnsi="Times New Roman" w:cs="Times New Roman"/>
        </w:rPr>
      </w:pPr>
    </w:p>
    <w:p w:rsidR="00F37381" w:rsidRPr="00A53F18" w:rsidRDefault="008D7978" w:rsidP="00DF42A6">
      <w:pPr>
        <w:jc w:val="both"/>
        <w:rPr>
          <w:rFonts w:ascii="Times New Roman" w:hAnsi="Times New Roman" w:cs="Times New Roman"/>
        </w:rPr>
      </w:pPr>
      <w:r w:rsidRPr="00A53F18">
        <w:rPr>
          <w:rFonts w:ascii="Times New Roman" w:hAnsi="Times New Roman" w:cs="Times New Roman"/>
        </w:rPr>
        <w:t xml:space="preserve">Une </w:t>
      </w:r>
      <w:r w:rsidR="00566FE1">
        <w:rPr>
          <w:rFonts w:ascii="Times New Roman" w:hAnsi="Times New Roman" w:cs="Times New Roman"/>
        </w:rPr>
        <w:t xml:space="preserve">telle </w:t>
      </w:r>
      <w:r w:rsidRPr="00A53F18">
        <w:rPr>
          <w:rFonts w:ascii="Times New Roman" w:hAnsi="Times New Roman" w:cs="Times New Roman"/>
        </w:rPr>
        <w:t>échelle</w:t>
      </w:r>
      <w:r w:rsidR="00566FE1">
        <w:rPr>
          <w:rFonts w:ascii="Times New Roman" w:hAnsi="Times New Roman" w:cs="Times New Roman"/>
        </w:rPr>
        <w:t>, faisant correspondre une peine à chaque</w:t>
      </w:r>
      <w:r w:rsidRPr="00A53F18">
        <w:rPr>
          <w:rFonts w:ascii="Times New Roman" w:hAnsi="Times New Roman" w:cs="Times New Roman"/>
        </w:rPr>
        <w:t xml:space="preserve"> crime</w:t>
      </w:r>
      <w:r w:rsidR="00566FE1">
        <w:rPr>
          <w:rFonts w:ascii="Times New Roman" w:hAnsi="Times New Roman" w:cs="Times New Roman"/>
        </w:rPr>
        <w:t>,</w:t>
      </w:r>
      <w:r w:rsidRPr="00A53F18">
        <w:rPr>
          <w:rFonts w:ascii="Times New Roman" w:hAnsi="Times New Roman" w:cs="Times New Roman"/>
        </w:rPr>
        <w:t xml:space="preserve"> aurait pourtant permis le respect du prin</w:t>
      </w:r>
      <w:r w:rsidR="000A1471" w:rsidRPr="00A53F18">
        <w:rPr>
          <w:rFonts w:ascii="Times New Roman" w:hAnsi="Times New Roman" w:cs="Times New Roman"/>
        </w:rPr>
        <w:t xml:space="preserve">cipe de la légalité des peines - </w:t>
      </w:r>
      <w:r w:rsidRPr="00A53F18">
        <w:rPr>
          <w:rFonts w:ascii="Times New Roman" w:hAnsi="Times New Roman" w:cs="Times New Roman"/>
        </w:rPr>
        <w:t>leur prévisibilité</w:t>
      </w:r>
      <w:r w:rsidR="000A1471" w:rsidRPr="00A53F18">
        <w:rPr>
          <w:rFonts w:ascii="Times New Roman" w:hAnsi="Times New Roman" w:cs="Times New Roman"/>
        </w:rPr>
        <w:t xml:space="preserve"> en particulier</w:t>
      </w:r>
      <w:r w:rsidRPr="00A53F18">
        <w:rPr>
          <w:rFonts w:ascii="Times New Roman" w:hAnsi="Times New Roman" w:cs="Times New Roman"/>
        </w:rPr>
        <w:t xml:space="preserve">. Comment comprendre </w:t>
      </w:r>
      <w:r w:rsidR="000A1471" w:rsidRPr="00A53F18">
        <w:rPr>
          <w:rFonts w:ascii="Times New Roman" w:hAnsi="Times New Roman" w:cs="Times New Roman"/>
        </w:rPr>
        <w:t>que, pour de mêmes chefs d’accusation, deux condamnés se voient infliger une peine différente ?</w:t>
      </w:r>
      <w:r w:rsidR="00F37381" w:rsidRPr="00A53F18">
        <w:rPr>
          <w:rStyle w:val="Marquenotebasdepage"/>
          <w:rFonts w:ascii="Times New Roman" w:hAnsi="Times New Roman" w:cs="Times New Roman"/>
        </w:rPr>
        <w:footnoteReference w:id="34"/>
      </w:r>
      <w:r w:rsidR="000A1471" w:rsidRPr="00A53F18">
        <w:rPr>
          <w:rFonts w:ascii="Times New Roman" w:hAnsi="Times New Roman" w:cs="Times New Roman"/>
        </w:rPr>
        <w:t xml:space="preserve"> </w:t>
      </w:r>
      <w:r w:rsidR="00F37381" w:rsidRPr="00A53F18">
        <w:rPr>
          <w:rFonts w:ascii="Times New Roman" w:hAnsi="Times New Roman" w:cs="Times New Roman"/>
        </w:rPr>
        <w:t xml:space="preserve">Comment justifier le prononcé de peines moins sévères pour </w:t>
      </w:r>
      <w:r w:rsidR="00566FE1">
        <w:rPr>
          <w:rFonts w:ascii="Times New Roman" w:hAnsi="Times New Roman" w:cs="Times New Roman"/>
        </w:rPr>
        <w:t xml:space="preserve">un </w:t>
      </w:r>
      <w:r w:rsidR="00F37381" w:rsidRPr="00A53F18">
        <w:rPr>
          <w:rFonts w:ascii="Times New Roman" w:hAnsi="Times New Roman" w:cs="Times New Roman"/>
        </w:rPr>
        <w:t>génocide</w:t>
      </w:r>
      <w:r w:rsidR="00F37381" w:rsidRPr="00A53F18">
        <w:rPr>
          <w:rStyle w:val="Marquenotebasdepage"/>
          <w:rFonts w:ascii="Times New Roman" w:hAnsi="Times New Roman" w:cs="Times New Roman"/>
        </w:rPr>
        <w:footnoteReference w:id="35"/>
      </w:r>
      <w:r w:rsidR="00F37381" w:rsidRPr="00A53F18">
        <w:rPr>
          <w:rFonts w:ascii="Times New Roman" w:hAnsi="Times New Roman" w:cs="Times New Roman"/>
        </w:rPr>
        <w:t xml:space="preserve"> que pour des « actes criminels violents et autres actes inhumains</w:t>
      </w:r>
      <w:r w:rsidR="00A22F08">
        <w:rPr>
          <w:rFonts w:ascii="Times New Roman" w:hAnsi="Times New Roman" w:cs="Times New Roman"/>
        </w:rPr>
        <w:t xml:space="preserve"> </w:t>
      </w:r>
      <w:r w:rsidR="00F37381" w:rsidRPr="00A53F18">
        <w:rPr>
          <w:rFonts w:ascii="Times New Roman" w:hAnsi="Times New Roman" w:cs="Times New Roman"/>
        </w:rPr>
        <w:t>»</w:t>
      </w:r>
      <w:r w:rsidR="00F37381" w:rsidRPr="00A53F18">
        <w:rPr>
          <w:rStyle w:val="Marquenotebasdepage"/>
          <w:rFonts w:ascii="Times New Roman" w:hAnsi="Times New Roman" w:cs="Times New Roman"/>
        </w:rPr>
        <w:footnoteReference w:id="36"/>
      </w:r>
      <w:r w:rsidR="00F37381" w:rsidRPr="00A53F18">
        <w:rPr>
          <w:rFonts w:ascii="Times New Roman" w:hAnsi="Times New Roman" w:cs="Times New Roman"/>
        </w:rPr>
        <w:t> ?</w:t>
      </w:r>
    </w:p>
    <w:p w:rsidR="008D7978" w:rsidRPr="00A53F18" w:rsidRDefault="008D7978" w:rsidP="00DF4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Times New Roman" w:hAnsi="Times New Roman" w:cs="Times New Roman"/>
        </w:rPr>
      </w:pPr>
    </w:p>
    <w:p w:rsidR="00A22F08" w:rsidRDefault="00F37381" w:rsidP="00DF42A6">
      <w:pPr>
        <w:jc w:val="both"/>
        <w:rPr>
          <w:rFonts w:ascii="Times New Roman" w:hAnsi="Times New Roman" w:cs="Times New Roman"/>
        </w:rPr>
      </w:pPr>
      <w:r w:rsidRPr="00A53F18">
        <w:rPr>
          <w:rFonts w:ascii="Times New Roman" w:hAnsi="Times New Roman" w:cs="Times New Roman"/>
        </w:rPr>
        <w:t>Ce</w:t>
      </w:r>
      <w:r w:rsidR="008D7978" w:rsidRPr="00A53F18">
        <w:rPr>
          <w:rFonts w:ascii="Times New Roman" w:hAnsi="Times New Roman" w:cs="Times New Roman"/>
        </w:rPr>
        <w:t xml:space="preserve"> « chaos » dans la prononciation des peines s’explique d’autant moins qu’outre le critère de gravité, les Statuts des Tribunaux </w:t>
      </w:r>
      <w:r w:rsidRPr="00A53F18">
        <w:rPr>
          <w:rFonts w:ascii="Times New Roman" w:hAnsi="Times New Roman" w:cs="Times New Roman"/>
          <w:i/>
        </w:rPr>
        <w:t>ad hoc</w:t>
      </w:r>
      <w:r w:rsidR="008D7978" w:rsidRPr="00A53F18">
        <w:rPr>
          <w:rFonts w:ascii="Times New Roman" w:hAnsi="Times New Roman" w:cs="Times New Roman"/>
        </w:rPr>
        <w:t xml:space="preserve"> off</w:t>
      </w:r>
      <w:r w:rsidR="00545920" w:rsidRPr="00A53F18">
        <w:rPr>
          <w:rFonts w:ascii="Times New Roman" w:hAnsi="Times New Roman" w:cs="Times New Roman"/>
        </w:rPr>
        <w:t>r</w:t>
      </w:r>
      <w:r w:rsidRPr="00A53F18">
        <w:rPr>
          <w:rFonts w:ascii="Times New Roman" w:hAnsi="Times New Roman" w:cs="Times New Roman"/>
        </w:rPr>
        <w:t>ai</w:t>
      </w:r>
      <w:r w:rsidR="008D7978" w:rsidRPr="00A53F18">
        <w:rPr>
          <w:rFonts w:ascii="Times New Roman" w:hAnsi="Times New Roman" w:cs="Times New Roman"/>
        </w:rPr>
        <w:t xml:space="preserve">ent aux juges internationaux une forme d’échelle des sanctions, en </w:t>
      </w:r>
      <w:r w:rsidR="00545920" w:rsidRPr="00A53F18">
        <w:rPr>
          <w:rFonts w:ascii="Times New Roman" w:hAnsi="Times New Roman" w:cs="Times New Roman"/>
        </w:rPr>
        <w:t xml:space="preserve">les </w:t>
      </w:r>
      <w:r w:rsidR="008D7978" w:rsidRPr="00A53F18">
        <w:rPr>
          <w:rFonts w:ascii="Times New Roman" w:hAnsi="Times New Roman" w:cs="Times New Roman"/>
        </w:rPr>
        <w:t xml:space="preserve">renvoyant à la pratique interne de </w:t>
      </w:r>
      <w:r w:rsidRPr="00A53F18">
        <w:rPr>
          <w:rFonts w:ascii="Times New Roman" w:hAnsi="Times New Roman" w:cs="Times New Roman"/>
        </w:rPr>
        <w:t xml:space="preserve">l’ex-Yougoslavie et du Rwanda : </w:t>
      </w:r>
      <w:r w:rsidR="00A22F08">
        <w:rPr>
          <w:rFonts w:ascii="Times New Roman" w:hAnsi="Times New Roman" w:cs="Times New Roman"/>
        </w:rPr>
        <w:t>la</w:t>
      </w:r>
      <w:r w:rsidR="00A22F08" w:rsidRPr="00A53F18">
        <w:rPr>
          <w:rFonts w:ascii="Times New Roman" w:hAnsi="Times New Roman" w:cs="Times New Roman"/>
        </w:rPr>
        <w:t xml:space="preserve"> </w:t>
      </w:r>
      <w:r w:rsidR="002C1C4F" w:rsidRPr="00A53F18">
        <w:rPr>
          <w:rFonts w:ascii="Times New Roman" w:hAnsi="Times New Roman" w:cs="Times New Roman"/>
        </w:rPr>
        <w:t xml:space="preserve">« grille </w:t>
      </w:r>
      <w:r w:rsidR="002C1C4F" w:rsidRPr="00A53F18">
        <w:rPr>
          <w:rFonts w:ascii="Times New Roman" w:eastAsia="Times New Roman" w:hAnsi="Times New Roman" w:cs="Times New Roman"/>
        </w:rPr>
        <w:t>générale des peines d’emprisonnement appliquée par les tribunaux</w:t>
      </w:r>
      <w:r w:rsidRPr="00A53F18">
        <w:rPr>
          <w:rFonts w:ascii="Times New Roman" w:eastAsia="Times New Roman" w:hAnsi="Times New Roman" w:cs="Times New Roman"/>
        </w:rPr>
        <w:t xml:space="preserve"> nationaux</w:t>
      </w:r>
      <w:r w:rsidR="002C1C4F" w:rsidRPr="00A53F18">
        <w:rPr>
          <w:rFonts w:ascii="Times New Roman" w:eastAsia="Times New Roman" w:hAnsi="Times New Roman" w:cs="Times New Roman"/>
        </w:rPr>
        <w:t> »</w:t>
      </w:r>
      <w:r w:rsidR="00793C3A" w:rsidRPr="00A53F18">
        <w:rPr>
          <w:rStyle w:val="Marquenotebasdepage"/>
          <w:rFonts w:ascii="Times New Roman" w:eastAsia="Times New Roman" w:hAnsi="Times New Roman" w:cs="Times New Roman"/>
        </w:rPr>
        <w:footnoteReference w:id="37"/>
      </w:r>
      <w:r w:rsidR="002C1C4F" w:rsidRPr="00A53F18">
        <w:rPr>
          <w:rFonts w:ascii="Times New Roman" w:eastAsia="Times New Roman" w:hAnsi="Times New Roman" w:cs="Times New Roman"/>
        </w:rPr>
        <w:t xml:space="preserve"> </w:t>
      </w:r>
      <w:r w:rsidRPr="00A53F18">
        <w:rPr>
          <w:rFonts w:ascii="Times New Roman" w:eastAsia="Times New Roman" w:hAnsi="Times New Roman" w:cs="Times New Roman"/>
        </w:rPr>
        <w:t>(</w:t>
      </w:r>
      <w:r w:rsidR="00793C3A" w:rsidRPr="00A53F18">
        <w:rPr>
          <w:rFonts w:ascii="Times New Roman" w:eastAsia="Times New Roman" w:hAnsi="Times New Roman" w:cs="Times New Roman"/>
        </w:rPr>
        <w:t xml:space="preserve">respectivement </w:t>
      </w:r>
      <w:r w:rsidR="002C1C4F" w:rsidRPr="00A53F18">
        <w:rPr>
          <w:rFonts w:ascii="Times New Roman" w:eastAsia="Times New Roman" w:hAnsi="Times New Roman" w:cs="Times New Roman"/>
        </w:rPr>
        <w:t>de l’ex-Yougoslavie et du Rwanda</w:t>
      </w:r>
      <w:r w:rsidRPr="00A53F18">
        <w:rPr>
          <w:rFonts w:ascii="Times New Roman" w:hAnsi="Times New Roman" w:cs="Times New Roman"/>
        </w:rPr>
        <w:t xml:space="preserve">) devait servir comme </w:t>
      </w:r>
      <w:r w:rsidR="008D7978" w:rsidRPr="00A53F18">
        <w:rPr>
          <w:rFonts w:ascii="Times New Roman" w:hAnsi="Times New Roman" w:cs="Times New Roman"/>
        </w:rPr>
        <w:t xml:space="preserve">critère de détermination des peines. </w:t>
      </w:r>
    </w:p>
    <w:p w:rsidR="00A22F08" w:rsidRDefault="00A22F08" w:rsidP="00DF42A6">
      <w:pPr>
        <w:jc w:val="both"/>
        <w:rPr>
          <w:rFonts w:ascii="Times New Roman" w:hAnsi="Times New Roman" w:cs="Times New Roman"/>
        </w:rPr>
      </w:pPr>
    </w:p>
    <w:p w:rsidR="005670F3" w:rsidRPr="00A53F18" w:rsidRDefault="00A22F08" w:rsidP="00DF42A6">
      <w:pPr>
        <w:jc w:val="both"/>
        <w:rPr>
          <w:rFonts w:ascii="Times New Roman" w:hAnsi="Times New Roman" w:cs="Times New Roman"/>
        </w:rPr>
      </w:pPr>
      <w:r>
        <w:rPr>
          <w:rFonts w:ascii="Times New Roman" w:hAnsi="Times New Roman" w:cs="Times New Roman"/>
        </w:rPr>
        <w:t>Ainsi, l</w:t>
      </w:r>
      <w:r w:rsidRPr="00A53F18">
        <w:rPr>
          <w:rFonts w:ascii="Times New Roman" w:hAnsi="Times New Roman" w:cs="Times New Roman"/>
        </w:rPr>
        <w:t xml:space="preserve">’exigence </w:t>
      </w:r>
      <w:r w:rsidR="00F37381" w:rsidRPr="00A53F18">
        <w:rPr>
          <w:rFonts w:ascii="Times New Roman" w:hAnsi="Times New Roman" w:cs="Times New Roman"/>
        </w:rPr>
        <w:t>de proportionnalité et de cohérence prônée par Beccari</w:t>
      </w:r>
      <w:r w:rsidR="005670F3" w:rsidRPr="00A53F18">
        <w:rPr>
          <w:rFonts w:ascii="Times New Roman" w:hAnsi="Times New Roman" w:cs="Times New Roman"/>
        </w:rPr>
        <w:t xml:space="preserve">a n’est plus du tout </w:t>
      </w:r>
      <w:r w:rsidR="00F37381" w:rsidRPr="00A53F18">
        <w:rPr>
          <w:rFonts w:ascii="Times New Roman" w:hAnsi="Times New Roman" w:cs="Times New Roman"/>
        </w:rPr>
        <w:t>respectée</w:t>
      </w:r>
      <w:r w:rsidR="005670F3" w:rsidRPr="00A53F18">
        <w:rPr>
          <w:rFonts w:ascii="Times New Roman" w:hAnsi="Times New Roman" w:cs="Times New Roman"/>
        </w:rPr>
        <w:t>,</w:t>
      </w:r>
      <w:r w:rsidR="00F37381" w:rsidRPr="00A53F18">
        <w:rPr>
          <w:rFonts w:ascii="Times New Roman" w:hAnsi="Times New Roman" w:cs="Times New Roman"/>
        </w:rPr>
        <w:t xml:space="preserve"> dans le saut des ordres judiciaires nationaux au système international : en punissant de la même façon un génocide (en droit international) qu’un vol à m</w:t>
      </w:r>
      <w:r w:rsidR="005670F3" w:rsidRPr="00A53F18">
        <w:rPr>
          <w:rFonts w:ascii="Times New Roman" w:hAnsi="Times New Roman" w:cs="Times New Roman"/>
        </w:rPr>
        <w:t xml:space="preserve">ain armée (au sein d’un Etat), on </w:t>
      </w:r>
      <w:r w:rsidR="00566FE1">
        <w:rPr>
          <w:rFonts w:ascii="Times New Roman" w:hAnsi="Times New Roman" w:cs="Times New Roman"/>
        </w:rPr>
        <w:t>institue une</w:t>
      </w:r>
      <w:r>
        <w:rPr>
          <w:rFonts w:ascii="Times New Roman" w:hAnsi="Times New Roman" w:cs="Times New Roman"/>
        </w:rPr>
        <w:t xml:space="preserve"> situation dénoncée par Beccaria : </w:t>
      </w:r>
      <w:r w:rsidR="00793C3A" w:rsidRPr="00A53F18">
        <w:rPr>
          <w:rFonts w:ascii="Times New Roman" w:hAnsi="Times New Roman" w:cs="Times New Roman"/>
        </w:rPr>
        <w:t>« </w:t>
      </w:r>
      <w:r w:rsidR="005670F3" w:rsidRPr="00A53F18">
        <w:rPr>
          <w:rFonts w:ascii="Times New Roman" w:hAnsi="Times New Roman" w:cs="Times New Roman"/>
        </w:rPr>
        <w:t>la même</w:t>
      </w:r>
      <w:r w:rsidR="00AE7DB8">
        <w:rPr>
          <w:rFonts w:ascii="Times New Roman" w:hAnsi="Times New Roman" w:cs="Times New Roman"/>
        </w:rPr>
        <w:t xml:space="preserve"> peine de mort, par exemple, </w:t>
      </w:r>
      <w:r w:rsidR="008D7978" w:rsidRPr="00A53F18">
        <w:rPr>
          <w:rFonts w:ascii="Times New Roman" w:hAnsi="Times New Roman" w:cs="Times New Roman"/>
        </w:rPr>
        <w:t>pour</w:t>
      </w:r>
      <w:r w:rsidR="00AE7DB8">
        <w:rPr>
          <w:rFonts w:ascii="Times New Roman" w:hAnsi="Times New Roman" w:cs="Times New Roman"/>
        </w:rPr>
        <w:t xml:space="preserve"> qui tue un faisan et pour qui </w:t>
      </w:r>
      <w:r w:rsidR="005670F3" w:rsidRPr="00A53F18">
        <w:rPr>
          <w:rFonts w:ascii="Times New Roman" w:hAnsi="Times New Roman" w:cs="Times New Roman"/>
        </w:rPr>
        <w:t>assassine un homme ou falsifie un document important</w:t>
      </w:r>
      <w:r w:rsidR="008D7978" w:rsidRPr="00A53F18">
        <w:rPr>
          <w:rFonts w:ascii="Times New Roman" w:hAnsi="Times New Roman" w:cs="Times New Roman"/>
        </w:rPr>
        <w:t xml:space="preserve"> </w:t>
      </w:r>
      <w:r w:rsidR="00793C3A" w:rsidRPr="00A53F18">
        <w:rPr>
          <w:rFonts w:ascii="Times New Roman" w:hAnsi="Times New Roman" w:cs="Times New Roman"/>
        </w:rPr>
        <w:t>»</w:t>
      </w:r>
      <w:r w:rsidR="00793C3A" w:rsidRPr="00A53F18">
        <w:rPr>
          <w:rStyle w:val="Marquenotebasdepage"/>
          <w:rFonts w:ascii="Times New Roman" w:hAnsi="Times New Roman" w:cs="Times New Roman"/>
        </w:rPr>
        <w:footnoteReference w:id="38"/>
      </w:r>
      <w:r w:rsidR="008D7978" w:rsidRPr="00A53F18">
        <w:rPr>
          <w:rFonts w:ascii="Times New Roman" w:hAnsi="Times New Roman" w:cs="Times New Roman"/>
        </w:rPr>
        <w:t>. Banalisant les crimes les plus graves, ces équivalences pénales</w:t>
      </w:r>
      <w:r w:rsidR="005670F3" w:rsidRPr="00A53F18">
        <w:rPr>
          <w:rFonts w:ascii="Times New Roman" w:hAnsi="Times New Roman" w:cs="Times New Roman"/>
        </w:rPr>
        <w:t xml:space="preserve"> (ou « distributions erronées »</w:t>
      </w:r>
      <w:r w:rsidR="008D7978" w:rsidRPr="00A53F18">
        <w:rPr>
          <w:rFonts w:ascii="Times New Roman" w:hAnsi="Times New Roman" w:cs="Times New Roman"/>
        </w:rPr>
        <w:t>)</w:t>
      </w:r>
      <w:r w:rsidR="005670F3" w:rsidRPr="00A53F18">
        <w:rPr>
          <w:rFonts w:ascii="Times New Roman" w:hAnsi="Times New Roman" w:cs="Times New Roman"/>
        </w:rPr>
        <w:t xml:space="preserve"> portent atteinte à la « certitude et à l’inéluctabilité de la peine », et en limitent l’effet</w:t>
      </w:r>
      <w:r w:rsidR="005670F3" w:rsidRPr="00A53F18">
        <w:rPr>
          <w:rStyle w:val="Marquenotebasdepage"/>
          <w:rFonts w:ascii="Times New Roman" w:hAnsi="Times New Roman" w:cs="Times New Roman"/>
        </w:rPr>
        <w:footnoteReference w:id="39"/>
      </w:r>
      <w:r w:rsidR="005670F3" w:rsidRPr="00A53F18">
        <w:rPr>
          <w:rFonts w:ascii="Times New Roman" w:hAnsi="Times New Roman" w:cs="Times New Roman"/>
        </w:rPr>
        <w:t>.</w:t>
      </w:r>
    </w:p>
    <w:p w:rsidR="008D7978" w:rsidRPr="00A53F18" w:rsidRDefault="008D7978" w:rsidP="00DF42A6">
      <w:pPr>
        <w:pStyle w:val="Footer1"/>
        <w:tabs>
          <w:tab w:val="clear" w:pos="9072"/>
          <w:tab w:val="right" w:pos="9046"/>
        </w:tabs>
        <w:spacing w:before="0" w:after="0"/>
        <w:jc w:val="both"/>
        <w:rPr>
          <w:szCs w:val="24"/>
        </w:rPr>
      </w:pPr>
    </w:p>
    <w:p w:rsidR="005670F3" w:rsidRPr="00A53F18" w:rsidRDefault="00566FE1" w:rsidP="00DF42A6">
      <w:pPr>
        <w:pStyle w:val="Footer1"/>
        <w:tabs>
          <w:tab w:val="clear" w:pos="9072"/>
          <w:tab w:val="right" w:pos="9046"/>
        </w:tabs>
        <w:spacing w:before="0" w:after="0"/>
        <w:jc w:val="both"/>
        <w:rPr>
          <w:szCs w:val="24"/>
        </w:rPr>
      </w:pPr>
      <w:r>
        <w:rPr>
          <w:szCs w:val="24"/>
        </w:rPr>
        <w:t>S</w:t>
      </w:r>
      <w:r w:rsidR="008D7978" w:rsidRPr="00A53F18">
        <w:rPr>
          <w:szCs w:val="24"/>
        </w:rPr>
        <w:t xml:space="preserve">ur le fond autant qu’en arithmétique, il semble </w:t>
      </w:r>
      <w:r>
        <w:rPr>
          <w:szCs w:val="24"/>
        </w:rPr>
        <w:t xml:space="preserve">certes </w:t>
      </w:r>
      <w:r w:rsidR="008D7978" w:rsidRPr="00A53F18">
        <w:rPr>
          <w:szCs w:val="24"/>
        </w:rPr>
        <w:t xml:space="preserve">illusoire de prétendre condamner </w:t>
      </w:r>
      <w:r w:rsidR="005670F3" w:rsidRPr="00A53F18">
        <w:rPr>
          <w:szCs w:val="24"/>
        </w:rPr>
        <w:t>adéquatement</w:t>
      </w:r>
      <w:r w:rsidR="008D7978" w:rsidRPr="00A53F18">
        <w:rPr>
          <w:rStyle w:val="FootnoteReference1"/>
          <w:sz w:val="24"/>
          <w:szCs w:val="24"/>
        </w:rPr>
        <w:footnoteReference w:id="40"/>
      </w:r>
      <w:r w:rsidR="008D7978" w:rsidRPr="00A53F18">
        <w:rPr>
          <w:szCs w:val="24"/>
        </w:rPr>
        <w:t xml:space="preserve"> </w:t>
      </w:r>
      <w:r w:rsidR="005670F3" w:rsidRPr="00A53F18">
        <w:rPr>
          <w:szCs w:val="24"/>
        </w:rPr>
        <w:t>ceux qui</w:t>
      </w:r>
      <w:r w:rsidR="008D7978" w:rsidRPr="00A53F18">
        <w:rPr>
          <w:szCs w:val="24"/>
        </w:rPr>
        <w:t xml:space="preserve"> ont planifié un génocide, tué ou tortu</w:t>
      </w:r>
      <w:r w:rsidR="00BD2304" w:rsidRPr="00A53F18">
        <w:rPr>
          <w:szCs w:val="24"/>
        </w:rPr>
        <w:t>ré des centaines d’individus. Hannah Harendt</w:t>
      </w:r>
      <w:r w:rsidR="008D7978" w:rsidRPr="00A53F18">
        <w:rPr>
          <w:szCs w:val="24"/>
        </w:rPr>
        <w:t xml:space="preserve"> </w:t>
      </w:r>
      <w:r w:rsidR="005670F3" w:rsidRPr="00A53F18">
        <w:rPr>
          <w:szCs w:val="24"/>
        </w:rPr>
        <w:t xml:space="preserve">écrit </w:t>
      </w:r>
      <w:r w:rsidR="00BD2304" w:rsidRPr="00A53F18">
        <w:rPr>
          <w:szCs w:val="24"/>
        </w:rPr>
        <w:t>que « </w:t>
      </w:r>
      <w:r w:rsidR="008D7978" w:rsidRPr="00A53F18">
        <w:rPr>
          <w:szCs w:val="24"/>
        </w:rPr>
        <w:t>l’on ne peut ni punir ni pardonner ces crimes »</w:t>
      </w:r>
      <w:r w:rsidR="008D7978" w:rsidRPr="00A53F18">
        <w:rPr>
          <w:rStyle w:val="FootnoteReference1"/>
          <w:sz w:val="24"/>
          <w:szCs w:val="24"/>
        </w:rPr>
        <w:footnoteReference w:id="41"/>
      </w:r>
      <w:r w:rsidR="005670F3" w:rsidRPr="00A53F18">
        <w:rPr>
          <w:szCs w:val="24"/>
        </w:rPr>
        <w:t> ; un esprit pragmatique ne peut, concrètement, établir d’échelle entre un délit mineur et ces « crimes de masse », « horreurs de l’humanité », « atrocités ». L</w:t>
      </w:r>
      <w:r w:rsidR="008D7978" w:rsidRPr="00A53F18">
        <w:rPr>
          <w:szCs w:val="24"/>
        </w:rPr>
        <w:t xml:space="preserve">es mots sont trop courts pour évoquer ces événements, le droit est trop court pour qualifier et pénaliser ce stade de criminalité. </w:t>
      </w:r>
      <w:r w:rsidR="005670F3" w:rsidRPr="00A53F18">
        <w:rPr>
          <w:szCs w:val="24"/>
        </w:rPr>
        <w:t>La proportionnalité entre crime et peine (conçue comme reflet de la gravité), peines et peines (dans ces échelles gages de cohérence) n’est pas possible. P</w:t>
      </w:r>
      <w:r w:rsidR="008D7978" w:rsidRPr="00A53F18">
        <w:rPr>
          <w:szCs w:val="24"/>
        </w:rPr>
        <w:t xml:space="preserve">eut-être faudrait-il verser dans l’abstraction et condamner les coupables à 500, 1000 ou 2000 années de prison, comme cela se fait dans certains Etats ? </w:t>
      </w:r>
      <w:r w:rsidR="005670F3" w:rsidRPr="00A53F18">
        <w:rPr>
          <w:szCs w:val="24"/>
        </w:rPr>
        <w:t xml:space="preserve">On quitterait là le pragmatisme recherché par les pénalistes pour entrer dans une symbolique fort éloignée des idéaux démocratiques et beccariens. </w:t>
      </w:r>
    </w:p>
    <w:p w:rsidR="005670F3" w:rsidRPr="00A53F18" w:rsidRDefault="005670F3" w:rsidP="00DF42A6">
      <w:pPr>
        <w:pStyle w:val="Footer1"/>
        <w:tabs>
          <w:tab w:val="clear" w:pos="9072"/>
          <w:tab w:val="right" w:pos="9046"/>
        </w:tabs>
        <w:spacing w:before="0" w:after="0"/>
        <w:jc w:val="both"/>
        <w:rPr>
          <w:szCs w:val="24"/>
        </w:rPr>
      </w:pPr>
    </w:p>
    <w:p w:rsidR="008D7978" w:rsidRPr="00A53F18" w:rsidRDefault="00BD2304" w:rsidP="00DF42A6">
      <w:pPr>
        <w:pStyle w:val="Footer1"/>
        <w:tabs>
          <w:tab w:val="clear" w:pos="9072"/>
          <w:tab w:val="right" w:pos="9046"/>
        </w:tabs>
        <w:spacing w:before="0" w:after="0"/>
        <w:jc w:val="both"/>
        <w:rPr>
          <w:szCs w:val="24"/>
        </w:rPr>
      </w:pPr>
      <w:r w:rsidRPr="00A53F18">
        <w:rPr>
          <w:szCs w:val="24"/>
        </w:rPr>
        <w:t>Un</w:t>
      </w:r>
      <w:r w:rsidR="008D7978" w:rsidRPr="00A53F18">
        <w:rPr>
          <w:szCs w:val="24"/>
        </w:rPr>
        <w:t xml:space="preserve"> </w:t>
      </w:r>
      <w:r w:rsidRPr="00A53F18">
        <w:rPr>
          <w:szCs w:val="24"/>
        </w:rPr>
        <w:t>plein</w:t>
      </w:r>
      <w:r w:rsidR="008D7978" w:rsidRPr="00A53F18">
        <w:rPr>
          <w:szCs w:val="24"/>
        </w:rPr>
        <w:t xml:space="preserve"> principe de proportionnalité</w:t>
      </w:r>
      <w:r w:rsidR="00566FE1">
        <w:rPr>
          <w:szCs w:val="24"/>
        </w:rPr>
        <w:t xml:space="preserve"> </w:t>
      </w:r>
      <w:r w:rsidR="008D7978" w:rsidRPr="00A53F18">
        <w:rPr>
          <w:szCs w:val="24"/>
        </w:rPr>
        <w:t>n</w:t>
      </w:r>
      <w:r w:rsidRPr="00A53F18">
        <w:rPr>
          <w:szCs w:val="24"/>
        </w:rPr>
        <w:t xml:space="preserve">e paraît donc </w:t>
      </w:r>
      <w:r w:rsidR="008D7978" w:rsidRPr="00A53F18">
        <w:rPr>
          <w:szCs w:val="24"/>
        </w:rPr>
        <w:t xml:space="preserve">pas </w:t>
      </w:r>
      <w:r w:rsidR="00566FE1">
        <w:rPr>
          <w:szCs w:val="24"/>
        </w:rPr>
        <w:t>de mise</w:t>
      </w:r>
      <w:r w:rsidR="00566FE1" w:rsidRPr="00A53F18">
        <w:rPr>
          <w:szCs w:val="24"/>
        </w:rPr>
        <w:t xml:space="preserve"> </w:t>
      </w:r>
      <w:r w:rsidR="008D7978" w:rsidRPr="00A53F18">
        <w:rPr>
          <w:szCs w:val="24"/>
        </w:rPr>
        <w:t xml:space="preserve">en droit international pénal. </w:t>
      </w:r>
      <w:r w:rsidR="007B6D54" w:rsidRPr="00A53F18">
        <w:rPr>
          <w:szCs w:val="24"/>
        </w:rPr>
        <w:t xml:space="preserve">En outre, les peines trop lourdes, de l’avis même </w:t>
      </w:r>
      <w:r w:rsidRPr="00A53F18">
        <w:rPr>
          <w:szCs w:val="24"/>
        </w:rPr>
        <w:t>de Cesare Beccaria</w:t>
      </w:r>
      <w:r w:rsidR="007B6D54" w:rsidRPr="00A53F18">
        <w:rPr>
          <w:szCs w:val="24"/>
        </w:rPr>
        <w:t>,</w:t>
      </w:r>
      <w:r w:rsidRPr="00A53F18">
        <w:rPr>
          <w:szCs w:val="24"/>
        </w:rPr>
        <w:t xml:space="preserve"> provoqueraient</w:t>
      </w:r>
      <w:r w:rsidR="007B6D54" w:rsidRPr="00A53F18">
        <w:rPr>
          <w:szCs w:val="24"/>
        </w:rPr>
        <w:t xml:space="preserve"> </w:t>
      </w:r>
      <w:r w:rsidRPr="00A53F18">
        <w:rPr>
          <w:szCs w:val="24"/>
        </w:rPr>
        <w:t>des</w:t>
      </w:r>
      <w:r w:rsidR="007B6D54" w:rsidRPr="00A53F18">
        <w:rPr>
          <w:szCs w:val="24"/>
        </w:rPr>
        <w:t xml:space="preserve"> effets funestes</w:t>
      </w:r>
      <w:r w:rsidR="00793C3A" w:rsidRPr="00A53F18">
        <w:rPr>
          <w:szCs w:val="24"/>
        </w:rPr>
        <w:t xml:space="preserve"> tant sur l’accusé que (surtout)</w:t>
      </w:r>
      <w:r w:rsidR="007B6D54" w:rsidRPr="00A53F18">
        <w:rPr>
          <w:szCs w:val="24"/>
        </w:rPr>
        <w:t xml:space="preserve"> sur la société dans son ensemble.</w:t>
      </w:r>
      <w:r w:rsidRPr="00A53F18">
        <w:rPr>
          <w:szCs w:val="24"/>
        </w:rPr>
        <w:t xml:space="preserve"> Ainsi la pensée du milanais </w:t>
      </w:r>
      <w:r w:rsidR="00566FE1">
        <w:rPr>
          <w:szCs w:val="24"/>
        </w:rPr>
        <w:t>réfléchit-elle</w:t>
      </w:r>
      <w:r w:rsidRPr="00A53F18">
        <w:rPr>
          <w:szCs w:val="24"/>
        </w:rPr>
        <w:t xml:space="preserve"> les approximations du droit international pénal et réfléchir à sa faisabilité, pratique et théorique.</w:t>
      </w:r>
    </w:p>
    <w:p w:rsidR="008D7978" w:rsidRPr="00A53F18" w:rsidRDefault="008D7978" w:rsidP="00DF42A6">
      <w:pPr>
        <w:pStyle w:val="Footer1"/>
        <w:tabs>
          <w:tab w:val="clear" w:pos="9072"/>
          <w:tab w:val="right" w:pos="9046"/>
        </w:tabs>
        <w:spacing w:before="0" w:after="0"/>
        <w:jc w:val="both"/>
        <w:rPr>
          <w:szCs w:val="24"/>
        </w:rPr>
      </w:pPr>
    </w:p>
    <w:p w:rsidR="007E565D" w:rsidRPr="00A53F18" w:rsidRDefault="007E565D" w:rsidP="00DF42A6">
      <w:pPr>
        <w:pStyle w:val="Footer1"/>
        <w:tabs>
          <w:tab w:val="clear" w:pos="9072"/>
          <w:tab w:val="right" w:pos="9046"/>
        </w:tabs>
        <w:spacing w:before="0" w:after="0"/>
        <w:jc w:val="both"/>
        <w:rPr>
          <w:b/>
          <w:szCs w:val="24"/>
        </w:rPr>
      </w:pPr>
      <w:r w:rsidRPr="00A53F18">
        <w:rPr>
          <w:b/>
          <w:szCs w:val="24"/>
        </w:rPr>
        <w:t xml:space="preserve">II. </w:t>
      </w:r>
      <w:r w:rsidR="009E4E5B" w:rsidRPr="00A53F18">
        <w:rPr>
          <w:b/>
          <w:szCs w:val="24"/>
        </w:rPr>
        <w:t>De Milan à La Haye</w:t>
      </w:r>
      <w:r w:rsidR="00402D9C" w:rsidRPr="00A53F18">
        <w:rPr>
          <w:b/>
          <w:szCs w:val="24"/>
        </w:rPr>
        <w:t xml:space="preserve"> </w:t>
      </w:r>
    </w:p>
    <w:p w:rsidR="000056AC" w:rsidRPr="00A53F18" w:rsidRDefault="000056AC" w:rsidP="00DF42A6">
      <w:pPr>
        <w:pStyle w:val="Footer1"/>
        <w:tabs>
          <w:tab w:val="clear" w:pos="9072"/>
          <w:tab w:val="right" w:pos="9046"/>
        </w:tabs>
        <w:spacing w:before="0" w:after="0"/>
        <w:jc w:val="both"/>
        <w:rPr>
          <w:szCs w:val="24"/>
        </w:rPr>
      </w:pPr>
    </w:p>
    <w:p w:rsidR="00606B84" w:rsidRPr="00A53F18" w:rsidRDefault="00606B84" w:rsidP="00DF42A6">
      <w:pPr>
        <w:pStyle w:val="Footer1"/>
        <w:tabs>
          <w:tab w:val="clear" w:pos="9072"/>
          <w:tab w:val="right" w:pos="9046"/>
        </w:tabs>
        <w:spacing w:before="0" w:after="0"/>
        <w:jc w:val="both"/>
        <w:rPr>
          <w:szCs w:val="24"/>
        </w:rPr>
      </w:pPr>
      <w:r w:rsidRPr="00A53F18">
        <w:rPr>
          <w:szCs w:val="24"/>
        </w:rPr>
        <w:t xml:space="preserve">Une </w:t>
      </w:r>
      <w:r w:rsidR="00ED792F" w:rsidRPr="00A53F18">
        <w:rPr>
          <w:szCs w:val="24"/>
        </w:rPr>
        <w:t xml:space="preserve">analyse « en miroir » de la </w:t>
      </w:r>
      <w:r w:rsidRPr="00A53F18">
        <w:rPr>
          <w:szCs w:val="24"/>
        </w:rPr>
        <w:t xml:space="preserve">notion de </w:t>
      </w:r>
      <w:r w:rsidR="00ED792F" w:rsidRPr="00A53F18">
        <w:rPr>
          <w:szCs w:val="24"/>
        </w:rPr>
        <w:t>proportionnalité chez Beccaria et dans le projet actuel d’une</w:t>
      </w:r>
      <w:r w:rsidRPr="00A53F18">
        <w:rPr>
          <w:szCs w:val="24"/>
        </w:rPr>
        <w:t xml:space="preserve"> justice internationale pénale permet de donner du corps à l’analyse critique du droit contemporain. Confronter les principes discutés par le marquis milanais aux pratiques et objectifs des tribunaux internationaux permet de discuter de la profondeur des uns, de la légi</w:t>
      </w:r>
      <w:r w:rsidR="00A53F18">
        <w:rPr>
          <w:szCs w:val="24"/>
        </w:rPr>
        <w:t>ti</w:t>
      </w:r>
      <w:r w:rsidRPr="00A53F18">
        <w:rPr>
          <w:szCs w:val="24"/>
        </w:rPr>
        <w:t xml:space="preserve">mité des autres, et de réfléchir au droit pénal en général. Dans cette seconde partie de notre article, nous tentons de mener </w:t>
      </w:r>
      <w:r w:rsidR="00CF407C" w:rsidRPr="00A53F18">
        <w:rPr>
          <w:szCs w:val="24"/>
        </w:rPr>
        <w:t xml:space="preserve">la démonstration à son terme </w:t>
      </w:r>
      <w:r w:rsidRPr="00A53F18">
        <w:rPr>
          <w:szCs w:val="24"/>
        </w:rPr>
        <w:t xml:space="preserve">: pour sortir de l’impasse d’une proportionnalité indispensable mais inapplicable aux crimes internationaux, nous formulons deux </w:t>
      </w:r>
      <w:r w:rsidR="00A53F18">
        <w:rPr>
          <w:szCs w:val="24"/>
        </w:rPr>
        <w:t>propositi</w:t>
      </w:r>
      <w:r w:rsidR="00CF407C" w:rsidRPr="00A53F18">
        <w:rPr>
          <w:szCs w:val="24"/>
        </w:rPr>
        <w:t>on</w:t>
      </w:r>
      <w:r w:rsidR="00A53F18">
        <w:rPr>
          <w:szCs w:val="24"/>
        </w:rPr>
        <w:t>s. La première opère</w:t>
      </w:r>
      <w:r w:rsidR="00CF407C" w:rsidRPr="00A53F18">
        <w:rPr>
          <w:szCs w:val="24"/>
        </w:rPr>
        <w:t xml:space="preserve"> un « retour » à certains prescrits de Cesare Beccaria, la seconde s’en éloigne pa</w:t>
      </w:r>
      <w:r w:rsidR="00A53F18" w:rsidRPr="00A53F18">
        <w:rPr>
          <w:szCs w:val="24"/>
        </w:rPr>
        <w:t>r un utopisme plus radical, mais renvoie néanmoins à plusieurs fondamentaux du droit pénal beccarien.</w:t>
      </w:r>
    </w:p>
    <w:p w:rsidR="00CF407C" w:rsidRPr="00A53F18" w:rsidRDefault="00CF407C" w:rsidP="00DF42A6">
      <w:pPr>
        <w:pStyle w:val="Footer1"/>
        <w:tabs>
          <w:tab w:val="clear" w:pos="9072"/>
          <w:tab w:val="right" w:pos="9046"/>
        </w:tabs>
        <w:spacing w:before="0" w:after="0"/>
        <w:jc w:val="both"/>
        <w:rPr>
          <w:szCs w:val="24"/>
        </w:rPr>
      </w:pPr>
    </w:p>
    <w:p w:rsidR="00402D9C" w:rsidRPr="00A53F18" w:rsidRDefault="00ED792F" w:rsidP="00DF42A6">
      <w:pPr>
        <w:pStyle w:val="Footer1"/>
        <w:tabs>
          <w:tab w:val="clear" w:pos="9072"/>
          <w:tab w:val="right" w:pos="9046"/>
        </w:tabs>
        <w:spacing w:before="0" w:after="0"/>
        <w:jc w:val="both"/>
        <w:rPr>
          <w:b/>
          <w:szCs w:val="24"/>
        </w:rPr>
      </w:pPr>
      <w:r w:rsidRPr="00A53F18">
        <w:rPr>
          <w:b/>
          <w:szCs w:val="24"/>
        </w:rPr>
        <w:t>a. Revenir à certains</w:t>
      </w:r>
      <w:r w:rsidR="00402D9C" w:rsidRPr="00A53F18">
        <w:rPr>
          <w:b/>
          <w:szCs w:val="24"/>
        </w:rPr>
        <w:t xml:space="preserve"> fondamentaux </w:t>
      </w:r>
    </w:p>
    <w:p w:rsidR="00BD2304" w:rsidRPr="00A53F18" w:rsidRDefault="00BD2304" w:rsidP="00DF42A6">
      <w:pPr>
        <w:pStyle w:val="Footer1"/>
        <w:tabs>
          <w:tab w:val="clear" w:pos="9072"/>
          <w:tab w:val="right" w:pos="9046"/>
        </w:tabs>
        <w:spacing w:before="0" w:after="0"/>
        <w:jc w:val="both"/>
        <w:rPr>
          <w:szCs w:val="24"/>
        </w:rPr>
      </w:pPr>
    </w:p>
    <w:p w:rsidR="00FE2122" w:rsidRPr="00A53F18" w:rsidRDefault="00BD2304" w:rsidP="00DF42A6">
      <w:pPr>
        <w:pStyle w:val="Footer1"/>
        <w:tabs>
          <w:tab w:val="clear" w:pos="9072"/>
          <w:tab w:val="right" w:pos="9046"/>
        </w:tabs>
        <w:spacing w:before="0" w:after="0"/>
        <w:jc w:val="both"/>
        <w:rPr>
          <w:szCs w:val="24"/>
        </w:rPr>
      </w:pPr>
      <w:r w:rsidRPr="00A53F18">
        <w:rPr>
          <w:szCs w:val="24"/>
        </w:rPr>
        <w:t>La</w:t>
      </w:r>
      <w:r w:rsidR="007E565D" w:rsidRPr="00A53F18">
        <w:rPr>
          <w:szCs w:val="24"/>
        </w:rPr>
        <w:t xml:space="preserve"> jurisprudence des juridi</w:t>
      </w:r>
      <w:r w:rsidRPr="00A53F18">
        <w:rPr>
          <w:szCs w:val="24"/>
        </w:rPr>
        <w:t>ctions internationales pénales permet d’</w:t>
      </w:r>
      <w:r w:rsidR="00A53F18" w:rsidRPr="00A53F18">
        <w:rPr>
          <w:szCs w:val="24"/>
        </w:rPr>
        <w:t>esquisser</w:t>
      </w:r>
      <w:r w:rsidRPr="00A53F18">
        <w:rPr>
          <w:szCs w:val="24"/>
        </w:rPr>
        <w:t xml:space="preserve"> deux conceptions nouvelles du principe de proportionnalité : la première</w:t>
      </w:r>
      <w:r w:rsidR="00D666C4" w:rsidRPr="00A53F18">
        <w:rPr>
          <w:szCs w:val="24"/>
        </w:rPr>
        <w:t xml:space="preserve"> relève davantage du rétributivisme (fut-il contemporain, comme chez Andrew von Hirsch par exemple</w:t>
      </w:r>
      <w:r w:rsidRPr="00A53F18">
        <w:rPr>
          <w:rStyle w:val="Marquenotebasdepage"/>
          <w:szCs w:val="24"/>
        </w:rPr>
        <w:footnoteReference w:id="42"/>
      </w:r>
      <w:r w:rsidR="00D666C4" w:rsidRPr="00A53F18">
        <w:rPr>
          <w:szCs w:val="24"/>
        </w:rPr>
        <w:t>)</w:t>
      </w:r>
      <w:r w:rsidRPr="00A53F18">
        <w:rPr>
          <w:szCs w:val="24"/>
        </w:rPr>
        <w:t>,</w:t>
      </w:r>
      <w:r w:rsidR="00D666C4" w:rsidRPr="00A53F18">
        <w:rPr>
          <w:szCs w:val="24"/>
        </w:rPr>
        <w:t xml:space="preserve"> </w:t>
      </w:r>
      <w:r w:rsidRPr="00A53F18">
        <w:rPr>
          <w:szCs w:val="24"/>
        </w:rPr>
        <w:t>en ce qu’elle s’attache à la graduation de la peine selon le crime</w:t>
      </w:r>
      <w:r w:rsidR="00D666C4" w:rsidRPr="00A53F18">
        <w:rPr>
          <w:szCs w:val="24"/>
        </w:rPr>
        <w:t xml:space="preserve"> – </w:t>
      </w:r>
      <w:r w:rsidR="00606B84" w:rsidRPr="00A53F18">
        <w:rPr>
          <w:szCs w:val="24"/>
        </w:rPr>
        <w:t xml:space="preserve">elle paraît impossible </w:t>
      </w:r>
      <w:r w:rsidRPr="00A53F18">
        <w:rPr>
          <w:szCs w:val="24"/>
        </w:rPr>
        <w:t>au vu de la lourdeur des actes saisis par la justice internationale p</w:t>
      </w:r>
      <w:r w:rsidR="00066F24" w:rsidRPr="00A53F18">
        <w:rPr>
          <w:szCs w:val="24"/>
        </w:rPr>
        <w:t>énale</w:t>
      </w:r>
      <w:r w:rsidR="00EB1442" w:rsidRPr="00A53F18">
        <w:rPr>
          <w:szCs w:val="24"/>
        </w:rPr>
        <w:t xml:space="preserve">, mais pourrait reprendre vigueur si l’on accepte de </w:t>
      </w:r>
      <w:r w:rsidR="0056754D">
        <w:rPr>
          <w:szCs w:val="24"/>
        </w:rPr>
        <w:t>déplacer le « curseur » des peines au niveau international</w:t>
      </w:r>
      <w:r w:rsidR="00066F24" w:rsidRPr="00A53F18">
        <w:rPr>
          <w:szCs w:val="24"/>
        </w:rPr>
        <w:t>. La seconde consiste en une définition du</w:t>
      </w:r>
      <w:r w:rsidRPr="00A53F18">
        <w:rPr>
          <w:szCs w:val="24"/>
        </w:rPr>
        <w:t xml:space="preserve"> </w:t>
      </w:r>
      <w:r w:rsidR="00157F0C" w:rsidRPr="00A53F18">
        <w:rPr>
          <w:szCs w:val="24"/>
        </w:rPr>
        <w:t xml:space="preserve">principe de proportionnalité </w:t>
      </w:r>
      <w:r w:rsidR="00066F24" w:rsidRPr="00A53F18">
        <w:rPr>
          <w:szCs w:val="24"/>
        </w:rPr>
        <w:t>en vertu des</w:t>
      </w:r>
      <w:r w:rsidRPr="00A53F18">
        <w:rPr>
          <w:szCs w:val="24"/>
        </w:rPr>
        <w:t xml:space="preserve"> </w:t>
      </w:r>
      <w:r w:rsidRPr="00A53F18">
        <w:rPr>
          <w:i/>
          <w:szCs w:val="24"/>
        </w:rPr>
        <w:t>bu</w:t>
      </w:r>
      <w:r w:rsidR="00066F24" w:rsidRPr="00A53F18">
        <w:rPr>
          <w:i/>
          <w:szCs w:val="24"/>
        </w:rPr>
        <w:t>ts</w:t>
      </w:r>
      <w:r w:rsidR="00066F24" w:rsidRPr="00A53F18">
        <w:rPr>
          <w:szCs w:val="24"/>
        </w:rPr>
        <w:t xml:space="preserve"> poursuivis par la sanction ; elle renvoie mieux au pragmatisme de Beccaria q</w:t>
      </w:r>
      <w:r w:rsidR="00EB1442" w:rsidRPr="00A53F18">
        <w:rPr>
          <w:szCs w:val="24"/>
        </w:rPr>
        <w:t>u’une loi du Talion qu’il n’a pa</w:t>
      </w:r>
      <w:r w:rsidR="00066F24" w:rsidRPr="00A53F18">
        <w:rPr>
          <w:szCs w:val="24"/>
        </w:rPr>
        <w:t>s prônée.</w:t>
      </w:r>
      <w:r w:rsidR="0056754D">
        <w:rPr>
          <w:szCs w:val="24"/>
        </w:rPr>
        <w:t xml:space="preserve"> Dans les deux </w:t>
      </w:r>
      <w:r w:rsidR="000571CD">
        <w:rPr>
          <w:szCs w:val="24"/>
        </w:rPr>
        <w:t xml:space="preserve">propositions, </w:t>
      </w:r>
      <w:r w:rsidR="0056754D">
        <w:rPr>
          <w:szCs w:val="24"/>
        </w:rPr>
        <w:t>une échelle des peines doit être mise en place.</w:t>
      </w:r>
    </w:p>
    <w:p w:rsidR="00BD2304" w:rsidRDefault="00BD2304" w:rsidP="00DF42A6">
      <w:pPr>
        <w:pStyle w:val="Footer1"/>
        <w:tabs>
          <w:tab w:val="clear" w:pos="9072"/>
          <w:tab w:val="right" w:pos="9046"/>
        </w:tabs>
        <w:spacing w:before="0" w:after="0"/>
        <w:jc w:val="both"/>
        <w:rPr>
          <w:szCs w:val="24"/>
        </w:rPr>
      </w:pPr>
    </w:p>
    <w:p w:rsidR="000571CD" w:rsidRDefault="000571CD" w:rsidP="0056754D">
      <w:pPr>
        <w:pStyle w:val="Footer1"/>
        <w:tabs>
          <w:tab w:val="clear" w:pos="9072"/>
          <w:tab w:val="right" w:pos="9046"/>
        </w:tabs>
        <w:spacing w:before="0" w:after="0"/>
        <w:jc w:val="both"/>
        <w:rPr>
          <w:szCs w:val="24"/>
        </w:rPr>
      </w:pPr>
      <w:r w:rsidRPr="00A53F18">
        <w:rPr>
          <w:szCs w:val="24"/>
        </w:rPr>
        <w:t>Sur base des appels à la modération lancés par Beccaria, dans un autre contexte certes, il nous paraît important d’appeler à une réflexion sur la sévérité pénale, dans la mesure des peines ainsi échelonnées. Si des peines de dix ou vingt ans d’emprisonnement peuvent sembler « légères », au vu de la pratique actuelle en droit pénal commun, elle n’en demeurent pas moins lourdes : il semble qu’à partir de 15 ans d’emprisonnement, des dégâts irréversibles soient causés chez les condamnés</w:t>
      </w:r>
      <w:r w:rsidRPr="00A53F18">
        <w:rPr>
          <w:rStyle w:val="FootnoteReference1"/>
          <w:sz w:val="24"/>
          <w:szCs w:val="24"/>
        </w:rPr>
        <w:footnoteReference w:id="43"/>
      </w:r>
      <w:r w:rsidRPr="00A53F18">
        <w:rPr>
          <w:szCs w:val="24"/>
        </w:rPr>
        <w:t xml:space="preserve">. A l’égard d’un voleur comme d’un génocidaire, la privation de liberté n’est pas une sanction anodine. Le déplacement du curseur des peines pourrait (devrait, même) le prendre en considération. </w:t>
      </w:r>
    </w:p>
    <w:p w:rsidR="000571CD" w:rsidRDefault="000571CD" w:rsidP="0056754D">
      <w:pPr>
        <w:pStyle w:val="Footer1"/>
        <w:tabs>
          <w:tab w:val="clear" w:pos="9072"/>
          <w:tab w:val="right" w:pos="9046"/>
        </w:tabs>
        <w:spacing w:before="0" w:after="0"/>
        <w:jc w:val="both"/>
        <w:rPr>
          <w:szCs w:val="24"/>
        </w:rPr>
      </w:pPr>
    </w:p>
    <w:p w:rsidR="0056754D" w:rsidRPr="00635837" w:rsidRDefault="000571CD" w:rsidP="0056754D">
      <w:pPr>
        <w:pStyle w:val="Footer1"/>
        <w:tabs>
          <w:tab w:val="clear" w:pos="9072"/>
          <w:tab w:val="right" w:pos="9046"/>
        </w:tabs>
        <w:spacing w:before="0" w:after="0"/>
        <w:jc w:val="both"/>
        <w:rPr>
          <w:szCs w:val="24"/>
        </w:rPr>
      </w:pPr>
      <w:r w:rsidRPr="00A53F18">
        <w:rPr>
          <w:szCs w:val="24"/>
        </w:rPr>
        <w:t xml:space="preserve">Partant d’une peine maximale de 30 ans de privation de liberté (seul </w:t>
      </w:r>
      <w:r w:rsidRPr="00A53F18">
        <w:rPr>
          <w:i/>
          <w:szCs w:val="24"/>
        </w:rPr>
        <w:t>quanta</w:t>
      </w:r>
      <w:r w:rsidRPr="00A53F18">
        <w:rPr>
          <w:szCs w:val="24"/>
        </w:rPr>
        <w:t xml:space="preserve"> mentionné dans le Statut de la CPI, hors la perpétuité qui nous semble inhumaine), les autres peines seraient progressivement réduites, diminuant au fur et à mesure que s’atténue la gra</w:t>
      </w:r>
      <w:r>
        <w:rPr>
          <w:szCs w:val="24"/>
        </w:rPr>
        <w:t xml:space="preserve">vité du crime. C’est là notre </w:t>
      </w:r>
      <w:r w:rsidR="0056754D" w:rsidRPr="0056754D">
        <w:rPr>
          <w:szCs w:val="24"/>
        </w:rPr>
        <w:t xml:space="preserve">première </w:t>
      </w:r>
      <w:r>
        <w:rPr>
          <w:szCs w:val="24"/>
        </w:rPr>
        <w:t xml:space="preserve">proposition, qui consiste en une </w:t>
      </w:r>
      <w:r w:rsidR="0056754D" w:rsidRPr="0056754D">
        <w:rPr>
          <w:szCs w:val="24"/>
        </w:rPr>
        <w:t xml:space="preserve">« dénationalisation » de </w:t>
      </w:r>
      <w:r w:rsidR="0056754D" w:rsidRPr="00635837">
        <w:rPr>
          <w:szCs w:val="24"/>
        </w:rPr>
        <w:t>la quotité de la peine</w:t>
      </w:r>
      <w:r>
        <w:rPr>
          <w:szCs w:val="24"/>
        </w:rPr>
        <w:t> : un crime de guerre pourrait être puni de deux ans de privation de liberté, sans référence aux crimes de droit commun sanctionnés de la même peine</w:t>
      </w:r>
      <w:r w:rsidR="0056754D" w:rsidRPr="00635837">
        <w:rPr>
          <w:szCs w:val="24"/>
        </w:rPr>
        <w:t xml:space="preserve">. En effet, en usant de l’outil pénal tel qu’utilisé aujourd’hui pour juger les </w:t>
      </w:r>
      <w:r w:rsidR="0056754D" w:rsidRPr="0006700C">
        <w:rPr>
          <w:szCs w:val="24"/>
        </w:rPr>
        <w:t>crimes internationaux</w:t>
      </w:r>
      <w:r w:rsidR="0056754D" w:rsidRPr="0056754D">
        <w:rPr>
          <w:szCs w:val="24"/>
        </w:rPr>
        <w:t xml:space="preserve">, </w:t>
      </w:r>
      <w:r w:rsidR="0056754D" w:rsidRPr="00635837">
        <w:rPr>
          <w:szCs w:val="24"/>
        </w:rPr>
        <w:t>les Etats ont gardé le</w:t>
      </w:r>
      <w:r>
        <w:rPr>
          <w:szCs w:val="24"/>
        </w:rPr>
        <w:t>urs</w:t>
      </w:r>
      <w:r w:rsidR="0056754D" w:rsidRPr="00635837">
        <w:rPr>
          <w:szCs w:val="24"/>
        </w:rPr>
        <w:t xml:space="preserve"> référents nationaux en matière de pénalité (les travaux préparatoires du Statut de la </w:t>
      </w:r>
      <w:r w:rsidR="0056754D" w:rsidRPr="0006700C">
        <w:rPr>
          <w:szCs w:val="24"/>
        </w:rPr>
        <w:t>CPI</w:t>
      </w:r>
      <w:r w:rsidR="0056754D" w:rsidRPr="00635837">
        <w:rPr>
          <w:szCs w:val="24"/>
        </w:rPr>
        <w:t xml:space="preserve"> sont ici révélateurs</w:t>
      </w:r>
      <w:r>
        <w:rPr>
          <w:rStyle w:val="Marquenotebasdepage"/>
          <w:szCs w:val="24"/>
        </w:rPr>
        <w:footnoteReference w:id="44"/>
      </w:r>
      <w:r w:rsidR="0056754D" w:rsidRPr="00635837">
        <w:rPr>
          <w:szCs w:val="24"/>
        </w:rPr>
        <w:t xml:space="preserve">), </w:t>
      </w:r>
      <w:r>
        <w:rPr>
          <w:szCs w:val="24"/>
        </w:rPr>
        <w:t>face pourtant à des infractions extraordinaires, fut-ce seulement par leur contexte ou leur caractère collectif</w:t>
      </w:r>
      <w:r w:rsidR="0056754D" w:rsidRPr="00635837">
        <w:rPr>
          <w:szCs w:val="24"/>
        </w:rPr>
        <w:t xml:space="preserve">. En posant le principe </w:t>
      </w:r>
      <w:r>
        <w:rPr>
          <w:szCs w:val="24"/>
        </w:rPr>
        <w:t>d’une répression exemplaire et nécessairement sévère</w:t>
      </w:r>
      <w:r w:rsidR="0056754D" w:rsidRPr="006E0AE5">
        <w:rPr>
          <w:szCs w:val="24"/>
        </w:rPr>
        <w:t xml:space="preserve">, la communauté internationale s’est privée de la possibilité </w:t>
      </w:r>
      <w:r>
        <w:rPr>
          <w:szCs w:val="24"/>
        </w:rPr>
        <w:t>de</w:t>
      </w:r>
      <w:r w:rsidR="0056754D" w:rsidRPr="006E0AE5">
        <w:rPr>
          <w:szCs w:val="24"/>
        </w:rPr>
        <w:t xml:space="preserve"> proportionner</w:t>
      </w:r>
      <w:r>
        <w:rPr>
          <w:szCs w:val="24"/>
        </w:rPr>
        <w:t xml:space="preserve"> les peines</w:t>
      </w:r>
      <w:r w:rsidR="0056754D" w:rsidRPr="006E0AE5">
        <w:rPr>
          <w:szCs w:val="24"/>
        </w:rPr>
        <w:t xml:space="preserve"> aux crimes jugés. Les </w:t>
      </w:r>
      <w:r w:rsidR="0056754D" w:rsidRPr="0006700C">
        <w:rPr>
          <w:szCs w:val="24"/>
        </w:rPr>
        <w:t>Tribunaux pénaux internationaux</w:t>
      </w:r>
      <w:r w:rsidR="0056754D" w:rsidRPr="00635837">
        <w:rPr>
          <w:szCs w:val="24"/>
        </w:rPr>
        <w:t xml:space="preserve"> auraient dû aménager les sanctions en fonction des crimes auxquels ils sont confrontés. Cela n’a néanmoins pas été totalement possible parce que les référents utilisés pour sanctionner les </w:t>
      </w:r>
      <w:r w:rsidR="0056754D" w:rsidRPr="0006700C">
        <w:rPr>
          <w:szCs w:val="24"/>
        </w:rPr>
        <w:t>crimes internationaux</w:t>
      </w:r>
      <w:r w:rsidR="0056754D" w:rsidRPr="00635837">
        <w:rPr>
          <w:szCs w:val="24"/>
        </w:rPr>
        <w:t xml:space="preserve"> sont les mêmes que ceux existant pour les crimes nationaux (ou de droit commun – hors crimes internationaux)</w:t>
      </w:r>
      <w:r w:rsidR="0056754D" w:rsidRPr="00635837">
        <w:rPr>
          <w:rStyle w:val="FootnoteReference1"/>
          <w:sz w:val="24"/>
          <w:szCs w:val="24"/>
        </w:rPr>
        <w:footnoteReference w:id="45"/>
      </w:r>
      <w:r w:rsidR="0056754D" w:rsidRPr="00635837">
        <w:rPr>
          <w:szCs w:val="24"/>
        </w:rPr>
        <w:t xml:space="preserve">. </w:t>
      </w:r>
      <w:r w:rsidR="00635837" w:rsidRPr="003C6F26">
        <w:rPr>
          <w:szCs w:val="24"/>
        </w:rPr>
        <w:t>« </w:t>
      </w:r>
      <w:r>
        <w:rPr>
          <w:szCs w:val="24"/>
        </w:rPr>
        <w:t>M</w:t>
      </w:r>
      <w:r w:rsidR="00635837" w:rsidRPr="003C6F26">
        <w:rPr>
          <w:szCs w:val="24"/>
        </w:rPr>
        <w:t xml:space="preserve">onétariser » les </w:t>
      </w:r>
      <w:r w:rsidR="00635837" w:rsidRPr="0006700C">
        <w:rPr>
          <w:szCs w:val="24"/>
        </w:rPr>
        <w:t>sanctions pénales</w:t>
      </w:r>
      <w:r w:rsidR="00635837" w:rsidRPr="00635837">
        <w:rPr>
          <w:szCs w:val="24"/>
        </w:rPr>
        <w:t xml:space="preserve"> en droit international, indépendamment des référents nationaux, les « dénationaliser »</w:t>
      </w:r>
      <w:r>
        <w:rPr>
          <w:szCs w:val="24"/>
        </w:rPr>
        <w:t xml:space="preserve">, </w:t>
      </w:r>
      <w:r w:rsidR="00635837" w:rsidRPr="00635837">
        <w:rPr>
          <w:szCs w:val="24"/>
        </w:rPr>
        <w:t>permettrait de créer une échelle graduée des peines</w:t>
      </w:r>
      <w:r w:rsidR="00635837" w:rsidRPr="006E0AE5">
        <w:rPr>
          <w:rStyle w:val="FootnoteReference1"/>
        </w:rPr>
        <w:footnoteReference w:id="46"/>
      </w:r>
      <w:r w:rsidR="00635837" w:rsidRPr="006E0AE5">
        <w:rPr>
          <w:szCs w:val="24"/>
        </w:rPr>
        <w:t>, propre au droit international pénal, et de catégoriser les différents crimes en lien avec leur gravité, tout en</w:t>
      </w:r>
      <w:r w:rsidR="00635837" w:rsidRPr="003C6F26">
        <w:rPr>
          <w:szCs w:val="24"/>
        </w:rPr>
        <w:t xml:space="preserve"> respectant un principe de </w:t>
      </w:r>
      <w:r w:rsidR="00635837" w:rsidRPr="0006700C">
        <w:rPr>
          <w:szCs w:val="24"/>
        </w:rPr>
        <w:t>proportionnalité</w:t>
      </w:r>
      <w:r w:rsidR="00635837" w:rsidRPr="00635837">
        <w:rPr>
          <w:szCs w:val="24"/>
        </w:rPr>
        <w:t xml:space="preserve"> aménagé</w:t>
      </w:r>
      <w:r w:rsidR="00635837">
        <w:rPr>
          <w:szCs w:val="24"/>
        </w:rPr>
        <w:t xml:space="preserve"> et redéfini</w:t>
      </w:r>
      <w:r w:rsidR="00635837" w:rsidRPr="006F5A9C">
        <w:rPr>
          <w:szCs w:val="24"/>
        </w:rPr>
        <w:t>.</w:t>
      </w:r>
    </w:p>
    <w:p w:rsidR="0056754D" w:rsidRDefault="0056754D" w:rsidP="00DF42A6">
      <w:pPr>
        <w:pStyle w:val="Footer1"/>
        <w:tabs>
          <w:tab w:val="clear" w:pos="9072"/>
          <w:tab w:val="right" w:pos="9046"/>
        </w:tabs>
        <w:spacing w:before="0" w:after="0"/>
        <w:jc w:val="both"/>
        <w:rPr>
          <w:szCs w:val="24"/>
        </w:rPr>
      </w:pPr>
    </w:p>
    <w:p w:rsidR="00730E31" w:rsidRPr="00A53F18" w:rsidRDefault="000571CD" w:rsidP="00DF42A6">
      <w:pPr>
        <w:pStyle w:val="Footer1"/>
        <w:tabs>
          <w:tab w:val="clear" w:pos="9072"/>
          <w:tab w:val="right" w:pos="9046"/>
        </w:tabs>
        <w:spacing w:before="0" w:after="0"/>
        <w:jc w:val="both"/>
        <w:rPr>
          <w:szCs w:val="24"/>
        </w:rPr>
      </w:pPr>
      <w:r>
        <w:rPr>
          <w:szCs w:val="24"/>
        </w:rPr>
        <w:t>Notre</w:t>
      </w:r>
      <w:r w:rsidR="0056754D">
        <w:rPr>
          <w:szCs w:val="24"/>
        </w:rPr>
        <w:t xml:space="preserve"> seconde </w:t>
      </w:r>
      <w:r>
        <w:rPr>
          <w:szCs w:val="24"/>
        </w:rPr>
        <w:t>proposition</w:t>
      </w:r>
      <w:r w:rsidR="0056754D">
        <w:rPr>
          <w:szCs w:val="24"/>
        </w:rPr>
        <w:t xml:space="preserve"> </w:t>
      </w:r>
      <w:r>
        <w:rPr>
          <w:szCs w:val="24"/>
        </w:rPr>
        <w:t xml:space="preserve">« pragmatique » </w:t>
      </w:r>
      <w:r w:rsidR="00D666C4" w:rsidRPr="00A53F18">
        <w:rPr>
          <w:szCs w:val="24"/>
        </w:rPr>
        <w:t>rallie</w:t>
      </w:r>
      <w:r w:rsidR="0056754D">
        <w:rPr>
          <w:szCs w:val="24"/>
        </w:rPr>
        <w:t xml:space="preserve"> </w:t>
      </w:r>
      <w:r w:rsidR="002B4866">
        <w:rPr>
          <w:szCs w:val="24"/>
        </w:rPr>
        <w:t xml:space="preserve">une part </w:t>
      </w:r>
      <w:r w:rsidR="00963D1D" w:rsidRPr="00A53F18">
        <w:rPr>
          <w:szCs w:val="24"/>
        </w:rPr>
        <w:t xml:space="preserve">la jurisprudence de la </w:t>
      </w:r>
      <w:r w:rsidR="00157F0C" w:rsidRPr="00A53F18">
        <w:rPr>
          <w:szCs w:val="24"/>
        </w:rPr>
        <w:t>Cour européenne des droits de l’Homme</w:t>
      </w:r>
      <w:r w:rsidR="00963D1D" w:rsidRPr="00A53F18">
        <w:rPr>
          <w:rStyle w:val="Marquenotebasdepage"/>
          <w:szCs w:val="24"/>
        </w:rPr>
        <w:footnoteReference w:id="47"/>
      </w:r>
      <w:r w:rsidR="00066F24" w:rsidRPr="00A53F18">
        <w:rPr>
          <w:szCs w:val="24"/>
        </w:rPr>
        <w:t> : il s’agit</w:t>
      </w:r>
      <w:r w:rsidR="00D666C4" w:rsidRPr="00A53F18">
        <w:rPr>
          <w:szCs w:val="24"/>
        </w:rPr>
        <w:t xml:space="preserve"> de déterminer la peine selon les objectifs poursuivis par son prononcé. La prévention, impliquant par exemple une neutralisation de l’accusé, </w:t>
      </w:r>
      <w:r w:rsidR="00066F24" w:rsidRPr="00A53F18">
        <w:rPr>
          <w:szCs w:val="24"/>
        </w:rPr>
        <w:t>mènerait probablement</w:t>
      </w:r>
      <w:r w:rsidR="00D666C4" w:rsidRPr="00A53F18">
        <w:rPr>
          <w:szCs w:val="24"/>
        </w:rPr>
        <w:t xml:space="preserve"> à un prononcé différent de la réparation des dommages causés. </w:t>
      </w:r>
      <w:r w:rsidR="00963D1D" w:rsidRPr="00A53F18">
        <w:rPr>
          <w:szCs w:val="24"/>
        </w:rPr>
        <w:t>Selon les Tribunaux pénaux internationaux</w:t>
      </w:r>
      <w:r w:rsidR="00D666C4" w:rsidRPr="00A53F18">
        <w:rPr>
          <w:szCs w:val="24"/>
        </w:rPr>
        <w:t>,</w:t>
      </w:r>
      <w:r w:rsidR="00963D1D" w:rsidRPr="00A53F18">
        <w:rPr>
          <w:szCs w:val="24"/>
        </w:rPr>
        <w:t xml:space="preserve"> les objectifs de la sanction pénale sont </w:t>
      </w:r>
      <w:r w:rsidR="00066F24" w:rsidRPr="00A53F18">
        <w:rPr>
          <w:szCs w:val="24"/>
        </w:rPr>
        <w:t>principalement</w:t>
      </w:r>
      <w:r w:rsidR="00963D1D" w:rsidRPr="00A53F18">
        <w:rPr>
          <w:szCs w:val="24"/>
        </w:rPr>
        <w:t xml:space="preserve"> la rétribution</w:t>
      </w:r>
      <w:r w:rsidR="00066F24" w:rsidRPr="00A53F18">
        <w:rPr>
          <w:szCs w:val="24"/>
        </w:rPr>
        <w:t xml:space="preserve"> (qui constitue </w:t>
      </w:r>
      <w:r>
        <w:rPr>
          <w:szCs w:val="24"/>
        </w:rPr>
        <w:t xml:space="preserve">cependant </w:t>
      </w:r>
      <w:r w:rsidR="00066F24" w:rsidRPr="00A53F18">
        <w:rPr>
          <w:szCs w:val="24"/>
        </w:rPr>
        <w:t xml:space="preserve">un fondement </w:t>
      </w:r>
      <w:r>
        <w:rPr>
          <w:szCs w:val="24"/>
        </w:rPr>
        <w:t>plutôt</w:t>
      </w:r>
      <w:r w:rsidRPr="00A53F18">
        <w:rPr>
          <w:szCs w:val="24"/>
        </w:rPr>
        <w:t xml:space="preserve"> </w:t>
      </w:r>
      <w:r w:rsidR="00066F24" w:rsidRPr="00A53F18">
        <w:rPr>
          <w:szCs w:val="24"/>
        </w:rPr>
        <w:t>qu’un objectif</w:t>
      </w:r>
      <w:r w:rsidR="00066F24" w:rsidRPr="00A53F18">
        <w:rPr>
          <w:rStyle w:val="Marquenotebasdepage"/>
          <w:szCs w:val="24"/>
        </w:rPr>
        <w:footnoteReference w:id="48"/>
      </w:r>
      <w:r w:rsidR="00066F24" w:rsidRPr="00A53F18">
        <w:rPr>
          <w:szCs w:val="24"/>
        </w:rPr>
        <w:t>)</w:t>
      </w:r>
      <w:r w:rsidR="00D666C4" w:rsidRPr="00A53F18">
        <w:rPr>
          <w:szCs w:val="24"/>
        </w:rPr>
        <w:t xml:space="preserve"> et</w:t>
      </w:r>
      <w:r w:rsidR="00963D1D" w:rsidRPr="00A53F18">
        <w:rPr>
          <w:szCs w:val="24"/>
        </w:rPr>
        <w:t xml:space="preserve"> la prévention générale</w:t>
      </w:r>
      <w:r w:rsidR="00066F24" w:rsidRPr="00A53F18">
        <w:rPr>
          <w:szCs w:val="24"/>
        </w:rPr>
        <w:t> ; s’y ajoutent, à titre moins prioritaire, la prévention spéciale,</w:t>
      </w:r>
      <w:r w:rsidR="00963D1D" w:rsidRPr="00A53F18">
        <w:rPr>
          <w:szCs w:val="24"/>
        </w:rPr>
        <w:t xml:space="preserve"> la réhabilita</w:t>
      </w:r>
      <w:r w:rsidR="00066F24" w:rsidRPr="00A53F18">
        <w:rPr>
          <w:szCs w:val="24"/>
        </w:rPr>
        <w:t>tion</w:t>
      </w:r>
      <w:r w:rsidR="00963D1D" w:rsidRPr="00A53F18">
        <w:rPr>
          <w:rStyle w:val="Marquenotebasdepage"/>
          <w:szCs w:val="24"/>
        </w:rPr>
        <w:footnoteReference w:id="49"/>
      </w:r>
      <w:r w:rsidR="00066F24" w:rsidRPr="00A53F18">
        <w:rPr>
          <w:szCs w:val="24"/>
        </w:rPr>
        <w:t xml:space="preserve"> et la satisfaction des victimes (ou réparation)</w:t>
      </w:r>
      <w:r w:rsidR="00066F24" w:rsidRPr="00A53F18">
        <w:rPr>
          <w:rStyle w:val="Marquenotebasdepage"/>
          <w:szCs w:val="24"/>
        </w:rPr>
        <w:footnoteReference w:id="50"/>
      </w:r>
      <w:r w:rsidR="00963D1D" w:rsidRPr="00A53F18">
        <w:rPr>
          <w:szCs w:val="24"/>
        </w:rPr>
        <w:t xml:space="preserve">. </w:t>
      </w:r>
      <w:r w:rsidR="00066F24" w:rsidRPr="00A53F18">
        <w:rPr>
          <w:szCs w:val="24"/>
        </w:rPr>
        <w:t>Une telle justification de la proportionnalité des peines, entre elles et selon leurs propres objectifs, permettrait de limiter le flou</w:t>
      </w:r>
      <w:r>
        <w:rPr>
          <w:szCs w:val="24"/>
        </w:rPr>
        <w:t xml:space="preserve"> </w:t>
      </w:r>
      <w:r w:rsidRPr="00A53F18">
        <w:rPr>
          <w:szCs w:val="24"/>
        </w:rPr>
        <w:t>souvent dénoncé</w:t>
      </w:r>
      <w:r w:rsidR="00066F24" w:rsidRPr="00A53F18">
        <w:rPr>
          <w:szCs w:val="24"/>
        </w:rPr>
        <w:t xml:space="preserve"> des condamnations</w:t>
      </w:r>
      <w:r w:rsidR="00963D1D" w:rsidRPr="00A53F18">
        <w:rPr>
          <w:rStyle w:val="Marquenotebasdepage"/>
          <w:szCs w:val="24"/>
        </w:rPr>
        <w:footnoteReference w:id="51"/>
      </w:r>
      <w:r w:rsidR="00963D1D" w:rsidRPr="00A53F18">
        <w:rPr>
          <w:szCs w:val="24"/>
        </w:rPr>
        <w:t>.</w:t>
      </w:r>
    </w:p>
    <w:p w:rsidR="00DC3151" w:rsidRPr="00A53F18" w:rsidRDefault="00DC3151" w:rsidP="00DF42A6">
      <w:pPr>
        <w:pStyle w:val="Footer1"/>
        <w:tabs>
          <w:tab w:val="clear" w:pos="9072"/>
          <w:tab w:val="right" w:pos="9046"/>
        </w:tabs>
        <w:spacing w:before="0" w:after="0"/>
        <w:jc w:val="both"/>
        <w:rPr>
          <w:szCs w:val="24"/>
        </w:rPr>
      </w:pPr>
    </w:p>
    <w:p w:rsidR="00DC3151" w:rsidRPr="00A53F18" w:rsidRDefault="00DC3151" w:rsidP="00DF42A6">
      <w:pPr>
        <w:pStyle w:val="Footer1"/>
        <w:tabs>
          <w:tab w:val="clear" w:pos="9072"/>
          <w:tab w:val="right" w:pos="9046"/>
        </w:tabs>
        <w:spacing w:before="0" w:after="0"/>
        <w:jc w:val="both"/>
        <w:rPr>
          <w:szCs w:val="24"/>
        </w:rPr>
      </w:pPr>
      <w:r w:rsidRPr="00A53F18">
        <w:rPr>
          <w:szCs w:val="24"/>
        </w:rPr>
        <w:t xml:space="preserve">D’une réinterprétation du principe de proportionnalité à l’autre, nous retrouvons </w:t>
      </w:r>
      <w:r w:rsidR="000571CD">
        <w:rPr>
          <w:szCs w:val="24"/>
        </w:rPr>
        <w:t>là</w:t>
      </w:r>
      <w:r w:rsidR="000571CD" w:rsidRPr="00A53F18">
        <w:rPr>
          <w:szCs w:val="24"/>
        </w:rPr>
        <w:t xml:space="preserve"> </w:t>
      </w:r>
      <w:r w:rsidRPr="00A53F18">
        <w:rPr>
          <w:szCs w:val="24"/>
        </w:rPr>
        <w:t xml:space="preserve">certains fondamentaux de Beccaria. Le législateur n’est plus le souverain de l’Ancien </w:t>
      </w:r>
      <w:r w:rsidR="000571CD">
        <w:rPr>
          <w:szCs w:val="24"/>
        </w:rPr>
        <w:t>R</w:t>
      </w:r>
      <w:r w:rsidRPr="00A53F18">
        <w:rPr>
          <w:szCs w:val="24"/>
        </w:rPr>
        <w:t>égime mais la dite « communauté internationale », l’arbitraire est repensé sous forme d’une clémence ou d’une hégémonie,</w:t>
      </w:r>
      <w:r w:rsidR="000571CD">
        <w:rPr>
          <w:szCs w:val="24"/>
        </w:rPr>
        <w:t xml:space="preserve"> mais le calcul des peines demeure une clef de justice.</w:t>
      </w:r>
    </w:p>
    <w:p w:rsidR="00D96D3D" w:rsidRPr="00A53F18" w:rsidRDefault="00D96D3D" w:rsidP="00DF42A6">
      <w:pPr>
        <w:pStyle w:val="Footer1"/>
        <w:tabs>
          <w:tab w:val="clear" w:pos="9072"/>
          <w:tab w:val="right" w:pos="9046"/>
        </w:tabs>
        <w:spacing w:before="0" w:after="0"/>
        <w:jc w:val="both"/>
        <w:rPr>
          <w:szCs w:val="24"/>
        </w:rPr>
      </w:pPr>
    </w:p>
    <w:p w:rsidR="00DC3151" w:rsidRPr="00A53F18" w:rsidRDefault="00DC3151" w:rsidP="00DF42A6">
      <w:pPr>
        <w:pStyle w:val="Footer1"/>
        <w:tabs>
          <w:tab w:val="clear" w:pos="9072"/>
          <w:tab w:val="right" w:pos="9046"/>
        </w:tabs>
        <w:spacing w:before="0" w:after="0"/>
        <w:jc w:val="both"/>
        <w:rPr>
          <w:szCs w:val="24"/>
        </w:rPr>
      </w:pPr>
    </w:p>
    <w:p w:rsidR="009B4348" w:rsidRPr="00A53F18" w:rsidRDefault="00402D9C" w:rsidP="00DF4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Times New Roman" w:hAnsi="Times New Roman" w:cs="Times New Roman"/>
          <w:b/>
        </w:rPr>
      </w:pPr>
      <w:r w:rsidRPr="00A53F18">
        <w:rPr>
          <w:rFonts w:ascii="Times New Roman" w:hAnsi="Times New Roman" w:cs="Times New Roman"/>
          <w:b/>
        </w:rPr>
        <w:t>b. Dépasser Beccaria : l’utopie</w:t>
      </w:r>
    </w:p>
    <w:p w:rsidR="001D237B" w:rsidRPr="00A53F18" w:rsidRDefault="001D237B" w:rsidP="00DF42A6">
      <w:pPr>
        <w:jc w:val="both"/>
        <w:rPr>
          <w:rFonts w:ascii="Times New Roman" w:hAnsi="Times New Roman" w:cs="Times New Roman"/>
        </w:rPr>
      </w:pPr>
    </w:p>
    <w:p w:rsidR="00DF42A6" w:rsidRPr="00A53F18" w:rsidRDefault="00CF407C" w:rsidP="00DF42A6">
      <w:pPr>
        <w:jc w:val="both"/>
        <w:rPr>
          <w:rFonts w:ascii="Times New Roman" w:hAnsi="Times New Roman" w:cs="Times New Roman"/>
        </w:rPr>
      </w:pPr>
      <w:r w:rsidRPr="00A53F18">
        <w:rPr>
          <w:rFonts w:ascii="Times New Roman" w:hAnsi="Times New Roman" w:cs="Times New Roman"/>
        </w:rPr>
        <w:t xml:space="preserve">Seconde </w:t>
      </w:r>
      <w:r w:rsidR="000571CD">
        <w:rPr>
          <w:rFonts w:ascii="Times New Roman" w:hAnsi="Times New Roman" w:cs="Times New Roman"/>
        </w:rPr>
        <w:t xml:space="preserve">réaction </w:t>
      </w:r>
      <w:r w:rsidRPr="00A53F18">
        <w:rPr>
          <w:rFonts w:ascii="Times New Roman" w:hAnsi="Times New Roman" w:cs="Times New Roman"/>
        </w:rPr>
        <w:t>aux limites de la proportionnalité</w:t>
      </w:r>
      <w:r w:rsidR="000571CD">
        <w:rPr>
          <w:rFonts w:ascii="Times New Roman" w:hAnsi="Times New Roman" w:cs="Times New Roman"/>
        </w:rPr>
        <w:t xml:space="preserve"> en droit international pénal</w:t>
      </w:r>
      <w:r w:rsidRPr="00A53F18">
        <w:rPr>
          <w:rFonts w:ascii="Times New Roman" w:hAnsi="Times New Roman" w:cs="Times New Roman"/>
        </w:rPr>
        <w:t>, cette dernière section vise à rapprocher l’idée qu’il est des crimes « qu’on ne peut ni punir ni pardonner »</w:t>
      </w:r>
      <w:r w:rsidRPr="00A53F18">
        <w:rPr>
          <w:rStyle w:val="Marquenotebasdepage"/>
          <w:rFonts w:ascii="Times New Roman" w:hAnsi="Times New Roman" w:cs="Times New Roman"/>
        </w:rPr>
        <w:footnoteReference w:id="52"/>
      </w:r>
      <w:r w:rsidRPr="00A53F18">
        <w:rPr>
          <w:rFonts w:ascii="Times New Roman" w:hAnsi="Times New Roman" w:cs="Times New Roman"/>
        </w:rPr>
        <w:t xml:space="preserve"> de </w:t>
      </w:r>
      <w:r w:rsidR="009B4348" w:rsidRPr="00A53F18">
        <w:rPr>
          <w:rFonts w:ascii="Times New Roman" w:hAnsi="Times New Roman" w:cs="Times New Roman"/>
        </w:rPr>
        <w:t xml:space="preserve">l’idée beccarienne </w:t>
      </w:r>
      <w:r w:rsidRPr="00A53F18">
        <w:rPr>
          <w:rFonts w:ascii="Times New Roman" w:hAnsi="Times New Roman" w:cs="Times New Roman"/>
        </w:rPr>
        <w:t>selon laquelle</w:t>
      </w:r>
      <w:r w:rsidR="00DF42A6" w:rsidRPr="00A53F18">
        <w:rPr>
          <w:rFonts w:ascii="Times New Roman" w:hAnsi="Times New Roman" w:cs="Times New Roman"/>
        </w:rPr>
        <w:t xml:space="preserve"> les peines trop </w:t>
      </w:r>
      <w:r w:rsidR="00AE7DB8">
        <w:rPr>
          <w:rFonts w:ascii="Times New Roman" w:hAnsi="Times New Roman" w:cs="Times New Roman"/>
        </w:rPr>
        <w:t>sévères</w:t>
      </w:r>
      <w:r w:rsidR="00DF42A6" w:rsidRPr="00A53F18">
        <w:rPr>
          <w:rFonts w:ascii="Times New Roman" w:hAnsi="Times New Roman" w:cs="Times New Roman"/>
        </w:rPr>
        <w:t xml:space="preserve"> </w:t>
      </w:r>
      <w:r w:rsidR="009B4348" w:rsidRPr="00A53F18">
        <w:rPr>
          <w:rFonts w:ascii="Times New Roman" w:hAnsi="Times New Roman" w:cs="Times New Roman"/>
        </w:rPr>
        <w:t>empêchent que soit rendue justice et provoquent elles-mêmes, à terme</w:t>
      </w:r>
      <w:r w:rsidR="00AE7DB8">
        <w:rPr>
          <w:rFonts w:ascii="Times New Roman" w:hAnsi="Times New Roman" w:cs="Times New Roman"/>
        </w:rPr>
        <w:t xml:space="preserve"> et par leur propre violence</w:t>
      </w:r>
      <w:r w:rsidR="009B4348" w:rsidRPr="00A53F18">
        <w:rPr>
          <w:rFonts w:ascii="Times New Roman" w:hAnsi="Times New Roman" w:cs="Times New Roman"/>
        </w:rPr>
        <w:t>, l’impunité</w:t>
      </w:r>
      <w:r w:rsidR="00DF42A6" w:rsidRPr="00A53F18">
        <w:rPr>
          <w:rFonts w:ascii="Times New Roman" w:hAnsi="Times New Roman" w:cs="Times New Roman"/>
        </w:rPr>
        <w:t xml:space="preserve"> tant rejetée dans le discours international pénal</w:t>
      </w:r>
      <w:r w:rsidRPr="00A53F18">
        <w:rPr>
          <w:rStyle w:val="Marquenotebasdepage"/>
          <w:rFonts w:ascii="Times New Roman" w:hAnsi="Times New Roman" w:cs="Times New Roman"/>
        </w:rPr>
        <w:footnoteReference w:id="53"/>
      </w:r>
      <w:r w:rsidR="009B4348" w:rsidRPr="00A53F18">
        <w:rPr>
          <w:rFonts w:ascii="Times New Roman" w:hAnsi="Times New Roman" w:cs="Times New Roman"/>
        </w:rPr>
        <w:t xml:space="preserve">. </w:t>
      </w:r>
    </w:p>
    <w:p w:rsidR="00DF42A6" w:rsidRPr="00A53F18" w:rsidRDefault="00DF42A6" w:rsidP="00DF42A6">
      <w:pPr>
        <w:jc w:val="both"/>
        <w:rPr>
          <w:rFonts w:ascii="Times New Roman" w:hAnsi="Times New Roman" w:cs="Times New Roman"/>
        </w:rPr>
      </w:pPr>
    </w:p>
    <w:p w:rsidR="00DF42A6" w:rsidRPr="00A53F18" w:rsidRDefault="00DF42A6" w:rsidP="00DF42A6">
      <w:pPr>
        <w:jc w:val="both"/>
        <w:rPr>
          <w:rFonts w:ascii="Times New Roman" w:hAnsi="Times New Roman" w:cs="Times New Roman"/>
        </w:rPr>
      </w:pPr>
      <w:r w:rsidRPr="00A53F18">
        <w:rPr>
          <w:rFonts w:ascii="Times New Roman" w:hAnsi="Times New Roman" w:cs="Times New Roman"/>
        </w:rPr>
        <w:t>Cesare Beccaria avait pointé les l</w:t>
      </w:r>
      <w:r w:rsidR="00D96D3D" w:rsidRPr="00A53F18">
        <w:rPr>
          <w:rFonts w:ascii="Times New Roman" w:hAnsi="Times New Roman" w:cs="Times New Roman"/>
        </w:rPr>
        <w:t>imites de la sévérité pénale. E</w:t>
      </w:r>
      <w:r w:rsidRPr="00A53F18">
        <w:rPr>
          <w:rFonts w:ascii="Times New Roman" w:hAnsi="Times New Roman" w:cs="Times New Roman"/>
        </w:rPr>
        <w:t>n écho, on constate que</w:t>
      </w:r>
      <w:r w:rsidR="009B4348" w:rsidRPr="00A53F18">
        <w:rPr>
          <w:rFonts w:ascii="Times New Roman" w:hAnsi="Times New Roman" w:cs="Times New Roman"/>
        </w:rPr>
        <w:t xml:space="preserve"> les peines s’avèrent </w:t>
      </w:r>
      <w:r w:rsidRPr="00A53F18">
        <w:rPr>
          <w:rFonts w:ascii="Times New Roman" w:hAnsi="Times New Roman" w:cs="Times New Roman"/>
        </w:rPr>
        <w:t>assez</w:t>
      </w:r>
      <w:r w:rsidR="009B4348" w:rsidRPr="00A53F18">
        <w:rPr>
          <w:rFonts w:ascii="Times New Roman" w:hAnsi="Times New Roman" w:cs="Times New Roman"/>
        </w:rPr>
        <w:t xml:space="preserve"> inopérantes en droit international pénal</w:t>
      </w:r>
      <w:r w:rsidR="00D96D3D" w:rsidRPr="00A53F18">
        <w:rPr>
          <w:rFonts w:ascii="Times New Roman" w:hAnsi="Times New Roman" w:cs="Times New Roman"/>
        </w:rPr>
        <w:t xml:space="preserve">, malgré la volonté de </w:t>
      </w:r>
      <w:r w:rsidR="00F8229D">
        <w:rPr>
          <w:rFonts w:ascii="Times New Roman" w:hAnsi="Times New Roman" w:cs="Times New Roman"/>
        </w:rPr>
        <w:t xml:space="preserve">strictement </w:t>
      </w:r>
      <w:r w:rsidR="00D96D3D" w:rsidRPr="00A53F18">
        <w:rPr>
          <w:rFonts w:ascii="Times New Roman" w:hAnsi="Times New Roman" w:cs="Times New Roman"/>
        </w:rPr>
        <w:t xml:space="preserve">punir </w:t>
      </w:r>
      <w:r w:rsidR="00A53F18">
        <w:rPr>
          <w:rFonts w:ascii="Times New Roman" w:hAnsi="Times New Roman" w:cs="Times New Roman"/>
        </w:rPr>
        <w:t>les perpétrateurs</w:t>
      </w:r>
      <w:r w:rsidR="00D96D3D" w:rsidRPr="00A53F18">
        <w:rPr>
          <w:rFonts w:ascii="Times New Roman" w:hAnsi="Times New Roman" w:cs="Times New Roman"/>
        </w:rPr>
        <w:t xml:space="preserve"> de crimes de masse</w:t>
      </w:r>
      <w:r w:rsidRPr="00A53F18">
        <w:rPr>
          <w:rFonts w:ascii="Times New Roman" w:hAnsi="Times New Roman" w:cs="Times New Roman"/>
        </w:rPr>
        <w:t xml:space="preserve">. Si, fidèle aux idéaux beccariens mais en porte-à-faux avec la pratique actuelle des Tribunaux internationaux, on refuse de se contenter d’un fondement rétributiviste (rejetant donc l’idée qu’on punirait pour le mal intrinsèque </w:t>
      </w:r>
      <w:r w:rsidR="00D96D3D" w:rsidRPr="00A53F18">
        <w:rPr>
          <w:rFonts w:ascii="Times New Roman" w:hAnsi="Times New Roman" w:cs="Times New Roman"/>
        </w:rPr>
        <w:t xml:space="preserve">qui a été commis), on en vient dès lors </w:t>
      </w:r>
      <w:r w:rsidRPr="00A53F18">
        <w:rPr>
          <w:rFonts w:ascii="Times New Roman" w:hAnsi="Times New Roman" w:cs="Times New Roman"/>
        </w:rPr>
        <w:t xml:space="preserve">à s’interroger sur le « pourquoi » du procès pour crimes internationaux. </w:t>
      </w:r>
    </w:p>
    <w:p w:rsidR="00DF42A6" w:rsidRPr="00A53F18" w:rsidRDefault="00DF42A6" w:rsidP="00DF42A6">
      <w:pPr>
        <w:jc w:val="both"/>
        <w:rPr>
          <w:rFonts w:ascii="Times New Roman" w:hAnsi="Times New Roman" w:cs="Times New Roman"/>
        </w:rPr>
      </w:pPr>
    </w:p>
    <w:p w:rsidR="00DF42A6" w:rsidRPr="00A53F18" w:rsidRDefault="00DF42A6" w:rsidP="00DF42A6">
      <w:pPr>
        <w:pStyle w:val="Paragraphedeliste"/>
        <w:ind w:left="0"/>
        <w:jc w:val="both"/>
        <w:rPr>
          <w:rFonts w:ascii="Times New Roman" w:hAnsi="Times New Roman" w:cs="Times New Roman"/>
        </w:rPr>
      </w:pPr>
      <w:r w:rsidRPr="00A53F18">
        <w:rPr>
          <w:rFonts w:ascii="Times New Roman" w:hAnsi="Times New Roman" w:cs="Times New Roman"/>
        </w:rPr>
        <w:t>Alors que la prévention est présentée comme l’un</w:t>
      </w:r>
      <w:r w:rsidR="00143C2E">
        <w:rPr>
          <w:rFonts w:ascii="Times New Roman" w:hAnsi="Times New Roman" w:cs="Times New Roman"/>
        </w:rPr>
        <w:t>e</w:t>
      </w:r>
      <w:r w:rsidRPr="00A53F18">
        <w:rPr>
          <w:rFonts w:ascii="Times New Roman" w:hAnsi="Times New Roman" w:cs="Times New Roman"/>
        </w:rPr>
        <w:t xml:space="preserve"> des </w:t>
      </w:r>
      <w:r w:rsidR="00143C2E">
        <w:rPr>
          <w:rFonts w:ascii="Times New Roman" w:hAnsi="Times New Roman" w:cs="Times New Roman"/>
        </w:rPr>
        <w:t>justifications principales à</w:t>
      </w:r>
      <w:r w:rsidRPr="00A53F18">
        <w:rPr>
          <w:rFonts w:ascii="Times New Roman" w:hAnsi="Times New Roman" w:cs="Times New Roman"/>
        </w:rPr>
        <w:t xml:space="preserve"> la peine</w:t>
      </w:r>
      <w:r w:rsidR="00D96D3D" w:rsidRPr="00A53F18">
        <w:rPr>
          <w:rStyle w:val="Marquenotebasdepage"/>
          <w:rFonts w:ascii="Times New Roman" w:hAnsi="Times New Roman" w:cs="Times New Roman"/>
        </w:rPr>
        <w:footnoteReference w:id="54"/>
      </w:r>
      <w:r w:rsidRPr="00A53F18">
        <w:rPr>
          <w:rFonts w:ascii="Times New Roman" w:hAnsi="Times New Roman" w:cs="Times New Roman"/>
        </w:rPr>
        <w:t>, le</w:t>
      </w:r>
      <w:r w:rsidR="00D96D3D" w:rsidRPr="00A53F18">
        <w:rPr>
          <w:rFonts w:ascii="Times New Roman" w:hAnsi="Times New Roman" w:cs="Times New Roman"/>
        </w:rPr>
        <w:t xml:space="preserve">s décisions des TPI n’ont </w:t>
      </w:r>
      <w:r w:rsidRPr="00A53F18">
        <w:rPr>
          <w:rFonts w:ascii="Times New Roman" w:hAnsi="Times New Roman" w:cs="Times New Roman"/>
        </w:rPr>
        <w:t xml:space="preserve">empêché </w:t>
      </w:r>
      <w:r w:rsidR="00D96D3D" w:rsidRPr="00A53F18">
        <w:rPr>
          <w:rFonts w:ascii="Times New Roman" w:hAnsi="Times New Roman" w:cs="Times New Roman"/>
        </w:rPr>
        <w:t xml:space="preserve">ni </w:t>
      </w:r>
      <w:r w:rsidRPr="00A53F18">
        <w:rPr>
          <w:rFonts w:ascii="Times New Roman" w:hAnsi="Times New Roman" w:cs="Times New Roman"/>
        </w:rPr>
        <w:t xml:space="preserve">le </w:t>
      </w:r>
      <w:r w:rsidR="00143C2E">
        <w:rPr>
          <w:rFonts w:ascii="Times New Roman" w:hAnsi="Times New Roman" w:cs="Times New Roman"/>
        </w:rPr>
        <w:t>drames</w:t>
      </w:r>
      <w:r w:rsidR="00143C2E" w:rsidRPr="00A53F18">
        <w:rPr>
          <w:rFonts w:ascii="Times New Roman" w:hAnsi="Times New Roman" w:cs="Times New Roman"/>
        </w:rPr>
        <w:t xml:space="preserve"> </w:t>
      </w:r>
      <w:r w:rsidRPr="00A53F18">
        <w:rPr>
          <w:rFonts w:ascii="Times New Roman" w:hAnsi="Times New Roman" w:cs="Times New Roman"/>
        </w:rPr>
        <w:t xml:space="preserve">de Srebrenica en 1996 </w:t>
      </w:r>
      <w:r w:rsidR="00143C2E">
        <w:rPr>
          <w:rFonts w:ascii="Times New Roman" w:hAnsi="Times New Roman" w:cs="Times New Roman"/>
        </w:rPr>
        <w:t>et du Kosovo en</w:t>
      </w:r>
      <w:r w:rsidR="00D96D3D" w:rsidRPr="00A53F18">
        <w:rPr>
          <w:rFonts w:ascii="Times New Roman" w:hAnsi="Times New Roman" w:cs="Times New Roman"/>
        </w:rPr>
        <w:t xml:space="preserve"> 1999 ni </w:t>
      </w:r>
      <w:r w:rsidRPr="00A53F18">
        <w:rPr>
          <w:rFonts w:ascii="Times New Roman" w:hAnsi="Times New Roman" w:cs="Times New Roman"/>
        </w:rPr>
        <w:t>les violences de 1998 au Nord-Kivu ; la CPI ne paraît pas apaiser les conflits à l’E</w:t>
      </w:r>
      <w:r w:rsidR="00D96D3D" w:rsidRPr="00A53F18">
        <w:rPr>
          <w:rFonts w:ascii="Times New Roman" w:hAnsi="Times New Roman" w:cs="Times New Roman"/>
        </w:rPr>
        <w:t>st du Congo, pas plus</w:t>
      </w:r>
      <w:r w:rsidRPr="00A53F18">
        <w:rPr>
          <w:rFonts w:ascii="Times New Roman" w:hAnsi="Times New Roman" w:cs="Times New Roman"/>
        </w:rPr>
        <w:t xml:space="preserve"> qu’en République Centrafricaine ou au Soudan. Quant à la réparation,</w:t>
      </w:r>
      <w:r w:rsidR="00D96D3D" w:rsidRPr="00A53F18">
        <w:rPr>
          <w:rFonts w:ascii="Times New Roman" w:hAnsi="Times New Roman" w:cs="Times New Roman"/>
        </w:rPr>
        <w:t xml:space="preserve"> des éléments pratiques</w:t>
      </w:r>
      <w:r w:rsidR="00D96D3D" w:rsidRPr="00A53F18">
        <w:rPr>
          <w:rStyle w:val="Marquenotebasdepage"/>
          <w:rFonts w:ascii="Times New Roman" w:hAnsi="Times New Roman" w:cs="Times New Roman"/>
        </w:rPr>
        <w:footnoteReference w:id="55"/>
      </w:r>
      <w:r w:rsidR="00D96D3D" w:rsidRPr="00A53F18">
        <w:rPr>
          <w:rFonts w:ascii="Times New Roman" w:hAnsi="Times New Roman" w:cs="Times New Roman"/>
        </w:rPr>
        <w:t xml:space="preserve"> et principiels</w:t>
      </w:r>
      <w:r w:rsidR="00D96D3D" w:rsidRPr="00A53F18">
        <w:rPr>
          <w:rStyle w:val="Marquenotebasdepage"/>
          <w:rFonts w:ascii="Times New Roman" w:hAnsi="Times New Roman" w:cs="Times New Roman"/>
        </w:rPr>
        <w:footnoteReference w:id="56"/>
      </w:r>
      <w:r w:rsidR="00D96D3D" w:rsidRPr="00A53F18">
        <w:rPr>
          <w:rFonts w:ascii="Times New Roman" w:hAnsi="Times New Roman" w:cs="Times New Roman"/>
        </w:rPr>
        <w:t xml:space="preserve"> provoquent une insatisfaction des victimes quant aux peines prononcées</w:t>
      </w:r>
      <w:r w:rsidR="00143C2E">
        <w:rPr>
          <w:rFonts w:ascii="Times New Roman" w:hAnsi="Times New Roman" w:cs="Times New Roman"/>
        </w:rPr>
        <w:t xml:space="preserve"> et des doutes doctrinaux quant à sa possibilité.</w:t>
      </w:r>
      <w:r w:rsidR="00143C2E" w:rsidRPr="00143C2E">
        <w:rPr>
          <w:rStyle w:val="Marquenotebasdepage"/>
          <w:rFonts w:ascii="Times New Roman" w:hAnsi="Times New Roman" w:cs="Times New Roman"/>
        </w:rPr>
        <w:t xml:space="preserve"> </w:t>
      </w:r>
      <w:r w:rsidR="00143C2E" w:rsidRPr="00A53F18">
        <w:rPr>
          <w:rStyle w:val="Marquenotebasdepage"/>
          <w:rFonts w:ascii="Times New Roman" w:hAnsi="Times New Roman" w:cs="Times New Roman"/>
        </w:rPr>
        <w:footnoteReference w:id="57"/>
      </w:r>
      <w:r w:rsidR="00143C2E">
        <w:rPr>
          <w:rFonts w:ascii="Times New Roman" w:hAnsi="Times New Roman" w:cs="Times New Roman"/>
        </w:rPr>
        <w:t xml:space="preserve"> </w:t>
      </w:r>
    </w:p>
    <w:p w:rsidR="00DF42A6" w:rsidRPr="00A53F18" w:rsidRDefault="00DF42A6" w:rsidP="00DF42A6">
      <w:pPr>
        <w:jc w:val="both"/>
        <w:rPr>
          <w:rFonts w:ascii="Times New Roman" w:hAnsi="Times New Roman" w:cs="Times New Roman"/>
        </w:rPr>
      </w:pPr>
    </w:p>
    <w:p w:rsidR="009B4348" w:rsidRPr="00A53F18" w:rsidRDefault="00D96D3D" w:rsidP="00DF42A6">
      <w:pPr>
        <w:jc w:val="both"/>
        <w:rPr>
          <w:rFonts w:ascii="Times New Roman" w:hAnsi="Times New Roman" w:cs="Times New Roman"/>
        </w:rPr>
      </w:pPr>
      <w:r w:rsidRPr="00A53F18">
        <w:rPr>
          <w:rFonts w:ascii="Times New Roman" w:hAnsi="Times New Roman" w:cs="Times New Roman"/>
        </w:rPr>
        <w:t>Ne faudrait-il donc pas assumer l’impuissance du droit pénal face aux terribles atrocités dont on le charge actuellement, dernier gardien</w:t>
      </w:r>
      <w:r w:rsidR="00143C2E">
        <w:rPr>
          <w:rFonts w:ascii="Times New Roman" w:hAnsi="Times New Roman" w:cs="Times New Roman"/>
        </w:rPr>
        <w:t xml:space="preserve"> mal armé</w:t>
      </w:r>
      <w:r w:rsidRPr="00A53F18">
        <w:rPr>
          <w:rFonts w:ascii="Times New Roman" w:hAnsi="Times New Roman" w:cs="Times New Roman"/>
        </w:rPr>
        <w:t xml:space="preserve"> des valeurs enfouies d’une société sécularisée ? S</w:t>
      </w:r>
      <w:r w:rsidR="009B4348" w:rsidRPr="00A53F18">
        <w:rPr>
          <w:rFonts w:ascii="Times New Roman" w:hAnsi="Times New Roman" w:cs="Times New Roman"/>
        </w:rPr>
        <w:t>’il s’agit d’abord de raffermir la collectivité ébranlée par les crimes commis (</w:t>
      </w:r>
      <w:r w:rsidR="00143C2E">
        <w:rPr>
          <w:rFonts w:ascii="Times New Roman" w:hAnsi="Times New Roman" w:cs="Times New Roman"/>
        </w:rPr>
        <w:t>selon la</w:t>
      </w:r>
      <w:r w:rsidR="009B4348" w:rsidRPr="00A53F18">
        <w:rPr>
          <w:rFonts w:ascii="Times New Roman" w:hAnsi="Times New Roman" w:cs="Times New Roman"/>
        </w:rPr>
        <w:t xml:space="preserve"> formule durkheimienne</w:t>
      </w:r>
      <w:r w:rsidRPr="00A53F18">
        <w:rPr>
          <w:rStyle w:val="Marquenotebasdepage"/>
          <w:rFonts w:ascii="Times New Roman" w:hAnsi="Times New Roman" w:cs="Times New Roman"/>
        </w:rPr>
        <w:footnoteReference w:id="58"/>
      </w:r>
      <w:r w:rsidR="009B4348" w:rsidRPr="00A53F18">
        <w:rPr>
          <w:rFonts w:ascii="Times New Roman" w:hAnsi="Times New Roman" w:cs="Times New Roman"/>
        </w:rPr>
        <w:t xml:space="preserve">), de redire « non » à ces atrocités et de construire une mémoire (ou une histoire) des événements, alors, d’autres voies </w:t>
      </w:r>
      <w:r w:rsidR="00143C2E">
        <w:rPr>
          <w:rFonts w:ascii="Times New Roman" w:hAnsi="Times New Roman" w:cs="Times New Roman"/>
        </w:rPr>
        <w:t>(</w:t>
      </w:r>
      <w:r w:rsidR="009B4348" w:rsidRPr="00A53F18">
        <w:rPr>
          <w:rFonts w:ascii="Times New Roman" w:hAnsi="Times New Roman" w:cs="Times New Roman"/>
        </w:rPr>
        <w:t>non pénales</w:t>
      </w:r>
      <w:r w:rsidR="00143C2E">
        <w:rPr>
          <w:rFonts w:ascii="Times New Roman" w:hAnsi="Times New Roman" w:cs="Times New Roman"/>
        </w:rPr>
        <w:t>)</w:t>
      </w:r>
      <w:r w:rsidR="009B4348" w:rsidRPr="00A53F18">
        <w:rPr>
          <w:rFonts w:ascii="Times New Roman" w:hAnsi="Times New Roman" w:cs="Times New Roman"/>
        </w:rPr>
        <w:t xml:space="preserve"> ne s’ouvrent-elles pas ? </w:t>
      </w:r>
    </w:p>
    <w:p w:rsidR="009B4348" w:rsidRPr="00A53F18" w:rsidRDefault="009B4348" w:rsidP="00DF42A6">
      <w:pPr>
        <w:jc w:val="both"/>
        <w:rPr>
          <w:rFonts w:ascii="Times New Roman" w:hAnsi="Times New Roman" w:cs="Times New Roman"/>
        </w:rPr>
      </w:pPr>
    </w:p>
    <w:p w:rsidR="0032067F" w:rsidRPr="00A53F18" w:rsidRDefault="00143C2E" w:rsidP="00DF42A6">
      <w:pPr>
        <w:jc w:val="both"/>
        <w:rPr>
          <w:rFonts w:ascii="Times New Roman" w:hAnsi="Times New Roman" w:cs="Times New Roman"/>
          <w:i/>
        </w:rPr>
      </w:pPr>
      <w:r>
        <w:rPr>
          <w:rFonts w:ascii="Times New Roman" w:hAnsi="Times New Roman" w:cs="Times New Roman"/>
        </w:rPr>
        <w:t>On se prend à rêver d’u</w:t>
      </w:r>
      <w:r w:rsidR="009B4348" w:rsidRPr="00A53F18">
        <w:rPr>
          <w:rFonts w:ascii="Times New Roman" w:hAnsi="Times New Roman" w:cs="Times New Roman"/>
        </w:rPr>
        <w:t>n rituel assumé, mettant en scène les protagonistes sur le lieu même des conflits, afin de « rejouer » le drame, de le « dire » et ainsi de le « sublimer » - puis de tirer le rideau. Il faudrait des formes et du jeu, pour garder le</w:t>
      </w:r>
      <w:r w:rsidR="00A53F18" w:rsidRPr="00A53F18">
        <w:rPr>
          <w:rFonts w:ascii="Times New Roman" w:hAnsi="Times New Roman" w:cs="Times New Roman"/>
        </w:rPr>
        <w:t>s aspects déclaratoire et</w:t>
      </w:r>
      <w:r w:rsidR="009B4348" w:rsidRPr="00A53F18">
        <w:rPr>
          <w:rFonts w:ascii="Times New Roman" w:hAnsi="Times New Roman" w:cs="Times New Roman"/>
        </w:rPr>
        <w:t xml:space="preserve"> symbolique</w:t>
      </w:r>
      <w:r w:rsidR="00A53F18" w:rsidRPr="00A53F18">
        <w:rPr>
          <w:rFonts w:ascii="Times New Roman" w:hAnsi="Times New Roman" w:cs="Times New Roman"/>
        </w:rPr>
        <w:t>s</w:t>
      </w:r>
      <w:r w:rsidR="009B4348" w:rsidRPr="00A53F18">
        <w:rPr>
          <w:rFonts w:ascii="Times New Roman" w:hAnsi="Times New Roman" w:cs="Times New Roman"/>
        </w:rPr>
        <w:t xml:space="preserve"> que seuls paraissent offrir aujourd’hui les grands procès internationaux. </w:t>
      </w:r>
      <w:r w:rsidR="00EF6008" w:rsidRPr="00A53F18">
        <w:rPr>
          <w:rFonts w:ascii="Times New Roman" w:hAnsi="Times New Roman" w:cs="Times New Roman"/>
        </w:rPr>
        <w:t xml:space="preserve">On ferait ainsi, conformément aux souhaits exprimés </w:t>
      </w:r>
      <w:r w:rsidRPr="000A44A2">
        <w:rPr>
          <w:rFonts w:ascii="Times New Roman" w:hAnsi="Times New Roman" w:cs="Times New Roman"/>
          <w:i/>
        </w:rPr>
        <w:t>D</w:t>
      </w:r>
      <w:r w:rsidR="00EF6008" w:rsidRPr="00A53F18">
        <w:rPr>
          <w:rFonts w:ascii="Times New Roman" w:hAnsi="Times New Roman" w:cs="Times New Roman"/>
          <w:i/>
        </w:rPr>
        <w:t>es délits et des peines,</w:t>
      </w:r>
      <w:r w:rsidR="00AE7DB8">
        <w:rPr>
          <w:rFonts w:ascii="Times New Roman" w:hAnsi="Times New Roman" w:cs="Times New Roman"/>
        </w:rPr>
        <w:t xml:space="preserve"> « une impression plus efficace et plus durable sur les âmes</w:t>
      </w:r>
      <w:r w:rsidR="00EF6008" w:rsidRPr="00A53F18">
        <w:rPr>
          <w:rFonts w:ascii="Times New Roman" w:hAnsi="Times New Roman" w:cs="Times New Roman"/>
        </w:rPr>
        <w:t xml:space="preserve"> des </w:t>
      </w:r>
      <w:r w:rsidR="00AE7DB8">
        <w:rPr>
          <w:rFonts w:ascii="Times New Roman" w:hAnsi="Times New Roman" w:cs="Times New Roman"/>
        </w:rPr>
        <w:t xml:space="preserve">hommes, et la moins tourmentante </w:t>
      </w:r>
      <w:r w:rsidR="00EF6008" w:rsidRPr="00A53F18">
        <w:rPr>
          <w:rFonts w:ascii="Times New Roman" w:hAnsi="Times New Roman" w:cs="Times New Roman"/>
        </w:rPr>
        <w:t>sur le corps du coupable »</w:t>
      </w:r>
      <w:r w:rsidR="00EF6008" w:rsidRPr="00A53F18">
        <w:rPr>
          <w:rStyle w:val="Marquenotebasdepage"/>
          <w:rFonts w:ascii="Times New Roman" w:hAnsi="Times New Roman" w:cs="Times New Roman"/>
        </w:rPr>
        <w:footnoteReference w:id="59"/>
      </w:r>
      <w:r w:rsidR="00D96D3D" w:rsidRPr="00A53F18">
        <w:rPr>
          <w:rFonts w:ascii="Times New Roman" w:hAnsi="Times New Roman" w:cs="Times New Roman"/>
        </w:rPr>
        <w:t xml:space="preserve">. </w:t>
      </w:r>
      <w:r>
        <w:rPr>
          <w:rFonts w:ascii="Times New Roman" w:hAnsi="Times New Roman" w:cs="Times New Roman"/>
        </w:rPr>
        <w:t>H</w:t>
      </w:r>
      <w:r w:rsidR="009B4348" w:rsidRPr="00A53F18">
        <w:rPr>
          <w:rFonts w:ascii="Times New Roman" w:hAnsi="Times New Roman" w:cs="Times New Roman"/>
        </w:rPr>
        <w:t>ors du champ pénal et loin de Beccaria</w:t>
      </w:r>
      <w:r>
        <w:rPr>
          <w:rFonts w:ascii="Times New Roman" w:hAnsi="Times New Roman" w:cs="Times New Roman"/>
        </w:rPr>
        <w:t xml:space="preserve"> cependant</w:t>
      </w:r>
      <w:r w:rsidR="009B4348" w:rsidRPr="00A53F18">
        <w:rPr>
          <w:rFonts w:ascii="Times New Roman" w:hAnsi="Times New Roman" w:cs="Times New Roman"/>
        </w:rPr>
        <w:t xml:space="preserve">, il ne s’agirait plus de tenter une impossible « mesure » de la peine, dans la proportion d’un tort infini, mais de trouver une « mesure » au sens de </w:t>
      </w:r>
      <w:r w:rsidR="009B4348" w:rsidRPr="00A53F18">
        <w:rPr>
          <w:rFonts w:ascii="Times New Roman" w:hAnsi="Times New Roman" w:cs="Times New Roman"/>
          <w:i/>
        </w:rPr>
        <w:t>tempo</w:t>
      </w:r>
      <w:r w:rsidR="009B4348" w:rsidRPr="00A53F18">
        <w:rPr>
          <w:rFonts w:ascii="Times New Roman" w:hAnsi="Times New Roman" w:cs="Times New Roman"/>
        </w:rPr>
        <w:t xml:space="preserve"> sociétal. Le procès, non pénal </w:t>
      </w:r>
      <w:r>
        <w:rPr>
          <w:rFonts w:ascii="Times New Roman" w:hAnsi="Times New Roman" w:cs="Times New Roman"/>
        </w:rPr>
        <w:t>puisque la peine paraît inopérante</w:t>
      </w:r>
      <w:r w:rsidR="009B4348" w:rsidRPr="00A53F18">
        <w:rPr>
          <w:rFonts w:ascii="Times New Roman" w:hAnsi="Times New Roman" w:cs="Times New Roman"/>
        </w:rPr>
        <w:t xml:space="preserve">, permettrait de sortir de la </w:t>
      </w:r>
      <w:r w:rsidR="009B4348" w:rsidRPr="00A53F18">
        <w:rPr>
          <w:rFonts w:ascii="Times New Roman" w:hAnsi="Times New Roman" w:cs="Times New Roman"/>
          <w:i/>
        </w:rPr>
        <w:t xml:space="preserve">démesure </w:t>
      </w:r>
      <w:r w:rsidR="009B4348" w:rsidRPr="00A53F18">
        <w:rPr>
          <w:rFonts w:ascii="Times New Roman" w:hAnsi="Times New Roman" w:cs="Times New Roman"/>
        </w:rPr>
        <w:t>des atrocités sont saisis les juges internationaux et, sans quantification de ces drames, soutiendrait la société dans sa reprise de rythme, afin que les citoyens retrouvent des vies à nouveau mesurées</w:t>
      </w:r>
      <w:r w:rsidR="009B4348" w:rsidRPr="00A53F18">
        <w:rPr>
          <w:rFonts w:ascii="Times New Roman" w:hAnsi="Times New Roman" w:cs="Times New Roman"/>
          <w:i/>
        </w:rPr>
        <w:t>.</w:t>
      </w:r>
    </w:p>
    <w:sectPr w:rsidR="0032067F" w:rsidRPr="00A53F18" w:rsidSect="00FF14C4">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8A1" w:rsidRDefault="008818A1" w:rsidP="00F65636">
      <w:r>
        <w:separator/>
      </w:r>
    </w:p>
  </w:endnote>
  <w:endnote w:type="continuationSeparator" w:id="0">
    <w:p w:rsidR="008818A1" w:rsidRDefault="008818A1" w:rsidP="00F65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ヒラギノ角ゴ Pro W3">
    <w:charset w:val="4E"/>
    <w:family w:val="auto"/>
    <w:pitch w:val="variable"/>
    <w:sig w:usb0="E00002FF" w:usb1="7AC7FFFF" w:usb2="00000012" w:usb3="00000000" w:csb0="0002000D"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DB8" w:rsidRDefault="00AE7DB8" w:rsidP="004D780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AE7DB8" w:rsidRDefault="00AE7DB8" w:rsidP="004D780A">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DB8" w:rsidRDefault="00AE7DB8" w:rsidP="004D780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8818A1">
      <w:rPr>
        <w:rStyle w:val="Numrodepage"/>
        <w:noProof/>
      </w:rPr>
      <w:t>1</w:t>
    </w:r>
    <w:r>
      <w:rPr>
        <w:rStyle w:val="Numrodepage"/>
      </w:rPr>
      <w:fldChar w:fldCharType="end"/>
    </w:r>
  </w:p>
  <w:p w:rsidR="00AE7DB8" w:rsidRDefault="00AE7DB8" w:rsidP="004D780A">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8A1" w:rsidRDefault="008818A1" w:rsidP="00F65636">
      <w:r>
        <w:separator/>
      </w:r>
    </w:p>
  </w:footnote>
  <w:footnote w:type="continuationSeparator" w:id="0">
    <w:p w:rsidR="008818A1" w:rsidRDefault="008818A1" w:rsidP="00F65636">
      <w:r>
        <w:continuationSeparator/>
      </w:r>
    </w:p>
  </w:footnote>
  <w:footnote w:id="1">
    <w:p w:rsidR="00AE7DB8" w:rsidRPr="000571CD" w:rsidRDefault="00AE7DB8" w:rsidP="000571CD">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Chargée de recherches FNRS (Belgique) et professeure invitée à l’Université Saint-Louis – Bruxelles.</w:t>
      </w:r>
    </w:p>
  </w:footnote>
  <w:footnote w:id="2">
    <w:p w:rsidR="00AE7DB8" w:rsidRPr="000571CD" w:rsidRDefault="00AE7DB8" w:rsidP="000571CD">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Chercheur FSR (Belgique) à l’Université Saint-Louis – Bruxelles et chargé d’enseignement. </w:t>
      </w:r>
    </w:p>
  </w:footnote>
  <w:footnote w:id="3">
    <w:p w:rsidR="00AE7DB8" w:rsidRPr="000571CD" w:rsidRDefault="00AE7DB8" w:rsidP="000571CD">
      <w:pPr>
        <w:ind w:left="20"/>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w:t>
      </w:r>
      <w:r w:rsidRPr="000571CD">
        <w:rPr>
          <w:rFonts w:ascii="Times New Roman" w:hAnsi="Times New Roman" w:cs="Times New Roman"/>
          <w:i/>
          <w:sz w:val="20"/>
          <w:szCs w:val="20"/>
        </w:rPr>
        <w:t xml:space="preserve">De l’esprit des lois, </w:t>
      </w:r>
      <w:r w:rsidRPr="000571CD">
        <w:rPr>
          <w:rFonts w:ascii="Times New Roman" w:hAnsi="Times New Roman" w:cs="Times New Roman"/>
          <w:sz w:val="20"/>
          <w:szCs w:val="20"/>
        </w:rPr>
        <w:t>Livre VI, 16 : « Il est essentiel que les peines aient de l'harmonie entre elles, parce qu'il est essen</w:t>
      </w:r>
      <w:r w:rsidRPr="000571CD">
        <w:rPr>
          <w:rFonts w:ascii="Times New Roman" w:hAnsi="Times New Roman" w:cs="Times New Roman"/>
          <w:sz w:val="20"/>
          <w:szCs w:val="20"/>
        </w:rPr>
        <w:softHyphen/>
        <w:t>tiel que l'on évite plutôt un grand crime qu'un moindre, ce qui attaque plus la société, que ce qui la choque moins ».</w:t>
      </w:r>
    </w:p>
  </w:footnote>
  <w:footnote w:id="4">
    <w:p w:rsidR="00AE7DB8" w:rsidRPr="000571CD" w:rsidRDefault="00AE7DB8" w:rsidP="000571CD">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C. </w:t>
      </w:r>
      <w:r w:rsidRPr="000571CD">
        <w:rPr>
          <w:rFonts w:ascii="Times New Roman" w:hAnsi="Times New Roman" w:cs="Times New Roman"/>
          <w:smallCaps/>
          <w:sz w:val="20"/>
          <w:szCs w:val="20"/>
        </w:rPr>
        <w:t>Beccaria</w:t>
      </w:r>
      <w:r w:rsidRPr="000571CD">
        <w:rPr>
          <w:rFonts w:ascii="Times New Roman" w:hAnsi="Times New Roman" w:cs="Times New Roman"/>
          <w:sz w:val="20"/>
          <w:szCs w:val="20"/>
        </w:rPr>
        <w:t xml:space="preserve">, </w:t>
      </w:r>
      <w:r>
        <w:rPr>
          <w:rFonts w:ascii="Times New Roman" w:hAnsi="Times New Roman" w:cs="Times New Roman"/>
          <w:i/>
          <w:sz w:val="20"/>
          <w:szCs w:val="20"/>
        </w:rPr>
        <w:t>Des délits et des peines</w:t>
      </w:r>
      <w:r>
        <w:rPr>
          <w:rFonts w:ascii="Times New Roman" w:hAnsi="Times New Roman" w:cs="Times New Roman"/>
          <w:sz w:val="20"/>
          <w:szCs w:val="20"/>
        </w:rPr>
        <w:t xml:space="preserve">, trad. Ph. </w:t>
      </w:r>
      <w:r w:rsidRPr="00EB6F6A">
        <w:rPr>
          <w:rFonts w:ascii="Times New Roman" w:hAnsi="Times New Roman" w:cs="Times New Roman"/>
          <w:smallCaps/>
          <w:sz w:val="20"/>
          <w:szCs w:val="20"/>
        </w:rPr>
        <w:t>Audegean</w:t>
      </w:r>
      <w:r w:rsidRPr="000571CD">
        <w:rPr>
          <w:rFonts w:ascii="Times New Roman" w:hAnsi="Times New Roman" w:cs="Times New Roman"/>
          <w:sz w:val="20"/>
          <w:szCs w:val="20"/>
        </w:rPr>
        <w:t xml:space="preserve">, </w:t>
      </w:r>
      <w:r>
        <w:rPr>
          <w:rFonts w:ascii="Times New Roman" w:hAnsi="Times New Roman" w:cs="Times New Roman"/>
          <w:sz w:val="20"/>
          <w:szCs w:val="20"/>
        </w:rPr>
        <w:t xml:space="preserve">Paris, ENS Editions, </w:t>
      </w:r>
      <w:r w:rsidRPr="00EB6F6A">
        <w:rPr>
          <w:rFonts w:ascii="Times New Roman" w:hAnsi="Times New Roman" w:cs="Times New Roman"/>
          <w:sz w:val="20"/>
          <w:szCs w:val="20"/>
        </w:rPr>
        <w:t>2009, Chap. VI.</w:t>
      </w:r>
    </w:p>
  </w:footnote>
  <w:footnote w:id="5">
    <w:p w:rsidR="00AE7DB8" w:rsidRPr="000571CD" w:rsidRDefault="00AE7DB8" w:rsidP="000571CD">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M. </w:t>
      </w:r>
      <w:r w:rsidRPr="000571CD">
        <w:rPr>
          <w:rFonts w:ascii="Times New Roman" w:hAnsi="Times New Roman" w:cs="Times New Roman"/>
          <w:smallCaps/>
          <w:sz w:val="20"/>
          <w:szCs w:val="20"/>
        </w:rPr>
        <w:t>Porret</w:t>
      </w:r>
      <w:r w:rsidRPr="000571CD">
        <w:rPr>
          <w:rFonts w:ascii="Times New Roman" w:hAnsi="Times New Roman" w:cs="Times New Roman"/>
          <w:sz w:val="20"/>
          <w:szCs w:val="20"/>
        </w:rPr>
        <w:t xml:space="preserve">, « Une peine en ‘juste proportion du crime’. Le rôle du procureur général de Genève dans la limitation de l’arbitraire (1760-1790) », M. </w:t>
      </w:r>
      <w:r w:rsidRPr="000571CD">
        <w:rPr>
          <w:rFonts w:ascii="Times New Roman" w:hAnsi="Times New Roman" w:cs="Times New Roman"/>
          <w:smallCaps/>
          <w:sz w:val="20"/>
          <w:szCs w:val="20"/>
        </w:rPr>
        <w:t>Porret</w:t>
      </w:r>
      <w:r w:rsidRPr="000571CD">
        <w:rPr>
          <w:rFonts w:ascii="Times New Roman" w:hAnsi="Times New Roman" w:cs="Times New Roman"/>
          <w:sz w:val="20"/>
          <w:szCs w:val="20"/>
        </w:rPr>
        <w:t xml:space="preserve"> (dir.), </w:t>
      </w:r>
      <w:r w:rsidRPr="000571CD">
        <w:rPr>
          <w:rFonts w:ascii="Times New Roman" w:hAnsi="Times New Roman" w:cs="Times New Roman"/>
          <w:i/>
          <w:sz w:val="20"/>
          <w:szCs w:val="20"/>
        </w:rPr>
        <w:t>Beccaria et la culture juridique des lumières. Actes du colloque européen de Genève, 25-26 novembre 1995</w:t>
      </w:r>
      <w:r w:rsidRPr="000571CD">
        <w:rPr>
          <w:rFonts w:ascii="Times New Roman" w:hAnsi="Times New Roman" w:cs="Times New Roman"/>
          <w:sz w:val="20"/>
          <w:szCs w:val="20"/>
        </w:rPr>
        <w:t xml:space="preserve">, Genève, Droz, 1997, p. 252-276 ; Y. Cartuyvels, </w:t>
      </w:r>
      <w:r w:rsidRPr="000571CD">
        <w:rPr>
          <w:rFonts w:ascii="Times New Roman" w:hAnsi="Times New Roman" w:cs="Times New Roman"/>
          <w:i/>
          <w:iCs/>
          <w:sz w:val="20"/>
          <w:szCs w:val="20"/>
        </w:rPr>
        <w:t xml:space="preserve">D’où vient le code pénal ? Une approche généalogique des premiers codes pénaux absolutistes au XVIIIè siècle, </w:t>
      </w:r>
      <w:r w:rsidRPr="000571CD">
        <w:rPr>
          <w:rFonts w:ascii="Times New Roman" w:hAnsi="Times New Roman" w:cs="Times New Roman"/>
          <w:sz w:val="20"/>
          <w:szCs w:val="20"/>
        </w:rPr>
        <w:t>Bruxelles, De Boeck/Wesmael, 1996, p. 140 not.</w:t>
      </w:r>
    </w:p>
  </w:footnote>
  <w:footnote w:id="6">
    <w:p w:rsidR="00AE7DB8" w:rsidRPr="000571CD" w:rsidRDefault="00AE7DB8" w:rsidP="000571CD">
      <w:pPr>
        <w:pStyle w:val="Notedebasdepage"/>
        <w:jc w:val="both"/>
        <w:rPr>
          <w:rFonts w:ascii="Times New Roman" w:hAnsi="Times New Roman" w:cs="Times New Roman"/>
          <w:sz w:val="20"/>
          <w:szCs w:val="20"/>
        </w:rPr>
      </w:pPr>
      <w:r w:rsidRPr="00EB6F6A">
        <w:rPr>
          <w:rStyle w:val="Marquenotebasdepage"/>
          <w:rFonts w:ascii="Times New Roman" w:hAnsi="Times New Roman" w:cs="Times New Roman"/>
          <w:sz w:val="20"/>
          <w:szCs w:val="20"/>
        </w:rPr>
        <w:footnoteRef/>
      </w:r>
      <w:r w:rsidRPr="00EB6F6A">
        <w:rPr>
          <w:rFonts w:ascii="Times New Roman" w:hAnsi="Times New Roman" w:cs="Times New Roman"/>
          <w:sz w:val="20"/>
          <w:szCs w:val="20"/>
        </w:rPr>
        <w:t xml:space="preserve"> C. </w:t>
      </w:r>
      <w:r w:rsidRPr="00EB6F6A">
        <w:rPr>
          <w:rFonts w:ascii="Times New Roman" w:hAnsi="Times New Roman" w:cs="Times New Roman"/>
          <w:smallCaps/>
          <w:sz w:val="20"/>
          <w:szCs w:val="20"/>
        </w:rPr>
        <w:t>Beccaria</w:t>
      </w:r>
      <w:r w:rsidRPr="00EB6F6A">
        <w:rPr>
          <w:rFonts w:ascii="Times New Roman" w:hAnsi="Times New Roman" w:cs="Times New Roman"/>
          <w:sz w:val="20"/>
          <w:szCs w:val="20"/>
        </w:rPr>
        <w:t xml:space="preserve">, </w:t>
      </w:r>
      <w:r w:rsidRPr="00EB6F6A">
        <w:rPr>
          <w:rFonts w:ascii="Times New Roman" w:hAnsi="Times New Roman" w:cs="Times New Roman"/>
          <w:i/>
          <w:sz w:val="20"/>
          <w:szCs w:val="20"/>
        </w:rPr>
        <w:t>op. cit.</w:t>
      </w:r>
      <w:r w:rsidRPr="00EB6F6A">
        <w:rPr>
          <w:rFonts w:ascii="Times New Roman" w:hAnsi="Times New Roman" w:cs="Times New Roman"/>
          <w:sz w:val="20"/>
          <w:szCs w:val="20"/>
        </w:rPr>
        <w:t>, Chap. VII, p. 165.</w:t>
      </w:r>
    </w:p>
  </w:footnote>
  <w:footnote w:id="7">
    <w:p w:rsidR="00AE7DB8" w:rsidRPr="00F74D12" w:rsidRDefault="00AE7DB8">
      <w:pPr>
        <w:pStyle w:val="Notedebasdepage"/>
        <w:rPr>
          <w:rFonts w:ascii="Times New Roman" w:hAnsi="Times New Roman" w:cs="Times New Roman"/>
          <w:sz w:val="20"/>
          <w:szCs w:val="20"/>
          <w:lang w:val="nl-NL"/>
        </w:rPr>
      </w:pPr>
      <w:r w:rsidRPr="00F74D12">
        <w:rPr>
          <w:rStyle w:val="Marquenotebasdepage"/>
          <w:rFonts w:ascii="Times New Roman" w:hAnsi="Times New Roman" w:cs="Times New Roman"/>
          <w:sz w:val="20"/>
          <w:szCs w:val="20"/>
        </w:rPr>
        <w:footnoteRef/>
      </w:r>
      <w:r w:rsidRPr="00F74D12">
        <w:rPr>
          <w:rFonts w:ascii="Times New Roman" w:hAnsi="Times New Roman" w:cs="Times New Roman"/>
          <w:sz w:val="20"/>
          <w:szCs w:val="20"/>
        </w:rPr>
        <w:t xml:space="preserve"> </w:t>
      </w:r>
      <w:r w:rsidRPr="00F74D12">
        <w:rPr>
          <w:rFonts w:ascii="Times New Roman" w:hAnsi="Times New Roman" w:cs="Times New Roman"/>
          <w:i/>
          <w:sz w:val="20"/>
          <w:szCs w:val="20"/>
          <w:lang w:val="nl-NL"/>
        </w:rPr>
        <w:t>Ibidem</w:t>
      </w:r>
      <w:r w:rsidRPr="00F74D12">
        <w:rPr>
          <w:rFonts w:ascii="Times New Roman" w:hAnsi="Times New Roman" w:cs="Times New Roman"/>
          <w:sz w:val="20"/>
          <w:szCs w:val="20"/>
          <w:lang w:val="nl-NL"/>
        </w:rPr>
        <w:t xml:space="preserve">, Chap. VIII, p. 167 ; voy. </w:t>
      </w:r>
      <w:r>
        <w:rPr>
          <w:rFonts w:ascii="Times New Roman" w:hAnsi="Times New Roman" w:cs="Times New Roman"/>
          <w:sz w:val="20"/>
          <w:szCs w:val="20"/>
          <w:lang w:val="nl-NL"/>
        </w:rPr>
        <w:t>a</w:t>
      </w:r>
      <w:r w:rsidRPr="00F74D12">
        <w:rPr>
          <w:rFonts w:ascii="Times New Roman" w:hAnsi="Times New Roman" w:cs="Times New Roman"/>
          <w:sz w:val="20"/>
          <w:szCs w:val="20"/>
          <w:lang w:val="nl-NL"/>
        </w:rPr>
        <w:t>ussi Chap. VI, p. 159.</w:t>
      </w:r>
    </w:p>
  </w:footnote>
  <w:footnote w:id="8">
    <w:p w:rsidR="00AE7DB8" w:rsidRPr="000571CD" w:rsidRDefault="00AE7DB8" w:rsidP="000571CD">
      <w:pPr>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Pour un historique de la justice internationale pénale, de ses balbutiements au XIXè siècle et après la guerre de 1914-18 à son émergence en 1945, jusqu’à son épanouissement dans les années 1990, voy. par ex. Ch. </w:t>
      </w:r>
      <w:r w:rsidRPr="000571CD">
        <w:rPr>
          <w:rFonts w:ascii="Times New Roman" w:hAnsi="Times New Roman" w:cs="Times New Roman"/>
          <w:smallCaps/>
          <w:sz w:val="20"/>
          <w:szCs w:val="20"/>
        </w:rPr>
        <w:t>Bassiouni,</w:t>
      </w:r>
      <w:r w:rsidRPr="000571CD">
        <w:rPr>
          <w:rFonts w:ascii="Times New Roman" w:hAnsi="Times New Roman" w:cs="Times New Roman"/>
          <w:sz w:val="20"/>
          <w:szCs w:val="20"/>
        </w:rPr>
        <w:t xml:space="preserve"> « Etude historique : 1919-1998 », </w:t>
      </w:r>
      <w:r w:rsidRPr="000571CD">
        <w:rPr>
          <w:rFonts w:ascii="Times New Roman" w:hAnsi="Times New Roman" w:cs="Times New Roman"/>
          <w:i/>
          <w:sz w:val="20"/>
          <w:szCs w:val="20"/>
        </w:rPr>
        <w:t>CPI ratification et législation nationale d’application</w:t>
      </w:r>
      <w:r w:rsidRPr="000571CD">
        <w:rPr>
          <w:rFonts w:ascii="Times New Roman" w:hAnsi="Times New Roman" w:cs="Times New Roman"/>
          <w:sz w:val="20"/>
          <w:szCs w:val="20"/>
        </w:rPr>
        <w:t>, coll. Nouvelles Etudes Pénales, Paris, Erès, 1999, p. 1-44.</w:t>
      </w:r>
    </w:p>
  </w:footnote>
  <w:footnote w:id="9">
    <w:p w:rsidR="00AE7DB8" w:rsidRPr="000571CD" w:rsidRDefault="00AE7DB8" w:rsidP="000571CD">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Sur toute la pertinence d’une pensée et d’un travail du droit en contexte, cf le dossier spécial de la </w:t>
      </w:r>
      <w:r w:rsidRPr="000571CD">
        <w:rPr>
          <w:rFonts w:ascii="Times New Roman" w:hAnsi="Times New Roman" w:cs="Times New Roman"/>
          <w:i/>
          <w:sz w:val="20"/>
          <w:szCs w:val="20"/>
        </w:rPr>
        <w:t>Revue interdisciplinaire d’études juridiques</w:t>
      </w:r>
      <w:r w:rsidRPr="000571CD">
        <w:rPr>
          <w:rFonts w:ascii="Times New Roman" w:hAnsi="Times New Roman" w:cs="Times New Roman"/>
          <w:sz w:val="20"/>
          <w:szCs w:val="20"/>
        </w:rPr>
        <w:t xml:space="preserve">, 2013/70, p. 25-203 et, tout particulièrement, J.-L. </w:t>
      </w:r>
      <w:r w:rsidRPr="000571CD">
        <w:rPr>
          <w:rFonts w:ascii="Times New Roman" w:hAnsi="Times New Roman" w:cs="Times New Roman"/>
          <w:smallCaps/>
          <w:sz w:val="20"/>
          <w:szCs w:val="20"/>
        </w:rPr>
        <w:t>Halpérin</w:t>
      </w:r>
      <w:r w:rsidRPr="000571CD">
        <w:rPr>
          <w:rFonts w:ascii="Times New Roman" w:hAnsi="Times New Roman" w:cs="Times New Roman"/>
          <w:sz w:val="20"/>
          <w:szCs w:val="20"/>
        </w:rPr>
        <w:t xml:space="preserve">, « Droit et contexte du point de vue de l’histoire du droit », p. 117-121. </w:t>
      </w:r>
    </w:p>
  </w:footnote>
  <w:footnote w:id="10">
    <w:p w:rsidR="00AE7DB8" w:rsidRPr="000571CD" w:rsidRDefault="00AE7DB8" w:rsidP="000571CD">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Notons que pour la Cour européenne des droits de l’Homme, la nécessité est parfois incluse dans la proportionnalité mais pas toujours ; il semble néanmoins difficile de défendre la nécessité d’une mesure disproportionnée, voy P. </w:t>
      </w:r>
      <w:r w:rsidRPr="000571CD">
        <w:rPr>
          <w:rFonts w:ascii="Times New Roman" w:hAnsi="Times New Roman" w:cs="Times New Roman"/>
          <w:smallCaps/>
          <w:sz w:val="20"/>
          <w:szCs w:val="20"/>
        </w:rPr>
        <w:t>Muzny</w:t>
      </w:r>
      <w:r w:rsidRPr="000571CD">
        <w:rPr>
          <w:rFonts w:ascii="Times New Roman" w:hAnsi="Times New Roman" w:cs="Times New Roman"/>
          <w:sz w:val="20"/>
          <w:szCs w:val="20"/>
        </w:rPr>
        <w:t xml:space="preserve">, </w:t>
      </w:r>
      <w:r w:rsidRPr="000571CD">
        <w:rPr>
          <w:rFonts w:ascii="Times New Roman" w:hAnsi="Times New Roman" w:cs="Times New Roman"/>
          <w:i/>
          <w:sz w:val="20"/>
          <w:szCs w:val="20"/>
        </w:rPr>
        <w:t>La technique de la proportionnalité et le juge de la Convention européenne des droits de l’homme : essai sur un instrument nécessaire dans une société démocratique</w:t>
      </w:r>
      <w:r w:rsidRPr="000571CD">
        <w:rPr>
          <w:rFonts w:ascii="Times New Roman" w:hAnsi="Times New Roman" w:cs="Times New Roman"/>
          <w:sz w:val="20"/>
          <w:szCs w:val="20"/>
        </w:rPr>
        <w:t>, Aix-en-Provence, PUAM, 2005, p. 183-187, ou S</w:t>
      </w:r>
      <w:r w:rsidRPr="000571CD">
        <w:rPr>
          <w:rFonts w:ascii="Times New Roman" w:hAnsi="Times New Roman" w:cs="Times New Roman"/>
          <w:smallCaps/>
          <w:sz w:val="20"/>
          <w:szCs w:val="20"/>
        </w:rPr>
        <w:t>. van Drooghenbroeck</w:t>
      </w:r>
      <w:r w:rsidRPr="000571CD">
        <w:rPr>
          <w:rFonts w:ascii="Times New Roman" w:hAnsi="Times New Roman" w:cs="Times New Roman"/>
          <w:sz w:val="20"/>
          <w:szCs w:val="20"/>
        </w:rPr>
        <w:t xml:space="preserve">, </w:t>
      </w:r>
      <w:r w:rsidRPr="000571CD">
        <w:rPr>
          <w:rFonts w:ascii="Times New Roman" w:hAnsi="Times New Roman" w:cs="Times New Roman"/>
          <w:i/>
          <w:sz w:val="20"/>
          <w:szCs w:val="20"/>
        </w:rPr>
        <w:t>La proportionnalité dans le droit de la Convention européenne des droits de l’homme. Prendre l’idée simple au sérieux</w:t>
      </w:r>
      <w:r w:rsidRPr="000571CD">
        <w:rPr>
          <w:rFonts w:ascii="Times New Roman" w:hAnsi="Times New Roman" w:cs="Times New Roman"/>
          <w:sz w:val="20"/>
          <w:szCs w:val="20"/>
        </w:rPr>
        <w:t>, Bruxelles, Publications des Facultés Saint-Louis, 2001, §§ 247-291.</w:t>
      </w:r>
    </w:p>
  </w:footnote>
  <w:footnote w:id="11">
    <w:p w:rsidR="00AE7DB8" w:rsidRPr="000571CD" w:rsidRDefault="00AE7DB8" w:rsidP="000571CD">
      <w:pPr>
        <w:pStyle w:val="Notedebasdepage"/>
        <w:jc w:val="both"/>
        <w:rPr>
          <w:rFonts w:ascii="Times New Roman" w:hAnsi="Times New Roman" w:cs="Times New Roman"/>
          <w:sz w:val="20"/>
          <w:szCs w:val="20"/>
        </w:rPr>
      </w:pPr>
      <w:r w:rsidRPr="00EB6F6A">
        <w:rPr>
          <w:rStyle w:val="Marquenotebasdepage"/>
          <w:rFonts w:ascii="Times New Roman" w:hAnsi="Times New Roman" w:cs="Times New Roman"/>
          <w:sz w:val="20"/>
          <w:szCs w:val="20"/>
        </w:rPr>
        <w:footnoteRef/>
      </w:r>
      <w:r w:rsidRPr="00EB6F6A">
        <w:rPr>
          <w:rFonts w:ascii="Times New Roman" w:hAnsi="Times New Roman" w:cs="Times New Roman"/>
          <w:sz w:val="20"/>
          <w:szCs w:val="20"/>
        </w:rPr>
        <w:t xml:space="preserve"> C. </w:t>
      </w:r>
      <w:r w:rsidRPr="00EB6F6A">
        <w:rPr>
          <w:rFonts w:ascii="Times New Roman" w:hAnsi="Times New Roman" w:cs="Times New Roman"/>
          <w:smallCaps/>
          <w:sz w:val="20"/>
          <w:szCs w:val="20"/>
        </w:rPr>
        <w:t>Beccaria</w:t>
      </w:r>
      <w:r w:rsidRPr="00EB6F6A">
        <w:rPr>
          <w:rFonts w:ascii="Times New Roman" w:hAnsi="Times New Roman" w:cs="Times New Roman"/>
          <w:sz w:val="20"/>
          <w:szCs w:val="20"/>
        </w:rPr>
        <w:t xml:space="preserve">, </w:t>
      </w:r>
      <w:r w:rsidRPr="00EB6F6A">
        <w:rPr>
          <w:rFonts w:ascii="Times New Roman" w:hAnsi="Times New Roman" w:cs="Times New Roman"/>
          <w:i/>
          <w:sz w:val="20"/>
          <w:szCs w:val="20"/>
        </w:rPr>
        <w:t>op. cit.</w:t>
      </w:r>
      <w:r w:rsidRPr="00EB6F6A">
        <w:rPr>
          <w:rFonts w:ascii="Times New Roman" w:hAnsi="Times New Roman" w:cs="Times New Roman"/>
          <w:sz w:val="20"/>
          <w:szCs w:val="20"/>
        </w:rPr>
        <w:t>, Chap. XXVII, p. 227.</w:t>
      </w:r>
    </w:p>
  </w:footnote>
  <w:footnote w:id="12">
    <w:p w:rsidR="00AE7DB8" w:rsidRPr="000571CD" w:rsidRDefault="00AE7DB8" w:rsidP="000571CD">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Ce sont là des situations dont sont saisies les juridictions internationales pénales. Voy. le Statut du TPIY, en annexe à la Résolution 808 du CSNU, 22 février 1993 ; le Statut du TPIR, en annexe à la résolution 955 du CSNU, 8 novembre 1994 ; les actions entamées devant la CPI, entre autres dans les situations en RDC (ICC/01-04), en République du Kenya (ICC-01-09), en Libye (ICC-01/011).</w:t>
      </w:r>
    </w:p>
  </w:footnote>
  <w:footnote w:id="13">
    <w:p w:rsidR="00AE7DB8" w:rsidRPr="000571CD" w:rsidRDefault="00AE7DB8" w:rsidP="000571CD">
      <w:pPr>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TPIY,</w:t>
      </w:r>
      <w:r w:rsidRPr="000571CD">
        <w:rPr>
          <w:rFonts w:ascii="Times New Roman" w:hAnsi="Times New Roman" w:cs="Times New Roman"/>
          <w:i/>
          <w:sz w:val="20"/>
          <w:szCs w:val="20"/>
        </w:rPr>
        <w:t xml:space="preserve"> Tadić</w:t>
      </w:r>
      <w:r w:rsidRPr="000571CD">
        <w:rPr>
          <w:rFonts w:ascii="Times New Roman" w:hAnsi="Times New Roman" w:cs="Times New Roman"/>
          <w:sz w:val="20"/>
          <w:szCs w:val="20"/>
        </w:rPr>
        <w:t xml:space="preserve">, IT-94-I-T, Décision relative à l’exception préjudicielle d’incompétence soulevée par la Défense, 10 août 1995. </w:t>
      </w:r>
    </w:p>
  </w:footnote>
  <w:footnote w:id="14">
    <w:p w:rsidR="00AE7DB8" w:rsidRPr="000571CD" w:rsidRDefault="00AE7D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29"/>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D. S</w:t>
      </w:r>
      <w:r w:rsidRPr="000571CD">
        <w:rPr>
          <w:rFonts w:ascii="Times New Roman" w:hAnsi="Times New Roman" w:cs="Times New Roman"/>
          <w:smallCaps/>
          <w:sz w:val="20"/>
          <w:szCs w:val="20"/>
        </w:rPr>
        <w:t>calia</w:t>
      </w:r>
      <w:r w:rsidRPr="000571CD">
        <w:rPr>
          <w:rFonts w:ascii="Times New Roman" w:hAnsi="Times New Roman" w:cs="Times New Roman"/>
          <w:sz w:val="20"/>
          <w:szCs w:val="20"/>
        </w:rPr>
        <w:t xml:space="preserve">, </w:t>
      </w:r>
      <w:r w:rsidRPr="000571CD">
        <w:rPr>
          <w:rFonts w:ascii="Times New Roman" w:hAnsi="Times New Roman" w:cs="Times New Roman"/>
          <w:i/>
          <w:sz w:val="20"/>
          <w:szCs w:val="20"/>
        </w:rPr>
        <w:t>Du principe de légalité des peines en droit international pénal,</w:t>
      </w:r>
      <w:r w:rsidRPr="000571CD">
        <w:rPr>
          <w:rFonts w:ascii="Times New Roman" w:hAnsi="Times New Roman" w:cs="Times New Roman"/>
          <w:sz w:val="20"/>
          <w:szCs w:val="20"/>
        </w:rPr>
        <w:t xml:space="preserve"> Bruxelles, Bruylant, 2011.</w:t>
      </w:r>
    </w:p>
  </w:footnote>
  <w:footnote w:id="15">
    <w:p w:rsidR="00AE7DB8" w:rsidRPr="000571CD" w:rsidRDefault="00AE7DB8">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L’emprisonnement (à temps ou à perpétuité) est l’unique peine prononçable par les Tribunaux pénaux internationaux pour l’ex-Yougoslavie et le Rwanda, comme l’énoncent respectivement les articles 24 et 23 de leurs Statut. La peine de mort est proscrite en droit international pénal.</w:t>
      </w:r>
    </w:p>
  </w:footnote>
  <w:footnote w:id="16">
    <w:p w:rsidR="00AE7DB8" w:rsidRPr="000571CD" w:rsidRDefault="00AE7DB8">
      <w:pPr>
        <w:pStyle w:val="FootnoteText"/>
        <w:spacing w:before="0" w:after="0"/>
        <w:jc w:val="both"/>
        <w:rPr>
          <w:rFonts w:eastAsia="Times New Roman"/>
          <w:color w:val="auto"/>
        </w:rPr>
      </w:pPr>
      <w:r w:rsidRPr="000571CD">
        <w:rPr>
          <w:rStyle w:val="FootnoteReference"/>
        </w:rPr>
        <w:footnoteRef/>
      </w:r>
      <w:r w:rsidRPr="000571CD">
        <w:t xml:space="preserve"> TPIY, </w:t>
      </w:r>
      <w:r w:rsidRPr="000571CD">
        <w:rPr>
          <w:i/>
        </w:rPr>
        <w:t>Delalić et consorts</w:t>
      </w:r>
      <w:r w:rsidRPr="000571CD">
        <w:t>, IT-96-21-A, Arrêt, 20 février 2001, § 731.</w:t>
      </w:r>
    </w:p>
  </w:footnote>
  <w:footnote w:id="17">
    <w:p w:rsidR="00AE7DB8" w:rsidRPr="000571CD" w:rsidRDefault="00AE7DB8">
      <w:pPr>
        <w:jc w:val="both"/>
        <w:rPr>
          <w:rFonts w:ascii="Times New Roman" w:hAnsi="Times New Roman" w:cs="Times New Roman"/>
          <w:sz w:val="20"/>
          <w:szCs w:val="20"/>
        </w:rPr>
      </w:pPr>
      <w:r w:rsidRPr="000571CD">
        <w:rPr>
          <w:rStyle w:val="FootnoteReference"/>
          <w:rFonts w:ascii="Times New Roman" w:hAnsi="Times New Roman" w:cs="Times New Roman"/>
          <w:szCs w:val="20"/>
        </w:rPr>
        <w:footnoteRef/>
      </w:r>
      <w:r w:rsidRPr="000571CD">
        <w:rPr>
          <w:rFonts w:ascii="Times New Roman" w:hAnsi="Times New Roman" w:cs="Times New Roman"/>
          <w:sz w:val="20"/>
          <w:szCs w:val="20"/>
        </w:rPr>
        <w:t xml:space="preserve"> TPIY, </w:t>
      </w:r>
      <w:r w:rsidRPr="000571CD">
        <w:rPr>
          <w:rFonts w:ascii="Times New Roman" w:hAnsi="Times New Roman" w:cs="Times New Roman"/>
          <w:i/>
          <w:sz w:val="20"/>
          <w:szCs w:val="20"/>
        </w:rPr>
        <w:t>Erdemović</w:t>
      </w:r>
      <w:r w:rsidRPr="000571CD">
        <w:rPr>
          <w:rFonts w:ascii="Times New Roman" w:hAnsi="Times New Roman" w:cs="Times New Roman"/>
          <w:sz w:val="20"/>
          <w:szCs w:val="20"/>
        </w:rPr>
        <w:t xml:space="preserve">, IT-96-22-T, Jugement portant condamnation, 29 novembre 1996, § 34-40 ; TPIY, </w:t>
      </w:r>
      <w:r w:rsidRPr="000571CD">
        <w:rPr>
          <w:rFonts w:ascii="Times New Roman" w:hAnsi="Times New Roman" w:cs="Times New Roman"/>
          <w:i/>
          <w:sz w:val="20"/>
          <w:szCs w:val="20"/>
        </w:rPr>
        <w:t>Furundžjia</w:t>
      </w:r>
      <w:r w:rsidRPr="000571CD">
        <w:rPr>
          <w:rFonts w:ascii="Times New Roman" w:hAnsi="Times New Roman" w:cs="Times New Roman"/>
          <w:sz w:val="20"/>
          <w:szCs w:val="20"/>
        </w:rPr>
        <w:t xml:space="preserve">, IT-95-17/1-T, Jugement, 10 décembre 1998, § 249 ; TPIY, </w:t>
      </w:r>
      <w:r w:rsidRPr="000571CD">
        <w:rPr>
          <w:rFonts w:ascii="Times New Roman" w:hAnsi="Times New Roman" w:cs="Times New Roman"/>
          <w:i/>
          <w:sz w:val="20"/>
          <w:szCs w:val="20"/>
        </w:rPr>
        <w:t>Delalić et consorts</w:t>
      </w:r>
      <w:r w:rsidRPr="000571CD">
        <w:rPr>
          <w:rFonts w:ascii="Times New Roman" w:hAnsi="Times New Roman" w:cs="Times New Roman"/>
          <w:sz w:val="20"/>
          <w:szCs w:val="20"/>
        </w:rPr>
        <w:t xml:space="preserve">, IT-96-21-T, Jugement, 16 novembre 1998, § 1225 ; TPIY, </w:t>
      </w:r>
      <w:r w:rsidRPr="000571CD">
        <w:rPr>
          <w:rFonts w:ascii="Times New Roman" w:hAnsi="Times New Roman" w:cs="Times New Roman"/>
          <w:i/>
          <w:sz w:val="20"/>
          <w:szCs w:val="20"/>
        </w:rPr>
        <w:t>Kupreskić</w:t>
      </w:r>
      <w:r w:rsidRPr="000571CD">
        <w:rPr>
          <w:rFonts w:ascii="Times New Roman" w:hAnsi="Times New Roman" w:cs="Times New Roman"/>
          <w:sz w:val="20"/>
          <w:szCs w:val="20"/>
        </w:rPr>
        <w:t xml:space="preserve"> </w:t>
      </w:r>
      <w:r w:rsidRPr="000571CD">
        <w:rPr>
          <w:rFonts w:ascii="Times New Roman" w:hAnsi="Times New Roman" w:cs="Times New Roman"/>
          <w:i/>
          <w:sz w:val="20"/>
          <w:szCs w:val="20"/>
        </w:rPr>
        <w:t>et consorts</w:t>
      </w:r>
      <w:r w:rsidRPr="000571CD">
        <w:rPr>
          <w:rFonts w:ascii="Times New Roman" w:hAnsi="Times New Roman" w:cs="Times New Roman"/>
          <w:sz w:val="20"/>
          <w:szCs w:val="20"/>
        </w:rPr>
        <w:t xml:space="preserve">, IT-95-16-T, Jugement, 14 janvier 2000, § 852 ; TPIR, </w:t>
      </w:r>
      <w:r w:rsidRPr="000571CD">
        <w:rPr>
          <w:rFonts w:ascii="Times New Roman" w:hAnsi="Times New Roman" w:cs="Times New Roman"/>
          <w:i/>
          <w:sz w:val="20"/>
          <w:szCs w:val="20"/>
        </w:rPr>
        <w:t>Kambanda</w:t>
      </w:r>
      <w:r w:rsidRPr="000571CD">
        <w:rPr>
          <w:rFonts w:ascii="Times New Roman" w:hAnsi="Times New Roman" w:cs="Times New Roman"/>
          <w:sz w:val="20"/>
          <w:szCs w:val="20"/>
        </w:rPr>
        <w:t xml:space="preserve">, ICTR-97-23-S, Jugement et Sentence, 4 septembre 1998, § 56-57 ; TPIY, </w:t>
      </w:r>
      <w:r w:rsidRPr="00BC407B">
        <w:rPr>
          <w:rFonts w:ascii="Times New Roman" w:hAnsi="Times New Roman" w:cs="Times New Roman"/>
          <w:i/>
          <w:sz w:val="20"/>
          <w:szCs w:val="20"/>
        </w:rPr>
        <w:t>Blaskić</w:t>
      </w:r>
      <w:r w:rsidRPr="000571CD">
        <w:rPr>
          <w:rFonts w:ascii="Times New Roman" w:hAnsi="Times New Roman" w:cs="Times New Roman"/>
          <w:sz w:val="20"/>
          <w:szCs w:val="20"/>
        </w:rPr>
        <w:t xml:space="preserve">, IT-95-14-T, Jugement, 3 mars 2000, § 783 et ss ; TPIY, </w:t>
      </w:r>
      <w:r w:rsidRPr="00BC407B">
        <w:rPr>
          <w:rFonts w:ascii="Times New Roman" w:hAnsi="Times New Roman" w:cs="Times New Roman"/>
          <w:i/>
          <w:sz w:val="20"/>
          <w:szCs w:val="20"/>
        </w:rPr>
        <w:t>Aleksovski</w:t>
      </w:r>
      <w:r w:rsidRPr="000571CD">
        <w:rPr>
          <w:rFonts w:ascii="Times New Roman" w:hAnsi="Times New Roman" w:cs="Times New Roman"/>
          <w:sz w:val="20"/>
          <w:szCs w:val="20"/>
        </w:rPr>
        <w:t xml:space="preserve">, IT-95-14/1-A, Arrêt, 24 mars 2000, § 182 ; TPIY, </w:t>
      </w:r>
      <w:r w:rsidRPr="00BC407B">
        <w:rPr>
          <w:rFonts w:ascii="Times New Roman" w:hAnsi="Times New Roman" w:cs="Times New Roman"/>
          <w:i/>
          <w:sz w:val="20"/>
          <w:szCs w:val="20"/>
        </w:rPr>
        <w:t>Delalić et consorts</w:t>
      </w:r>
      <w:r w:rsidRPr="000571CD">
        <w:rPr>
          <w:rFonts w:ascii="Times New Roman" w:hAnsi="Times New Roman" w:cs="Times New Roman"/>
          <w:sz w:val="20"/>
          <w:szCs w:val="20"/>
        </w:rPr>
        <w:t xml:space="preserve">, IT-96-21-A, Arrêt, 20 février 2001, § 731 ; TPIY, </w:t>
      </w:r>
      <w:r w:rsidRPr="00BC407B">
        <w:rPr>
          <w:rFonts w:ascii="Times New Roman" w:hAnsi="Times New Roman" w:cs="Times New Roman"/>
          <w:i/>
          <w:sz w:val="20"/>
          <w:szCs w:val="20"/>
          <w:lang w:val="en-GB"/>
        </w:rPr>
        <w:t>Jelisić</w:t>
      </w:r>
      <w:r w:rsidRPr="000571CD">
        <w:rPr>
          <w:rFonts w:ascii="Times New Roman" w:hAnsi="Times New Roman" w:cs="Times New Roman"/>
          <w:sz w:val="20"/>
          <w:szCs w:val="20"/>
          <w:lang w:val="en-GB"/>
        </w:rPr>
        <w:t>, IT-95-10-A, Arrêt, 5 juillet 2001</w:t>
      </w:r>
      <w:r w:rsidRPr="000571CD">
        <w:rPr>
          <w:rFonts w:ascii="Times New Roman" w:hAnsi="Times New Roman" w:cs="Times New Roman"/>
          <w:sz w:val="20"/>
          <w:szCs w:val="20"/>
        </w:rPr>
        <w:t xml:space="preserve">, § 101 ;  TPIY, </w:t>
      </w:r>
      <w:r w:rsidRPr="000571CD">
        <w:rPr>
          <w:rFonts w:ascii="Times New Roman" w:hAnsi="Times New Roman" w:cs="Times New Roman"/>
          <w:i/>
          <w:sz w:val="20"/>
          <w:szCs w:val="20"/>
        </w:rPr>
        <w:t>Kunarac et consorts</w:t>
      </w:r>
      <w:r w:rsidRPr="000571CD">
        <w:rPr>
          <w:rFonts w:ascii="Times New Roman" w:hAnsi="Times New Roman" w:cs="Times New Roman"/>
          <w:sz w:val="20"/>
          <w:szCs w:val="20"/>
        </w:rPr>
        <w:t xml:space="preserve">, IT-96-23-T et IT-96-23/1-T, Jugement, 22  février 2001, § 841 ; TPIY, Strugar, IT-01-42-T, Jugement, 31 janvier 2005, § 459 ; TPIR, </w:t>
      </w:r>
      <w:r w:rsidRPr="00BC407B">
        <w:rPr>
          <w:rFonts w:ascii="Times New Roman" w:hAnsi="Times New Roman" w:cs="Times New Roman"/>
          <w:i/>
          <w:sz w:val="20"/>
          <w:szCs w:val="20"/>
        </w:rPr>
        <w:t>Barayagwiza, Nahimana, Ngeze</w:t>
      </w:r>
      <w:r w:rsidRPr="000571CD">
        <w:rPr>
          <w:rFonts w:ascii="Times New Roman" w:hAnsi="Times New Roman" w:cs="Times New Roman"/>
          <w:sz w:val="20"/>
          <w:szCs w:val="20"/>
        </w:rPr>
        <w:t xml:space="preserve">, ICTR-99-52-A, Arrêt, 28 novembre 2007, §. 1038 ; TPIY, </w:t>
      </w:r>
      <w:r w:rsidRPr="000571CD">
        <w:rPr>
          <w:rFonts w:ascii="Times New Roman" w:hAnsi="Times New Roman" w:cs="Times New Roman"/>
          <w:i/>
          <w:sz w:val="20"/>
          <w:szCs w:val="20"/>
          <w:lang w:val="en-GB"/>
        </w:rPr>
        <w:t>P</w:t>
      </w:r>
      <w:r w:rsidRPr="000571CD">
        <w:rPr>
          <w:rFonts w:ascii="Times New Roman" w:hAnsi="Times New Roman" w:cs="Times New Roman"/>
          <w:i/>
          <w:iCs/>
          <w:sz w:val="20"/>
          <w:szCs w:val="20"/>
          <w:lang w:val="en-GB"/>
        </w:rPr>
        <w:t>opović</w:t>
      </w:r>
      <w:r w:rsidRPr="000571CD">
        <w:rPr>
          <w:rFonts w:ascii="Times New Roman" w:hAnsi="Times New Roman" w:cs="Times New Roman"/>
          <w:i/>
          <w:sz w:val="20"/>
          <w:szCs w:val="20"/>
          <w:lang w:val="en-GB"/>
        </w:rPr>
        <w:t xml:space="preserve"> et al., </w:t>
      </w:r>
      <w:r w:rsidRPr="000571CD">
        <w:rPr>
          <w:rFonts w:ascii="Times New Roman" w:hAnsi="Times New Roman" w:cs="Times New Roman"/>
          <w:sz w:val="20"/>
          <w:szCs w:val="20"/>
          <w:lang w:val="en-GB"/>
        </w:rPr>
        <w:t>IT-05-88-T, Jugement, 10 juin 2010, §</w:t>
      </w:r>
      <w:r w:rsidRPr="000571CD">
        <w:rPr>
          <w:rFonts w:ascii="Times New Roman" w:hAnsi="Times New Roman" w:cs="Times New Roman"/>
          <w:sz w:val="20"/>
          <w:szCs w:val="20"/>
        </w:rPr>
        <w:t>. 2134.</w:t>
      </w:r>
    </w:p>
  </w:footnote>
  <w:footnote w:id="18">
    <w:p w:rsidR="00AE7DB8" w:rsidRPr="000571CD" w:rsidRDefault="00AE7DB8">
      <w:pPr>
        <w:pStyle w:val="FootnoteText"/>
        <w:spacing w:before="0" w:after="0"/>
        <w:jc w:val="both"/>
        <w:rPr>
          <w:rFonts w:eastAsia="Times New Roman"/>
          <w:color w:val="auto"/>
        </w:rPr>
      </w:pPr>
      <w:r w:rsidRPr="000571CD">
        <w:rPr>
          <w:rStyle w:val="FootnoteReference"/>
        </w:rPr>
        <w:footnoteRef/>
      </w:r>
      <w:r w:rsidRPr="000571CD">
        <w:t xml:space="preserve"> TPIY, </w:t>
      </w:r>
      <w:r w:rsidRPr="00BC407B">
        <w:rPr>
          <w:i/>
        </w:rPr>
        <w:t>Delalić et consorts</w:t>
      </w:r>
      <w:r w:rsidRPr="000571CD">
        <w:t xml:space="preserve">, IT-96-21-A, Arrêt, 20 février 2001, § 731 ; TPIY, </w:t>
      </w:r>
      <w:r w:rsidRPr="00BC407B">
        <w:rPr>
          <w:i/>
        </w:rPr>
        <w:t>Aleksovski</w:t>
      </w:r>
      <w:r w:rsidRPr="000571CD">
        <w:t>, cas n° IT-95-14/1-A, Arrêt, 24 mars 2000, § 182.</w:t>
      </w:r>
    </w:p>
  </w:footnote>
  <w:footnote w:id="19">
    <w:p w:rsidR="00AE7DB8" w:rsidRPr="000571CD" w:rsidRDefault="00AE7DB8">
      <w:pPr>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Parmi les </w:t>
      </w:r>
      <w:r w:rsidRPr="000571CD">
        <w:rPr>
          <w:rFonts w:ascii="Times New Roman" w:hAnsi="Times New Roman" w:cs="Times New Roman"/>
          <w:i/>
          <w:sz w:val="20"/>
          <w:szCs w:val="20"/>
        </w:rPr>
        <w:t>rares</w:t>
      </w:r>
      <w:r w:rsidRPr="000571CD">
        <w:rPr>
          <w:rFonts w:ascii="Times New Roman" w:hAnsi="Times New Roman" w:cs="Times New Roman"/>
          <w:sz w:val="20"/>
          <w:szCs w:val="20"/>
        </w:rPr>
        <w:t xml:space="preserve"> renvois explicites à la notion de proportionnalité, voir</w:t>
      </w:r>
      <w:r w:rsidRPr="000571CD">
        <w:rPr>
          <w:rFonts w:ascii="Times New Roman" w:eastAsia="Times New Roman" w:hAnsi="Times New Roman" w:cs="Times New Roman"/>
          <w:sz w:val="20"/>
          <w:szCs w:val="20"/>
        </w:rPr>
        <w:t xml:space="preserve"> TPIY, </w:t>
      </w:r>
      <w:r w:rsidRPr="00BC407B">
        <w:rPr>
          <w:rFonts w:ascii="Times New Roman" w:hAnsi="Times New Roman" w:cs="Times New Roman"/>
          <w:i/>
          <w:sz w:val="20"/>
          <w:szCs w:val="20"/>
        </w:rPr>
        <w:t>Mrđa</w:t>
      </w:r>
      <w:r w:rsidRPr="000571CD">
        <w:rPr>
          <w:rFonts w:ascii="Times New Roman" w:eastAsia="Times New Roman" w:hAnsi="Times New Roman" w:cs="Times New Roman"/>
          <w:sz w:val="20"/>
          <w:szCs w:val="20"/>
        </w:rPr>
        <w:t>, IT-02-59-S, Jugement portant condamnation, 31 mars 2004, § 14 : « En tant que forme de rétribution, la sanction (…) doit être proportionnelle à la gravité des crimes ».</w:t>
      </w:r>
    </w:p>
  </w:footnote>
  <w:footnote w:id="20">
    <w:p w:rsidR="00AE7DB8" w:rsidRPr="000571CD" w:rsidRDefault="00AE7DB8">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R. </w:t>
      </w:r>
      <w:r w:rsidRPr="000571CD">
        <w:rPr>
          <w:rFonts w:ascii="Times New Roman" w:hAnsi="Times New Roman" w:cs="Times New Roman"/>
          <w:smallCaps/>
          <w:sz w:val="20"/>
          <w:szCs w:val="20"/>
        </w:rPr>
        <w:t>Henham</w:t>
      </w:r>
      <w:r w:rsidRPr="000571CD">
        <w:rPr>
          <w:rFonts w:ascii="Times New Roman" w:hAnsi="Times New Roman" w:cs="Times New Roman"/>
          <w:sz w:val="20"/>
          <w:szCs w:val="20"/>
        </w:rPr>
        <w:t xml:space="preserve">, « The philosophical foundations of international sentencing », </w:t>
      </w:r>
      <w:r w:rsidRPr="000571CD">
        <w:rPr>
          <w:rFonts w:ascii="Times New Roman" w:hAnsi="Times New Roman" w:cs="Times New Roman"/>
          <w:i/>
          <w:iCs/>
          <w:sz w:val="20"/>
          <w:szCs w:val="20"/>
        </w:rPr>
        <w:t xml:space="preserve">Journal of Int. Crim. Justice, </w:t>
      </w:r>
      <w:r w:rsidRPr="000571CD">
        <w:rPr>
          <w:rFonts w:ascii="Times New Roman" w:hAnsi="Times New Roman" w:cs="Times New Roman"/>
          <w:sz w:val="20"/>
          <w:szCs w:val="20"/>
        </w:rPr>
        <w:t>2003, p. 72.</w:t>
      </w:r>
    </w:p>
  </w:footnote>
  <w:footnote w:id="21">
    <w:p w:rsidR="00AE7DB8" w:rsidRPr="000571CD" w:rsidRDefault="00AE7DB8">
      <w:pPr>
        <w:pStyle w:val="Notedebasdepage"/>
        <w:jc w:val="both"/>
        <w:rPr>
          <w:rFonts w:ascii="Times New Roman" w:hAnsi="Times New Roman" w:cs="Times New Roman"/>
          <w:sz w:val="20"/>
          <w:szCs w:val="20"/>
          <w:lang w:val="nl-NL"/>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w:t>
      </w:r>
      <w:r w:rsidRPr="000571CD">
        <w:rPr>
          <w:rFonts w:ascii="Times New Roman" w:hAnsi="Times New Roman" w:cs="Times New Roman"/>
          <w:sz w:val="20"/>
          <w:szCs w:val="20"/>
          <w:lang w:val="nl-NL"/>
        </w:rPr>
        <w:t xml:space="preserve">S. </w:t>
      </w:r>
      <w:r w:rsidRPr="000571CD">
        <w:rPr>
          <w:rFonts w:ascii="Times New Roman" w:hAnsi="Times New Roman" w:cs="Times New Roman"/>
          <w:smallCaps/>
          <w:sz w:val="20"/>
          <w:szCs w:val="20"/>
          <w:lang w:val="nl-NL"/>
        </w:rPr>
        <w:t>Van Drooghenbroek</w:t>
      </w:r>
      <w:r w:rsidRPr="000571CD">
        <w:rPr>
          <w:rFonts w:ascii="Times New Roman" w:hAnsi="Times New Roman" w:cs="Times New Roman"/>
          <w:sz w:val="20"/>
          <w:szCs w:val="20"/>
          <w:lang w:val="nl-NL"/>
        </w:rPr>
        <w:t xml:space="preserve">, </w:t>
      </w:r>
      <w:r w:rsidRPr="000571CD">
        <w:rPr>
          <w:rFonts w:ascii="Times New Roman" w:hAnsi="Times New Roman" w:cs="Times New Roman"/>
          <w:i/>
          <w:sz w:val="20"/>
          <w:szCs w:val="20"/>
          <w:lang w:val="nl-NL"/>
        </w:rPr>
        <w:t xml:space="preserve">op. cit., </w:t>
      </w:r>
      <w:r w:rsidRPr="000571CD">
        <w:rPr>
          <w:rFonts w:ascii="Times New Roman" w:hAnsi="Times New Roman" w:cs="Times New Roman"/>
          <w:sz w:val="20"/>
          <w:szCs w:val="20"/>
          <w:lang w:val="nl-NL"/>
        </w:rPr>
        <w:t>not. §§ 388-405.</w:t>
      </w:r>
    </w:p>
  </w:footnote>
  <w:footnote w:id="22">
    <w:p w:rsidR="00AE7DB8" w:rsidRPr="000571CD" w:rsidRDefault="00AE7D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29"/>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Rapport du Secrétaire Général établi conformément au para. 2 de la Résolution 808 (1993) du Conseil de Sécurité, doc NU CS/25704.</w:t>
      </w:r>
    </w:p>
  </w:footnote>
  <w:footnote w:id="23">
    <w:p w:rsidR="00AE7DB8" w:rsidRPr="000571CD" w:rsidRDefault="00AE7DB8">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Statut de la CPI, Préambule, al. 5.</w:t>
      </w:r>
    </w:p>
  </w:footnote>
  <w:footnote w:id="24">
    <w:p w:rsidR="00AE7DB8" w:rsidRPr="00F74D12" w:rsidRDefault="00AE7DB8">
      <w:pPr>
        <w:pStyle w:val="Notedebasdepage"/>
        <w:jc w:val="both"/>
        <w:rPr>
          <w:rFonts w:ascii="Times New Roman" w:hAnsi="Times New Roman" w:cs="Times New Roman"/>
          <w:sz w:val="20"/>
          <w:szCs w:val="20"/>
        </w:rPr>
      </w:pPr>
      <w:r w:rsidRPr="00F74D12">
        <w:rPr>
          <w:rStyle w:val="Marquenotebasdepage"/>
          <w:rFonts w:ascii="Times New Roman" w:hAnsi="Times New Roman" w:cs="Times New Roman"/>
          <w:sz w:val="20"/>
          <w:szCs w:val="20"/>
        </w:rPr>
        <w:footnoteRef/>
      </w:r>
      <w:r w:rsidRPr="00F74D12">
        <w:rPr>
          <w:rFonts w:ascii="Times New Roman" w:hAnsi="Times New Roman" w:cs="Times New Roman"/>
          <w:sz w:val="20"/>
          <w:szCs w:val="20"/>
        </w:rPr>
        <w:t xml:space="preserve"> C. </w:t>
      </w:r>
      <w:r w:rsidRPr="00F74D12">
        <w:rPr>
          <w:rFonts w:ascii="Times New Roman" w:hAnsi="Times New Roman" w:cs="Times New Roman"/>
          <w:smallCaps/>
          <w:sz w:val="20"/>
          <w:szCs w:val="20"/>
        </w:rPr>
        <w:t>Beccaria</w:t>
      </w:r>
      <w:r w:rsidRPr="00F74D12">
        <w:rPr>
          <w:rFonts w:ascii="Times New Roman" w:hAnsi="Times New Roman" w:cs="Times New Roman"/>
          <w:sz w:val="20"/>
          <w:szCs w:val="20"/>
        </w:rPr>
        <w:t xml:space="preserve">, </w:t>
      </w:r>
      <w:r w:rsidRPr="00F74D12">
        <w:rPr>
          <w:rFonts w:ascii="Times New Roman" w:hAnsi="Times New Roman" w:cs="Times New Roman"/>
          <w:i/>
          <w:sz w:val="20"/>
          <w:szCs w:val="20"/>
        </w:rPr>
        <w:t>op. cit.</w:t>
      </w:r>
      <w:r w:rsidRPr="00F74D12">
        <w:rPr>
          <w:rFonts w:ascii="Times New Roman" w:hAnsi="Times New Roman" w:cs="Times New Roman"/>
          <w:sz w:val="20"/>
          <w:szCs w:val="20"/>
        </w:rPr>
        <w:t>, Chap. XXVII, pp. 226-227.</w:t>
      </w:r>
    </w:p>
  </w:footnote>
  <w:footnote w:id="25">
    <w:p w:rsidR="00AE7DB8" w:rsidRPr="000571CD" w:rsidRDefault="00AE7DB8">
      <w:pPr>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Voy. par ex. S. </w:t>
      </w:r>
      <w:r w:rsidRPr="000571CD">
        <w:rPr>
          <w:rFonts w:ascii="Times New Roman" w:hAnsi="Times New Roman" w:cs="Times New Roman"/>
          <w:smallCaps/>
          <w:sz w:val="20"/>
          <w:szCs w:val="20"/>
        </w:rPr>
        <w:t xml:space="preserve">Morel, </w:t>
      </w:r>
      <w:r w:rsidRPr="000571CD">
        <w:rPr>
          <w:rFonts w:ascii="Times New Roman" w:hAnsi="Times New Roman" w:cs="Times New Roman"/>
          <w:i/>
          <w:sz w:val="20"/>
          <w:szCs w:val="20"/>
        </w:rPr>
        <w:t>La mise en oeuvre du principe de complémentarité par la Cour pénale internationale. Le cas particulier des amnisties</w:t>
      </w:r>
      <w:r w:rsidRPr="000571CD">
        <w:rPr>
          <w:rFonts w:ascii="Times New Roman" w:hAnsi="Times New Roman" w:cs="Times New Roman"/>
          <w:sz w:val="20"/>
          <w:szCs w:val="20"/>
        </w:rPr>
        <w:t xml:space="preserve">, Lausanne, Université de Lausanne, 2005, ou </w:t>
      </w:r>
      <w:r w:rsidRPr="000571CD">
        <w:rPr>
          <w:rFonts w:ascii="Times New Roman" w:hAnsi="Times New Roman" w:cs="Times New Roman"/>
          <w:smallCaps/>
          <w:sz w:val="20"/>
          <w:szCs w:val="20"/>
        </w:rPr>
        <w:t xml:space="preserve">Ch. </w:t>
      </w:r>
      <w:r w:rsidRPr="000571CD">
        <w:rPr>
          <w:rFonts w:ascii="Times New Roman" w:hAnsi="Times New Roman" w:cs="Times New Roman"/>
          <w:smallCaps/>
          <w:color w:val="000000"/>
          <w:sz w:val="20"/>
          <w:szCs w:val="20"/>
        </w:rPr>
        <w:t xml:space="preserve">Van den Wyngaert </w:t>
      </w:r>
      <w:r w:rsidRPr="000571CD">
        <w:rPr>
          <w:rFonts w:ascii="Times New Roman" w:hAnsi="Times New Roman" w:cs="Times New Roman"/>
          <w:color w:val="000000"/>
          <w:sz w:val="20"/>
          <w:szCs w:val="20"/>
        </w:rPr>
        <w:t>et</w:t>
      </w:r>
      <w:r w:rsidRPr="000571CD">
        <w:rPr>
          <w:rFonts w:ascii="Times New Roman" w:hAnsi="Times New Roman" w:cs="Times New Roman"/>
          <w:smallCaps/>
          <w:color w:val="000000"/>
          <w:sz w:val="20"/>
          <w:szCs w:val="20"/>
        </w:rPr>
        <w:t xml:space="preserve"> T. Ongena,</w:t>
      </w:r>
      <w:r w:rsidRPr="000571CD">
        <w:rPr>
          <w:rFonts w:ascii="Times New Roman" w:hAnsi="Times New Roman" w:cs="Times New Roman"/>
          <w:color w:val="000000"/>
          <w:sz w:val="20"/>
          <w:szCs w:val="20"/>
        </w:rPr>
        <w:t xml:space="preserve"> « </w:t>
      </w:r>
      <w:r w:rsidRPr="000571CD">
        <w:rPr>
          <w:rFonts w:ascii="Times New Roman" w:hAnsi="Times New Roman" w:cs="Times New Roman"/>
          <w:i/>
          <w:color w:val="000000"/>
          <w:sz w:val="20"/>
          <w:szCs w:val="20"/>
        </w:rPr>
        <w:t>Ne bis in idem</w:t>
      </w:r>
      <w:r w:rsidRPr="000571CD">
        <w:rPr>
          <w:rFonts w:ascii="Times New Roman" w:hAnsi="Times New Roman" w:cs="Times New Roman"/>
          <w:sz w:val="20"/>
          <w:szCs w:val="20"/>
        </w:rPr>
        <w:t xml:space="preserve"> principle, including the issue of amnesty », </w:t>
      </w:r>
      <w:r w:rsidRPr="000571CD">
        <w:rPr>
          <w:rFonts w:ascii="Times New Roman" w:hAnsi="Times New Roman" w:cs="Times New Roman"/>
          <w:smallCaps/>
          <w:sz w:val="20"/>
          <w:szCs w:val="20"/>
        </w:rPr>
        <w:t xml:space="preserve">A. Cassese, P. Gaeta </w:t>
      </w:r>
      <w:r w:rsidRPr="000571CD">
        <w:rPr>
          <w:rFonts w:ascii="Times New Roman" w:hAnsi="Times New Roman" w:cs="Times New Roman"/>
          <w:color w:val="000000"/>
          <w:sz w:val="20"/>
          <w:szCs w:val="20"/>
        </w:rPr>
        <w:t>et</w:t>
      </w:r>
      <w:r w:rsidRPr="000571CD">
        <w:rPr>
          <w:rFonts w:ascii="Times New Roman" w:hAnsi="Times New Roman" w:cs="Times New Roman"/>
          <w:smallCaps/>
          <w:sz w:val="20"/>
          <w:szCs w:val="20"/>
        </w:rPr>
        <w:t xml:space="preserve"> J.R. Jones</w:t>
      </w:r>
      <w:r w:rsidRPr="000571CD">
        <w:rPr>
          <w:rFonts w:ascii="Times New Roman" w:hAnsi="Times New Roman" w:cs="Times New Roman"/>
          <w:sz w:val="20"/>
          <w:szCs w:val="20"/>
        </w:rPr>
        <w:t xml:space="preserve"> (dir.), </w:t>
      </w:r>
      <w:r w:rsidRPr="000571CD">
        <w:rPr>
          <w:rFonts w:ascii="Times New Roman" w:hAnsi="Times New Roman" w:cs="Times New Roman"/>
          <w:i/>
          <w:sz w:val="20"/>
          <w:szCs w:val="20"/>
        </w:rPr>
        <w:t>The Rome Statute of the International Criminal Court</w:t>
      </w:r>
      <w:r w:rsidRPr="000571CD">
        <w:rPr>
          <w:rFonts w:ascii="Times New Roman" w:hAnsi="Times New Roman" w:cs="Times New Roman"/>
          <w:sz w:val="20"/>
          <w:szCs w:val="20"/>
        </w:rPr>
        <w:t>, vol. 1, OUP, 2002, p. 705-729. Ainsi la CPI est-elle habilitée à « compléter » l’action des Etats défaillants, qui manqueraient de la capacité ou de la volonté pénale (considérée comme) nécessaires, selon l’art. 17 de son Statut : l’objectif visé est de ne pas laisser les criminels impunis, ou trop faiblement punis.</w:t>
      </w:r>
    </w:p>
  </w:footnote>
  <w:footnote w:id="26">
    <w:p w:rsidR="00AE7DB8" w:rsidRPr="000571CD" w:rsidRDefault="00AE7DB8">
      <w:pPr>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Voy. par ex. St. </w:t>
      </w:r>
      <w:r w:rsidRPr="000571CD">
        <w:rPr>
          <w:rFonts w:ascii="Times New Roman" w:hAnsi="Times New Roman" w:cs="Times New Roman"/>
          <w:smallCaps/>
          <w:sz w:val="20"/>
          <w:szCs w:val="20"/>
        </w:rPr>
        <w:t>Maupas</w:t>
      </w:r>
      <w:r w:rsidRPr="000571CD">
        <w:rPr>
          <w:rFonts w:ascii="Times New Roman" w:hAnsi="Times New Roman" w:cs="Times New Roman"/>
          <w:sz w:val="20"/>
          <w:szCs w:val="20"/>
        </w:rPr>
        <w:t xml:space="preserve">, « La CPI, une justice de blancs », </w:t>
      </w:r>
      <w:r w:rsidRPr="000571CD">
        <w:rPr>
          <w:rFonts w:ascii="Times New Roman" w:hAnsi="Times New Roman" w:cs="Times New Roman"/>
          <w:i/>
          <w:sz w:val="20"/>
          <w:szCs w:val="20"/>
        </w:rPr>
        <w:t>Le Monde</w:t>
      </w:r>
      <w:r w:rsidRPr="000571CD">
        <w:rPr>
          <w:rFonts w:ascii="Times New Roman" w:hAnsi="Times New Roman" w:cs="Times New Roman"/>
          <w:sz w:val="20"/>
          <w:szCs w:val="20"/>
        </w:rPr>
        <w:t>, 4 juillet 2013 ; ou AFP/Notreafrique.com, « L’Union africaine dénonce la ‘chasse raciale’ opérée par la Cour pénale internationale », 27 mai 2013.</w:t>
      </w:r>
    </w:p>
  </w:footnote>
  <w:footnote w:id="27">
    <w:p w:rsidR="00AE7DB8" w:rsidRPr="000571CD" w:rsidRDefault="00AE7DB8">
      <w:pPr>
        <w:pStyle w:val="Notedebasdepage"/>
        <w:jc w:val="both"/>
        <w:rPr>
          <w:rFonts w:ascii="Times New Roman" w:hAnsi="Times New Roman" w:cs="Times New Roman"/>
          <w:sz w:val="20"/>
          <w:szCs w:val="20"/>
          <w:lang w:val="nl-NL"/>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w:t>
      </w:r>
      <w:r w:rsidRPr="000571CD">
        <w:rPr>
          <w:rFonts w:ascii="Times New Roman" w:hAnsi="Times New Roman" w:cs="Times New Roman"/>
          <w:smallCaps/>
          <w:sz w:val="20"/>
          <w:szCs w:val="20"/>
          <w:lang w:val="nl-NL"/>
        </w:rPr>
        <w:t>D. Scalia, M. Rauschenbach</w:t>
      </w:r>
      <w:r w:rsidRPr="000571CD">
        <w:rPr>
          <w:rFonts w:ascii="Times New Roman" w:hAnsi="Times New Roman" w:cs="Times New Roman"/>
          <w:sz w:val="20"/>
          <w:szCs w:val="20"/>
          <w:lang w:val="nl-NL"/>
        </w:rPr>
        <w:t xml:space="preserve"> et C. </w:t>
      </w:r>
      <w:r w:rsidRPr="000571CD">
        <w:rPr>
          <w:rFonts w:ascii="Times New Roman" w:hAnsi="Times New Roman" w:cs="Times New Roman"/>
          <w:smallCaps/>
          <w:sz w:val="20"/>
          <w:szCs w:val="20"/>
          <w:lang w:val="nl-NL"/>
        </w:rPr>
        <w:t>Staerkle</w:t>
      </w:r>
      <w:r w:rsidRPr="000571CD">
        <w:rPr>
          <w:rFonts w:ascii="Times New Roman" w:hAnsi="Times New Roman" w:cs="Times New Roman"/>
          <w:sz w:val="20"/>
          <w:szCs w:val="20"/>
          <w:lang w:val="nl-NL"/>
        </w:rPr>
        <w:t xml:space="preserve">, </w:t>
      </w:r>
      <w:r w:rsidRPr="000571CD">
        <w:rPr>
          <w:rFonts w:ascii="Times New Roman" w:hAnsi="Times New Roman" w:cs="Times New Roman"/>
          <w:i/>
          <w:sz w:val="20"/>
          <w:szCs w:val="20"/>
          <w:lang w:val="nl-NL"/>
        </w:rPr>
        <w:t>Paroles d’accusés sur la légitimité de la justice pénale internationale</w:t>
      </w:r>
      <w:r w:rsidRPr="000571CD">
        <w:rPr>
          <w:rFonts w:ascii="Times New Roman" w:hAnsi="Times New Roman" w:cs="Times New Roman"/>
          <w:sz w:val="20"/>
          <w:szCs w:val="20"/>
          <w:lang w:val="nl-NL"/>
        </w:rPr>
        <w:t xml:space="preserve">, </w:t>
      </w:r>
      <w:r w:rsidRPr="000571CD">
        <w:rPr>
          <w:rFonts w:ascii="Times New Roman" w:hAnsi="Times New Roman" w:cs="Times New Roman"/>
          <w:i/>
          <w:sz w:val="20"/>
          <w:szCs w:val="20"/>
          <w:lang w:val="nl-NL"/>
        </w:rPr>
        <w:t>Revue de science criminelle</w:t>
      </w:r>
      <w:r>
        <w:rPr>
          <w:rFonts w:ascii="Times New Roman" w:hAnsi="Times New Roman" w:cs="Times New Roman"/>
          <w:i/>
          <w:sz w:val="20"/>
          <w:szCs w:val="20"/>
          <w:lang w:val="nl-NL"/>
        </w:rPr>
        <w:t xml:space="preserve"> et de droit pénal comparé</w:t>
      </w:r>
      <w:r w:rsidRPr="000571CD">
        <w:rPr>
          <w:rFonts w:ascii="Times New Roman" w:hAnsi="Times New Roman" w:cs="Times New Roman"/>
          <w:sz w:val="20"/>
          <w:szCs w:val="20"/>
          <w:lang w:val="nl-NL"/>
        </w:rPr>
        <w:t xml:space="preserve">, </w:t>
      </w:r>
      <w:r w:rsidRPr="000571CD">
        <w:rPr>
          <w:rFonts w:ascii="Times New Roman" w:hAnsi="Times New Roman" w:cs="Times New Roman"/>
          <w:sz w:val="20"/>
          <w:szCs w:val="20"/>
        </w:rPr>
        <w:t>2012-3, p. 736.</w:t>
      </w:r>
    </w:p>
  </w:footnote>
  <w:footnote w:id="28">
    <w:p w:rsidR="00AE7DB8" w:rsidRPr="000571CD" w:rsidRDefault="00AE7DB8">
      <w:pPr>
        <w:pStyle w:val="Notedebasdepage"/>
        <w:jc w:val="both"/>
        <w:rPr>
          <w:rFonts w:ascii="Times New Roman" w:hAnsi="Times New Roman" w:cs="Times New Roman"/>
          <w:sz w:val="20"/>
          <w:szCs w:val="20"/>
        </w:rPr>
      </w:pPr>
      <w:r w:rsidRPr="00F74D12">
        <w:rPr>
          <w:rStyle w:val="Marquenotebasdepage"/>
          <w:rFonts w:ascii="Times New Roman" w:hAnsi="Times New Roman" w:cs="Times New Roman"/>
          <w:sz w:val="20"/>
          <w:szCs w:val="20"/>
        </w:rPr>
        <w:footnoteRef/>
      </w:r>
      <w:r w:rsidRPr="00F74D12">
        <w:rPr>
          <w:rFonts w:ascii="Times New Roman" w:hAnsi="Times New Roman" w:cs="Times New Roman"/>
          <w:sz w:val="20"/>
          <w:szCs w:val="20"/>
        </w:rPr>
        <w:t xml:space="preserve"> C. </w:t>
      </w:r>
      <w:r w:rsidRPr="00F74D12">
        <w:rPr>
          <w:rFonts w:ascii="Times New Roman" w:hAnsi="Times New Roman" w:cs="Times New Roman"/>
          <w:smallCaps/>
          <w:sz w:val="20"/>
          <w:szCs w:val="20"/>
        </w:rPr>
        <w:t>Beccaria</w:t>
      </w:r>
      <w:r w:rsidRPr="00F74D12">
        <w:rPr>
          <w:rFonts w:ascii="Times New Roman" w:hAnsi="Times New Roman" w:cs="Times New Roman"/>
          <w:sz w:val="20"/>
          <w:szCs w:val="20"/>
        </w:rPr>
        <w:t xml:space="preserve">, </w:t>
      </w:r>
      <w:r w:rsidRPr="00F74D12">
        <w:rPr>
          <w:rFonts w:ascii="Times New Roman" w:hAnsi="Times New Roman" w:cs="Times New Roman"/>
          <w:i/>
          <w:sz w:val="20"/>
          <w:szCs w:val="20"/>
        </w:rPr>
        <w:t>op. cit.</w:t>
      </w:r>
      <w:r w:rsidRPr="00F74D12">
        <w:rPr>
          <w:rFonts w:ascii="Times New Roman" w:hAnsi="Times New Roman" w:cs="Times New Roman"/>
          <w:sz w:val="20"/>
          <w:szCs w:val="20"/>
        </w:rPr>
        <w:t>, Chap. VI, p. 161.</w:t>
      </w:r>
    </w:p>
  </w:footnote>
  <w:footnote w:id="29">
    <w:p w:rsidR="00AE7DB8" w:rsidRPr="000571CD" w:rsidRDefault="00AE7DB8">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S. D’A</w:t>
      </w:r>
      <w:r w:rsidRPr="000571CD">
        <w:rPr>
          <w:rFonts w:ascii="Times New Roman" w:hAnsi="Times New Roman" w:cs="Times New Roman"/>
          <w:smallCaps/>
          <w:sz w:val="20"/>
          <w:szCs w:val="20"/>
        </w:rPr>
        <w:t>scoli</w:t>
      </w:r>
      <w:r w:rsidRPr="000571CD">
        <w:rPr>
          <w:rFonts w:ascii="Times New Roman" w:hAnsi="Times New Roman" w:cs="Times New Roman"/>
          <w:sz w:val="20"/>
          <w:szCs w:val="20"/>
        </w:rPr>
        <w:t xml:space="preserve">, </w:t>
      </w:r>
      <w:r w:rsidRPr="000571CD">
        <w:rPr>
          <w:rFonts w:ascii="Times New Roman" w:hAnsi="Times New Roman" w:cs="Times New Roman"/>
          <w:i/>
          <w:sz w:val="20"/>
          <w:szCs w:val="20"/>
        </w:rPr>
        <w:t>Sentencing in International Crimnal Law: The UN ad hoc Tribunals and future perspectives for the International Criminal Court</w:t>
      </w:r>
      <w:r w:rsidRPr="000571CD">
        <w:rPr>
          <w:rFonts w:ascii="Times New Roman" w:hAnsi="Times New Roman" w:cs="Times New Roman"/>
          <w:sz w:val="20"/>
          <w:szCs w:val="20"/>
        </w:rPr>
        <w:t>, Oxford, Hart, 2011.</w:t>
      </w:r>
    </w:p>
  </w:footnote>
  <w:footnote w:id="30">
    <w:p w:rsidR="00AE7DB8" w:rsidRPr="000571CD" w:rsidRDefault="00AE7DB8">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w:t>
      </w:r>
      <w:r w:rsidRPr="000571CD">
        <w:rPr>
          <w:rFonts w:ascii="Times New Roman" w:hAnsi="Times New Roman" w:cs="Times New Roman"/>
          <w:i/>
          <w:sz w:val="20"/>
          <w:szCs w:val="20"/>
        </w:rPr>
        <w:t>Serushago</w:t>
      </w:r>
      <w:r w:rsidRPr="000571CD">
        <w:rPr>
          <w:rFonts w:ascii="Times New Roman" w:hAnsi="Times New Roman" w:cs="Times New Roman"/>
          <w:sz w:val="20"/>
          <w:szCs w:val="20"/>
        </w:rPr>
        <w:t>, ICTR-98-39-S, Jugement et Sentence, 5 février 1999, § 15</w:t>
      </w:r>
    </w:p>
  </w:footnote>
  <w:footnote w:id="31">
    <w:p w:rsidR="00AE7DB8" w:rsidRPr="000571CD" w:rsidRDefault="00AE7DB8">
      <w:pPr>
        <w:pStyle w:val="FootnoteText"/>
        <w:spacing w:before="0" w:after="0"/>
        <w:jc w:val="both"/>
        <w:rPr>
          <w:rFonts w:eastAsia="Times New Roman"/>
          <w:color w:val="auto"/>
        </w:rPr>
      </w:pPr>
      <w:r w:rsidRPr="000571CD">
        <w:rPr>
          <w:rStyle w:val="FootnoteReference"/>
        </w:rPr>
        <w:footnoteRef/>
      </w:r>
      <w:r w:rsidRPr="000571CD">
        <w:t xml:space="preserve"> TPIY, </w:t>
      </w:r>
      <w:r w:rsidRPr="000571CD">
        <w:rPr>
          <w:i/>
        </w:rPr>
        <w:t>Furundžjia</w:t>
      </w:r>
      <w:r w:rsidRPr="000571CD">
        <w:t>, IT-95-17/1-A, Arrêt, 21 juillet 2000, § 237.</w:t>
      </w:r>
    </w:p>
  </w:footnote>
  <w:footnote w:id="32">
    <w:p w:rsidR="00AE7DB8" w:rsidRPr="000571CD" w:rsidRDefault="00AE7DB8">
      <w:pPr>
        <w:pStyle w:val="FootnoteText"/>
        <w:spacing w:before="0" w:after="0"/>
        <w:jc w:val="both"/>
        <w:rPr>
          <w:rFonts w:eastAsia="Times New Roman"/>
          <w:color w:val="auto"/>
        </w:rPr>
      </w:pPr>
      <w:r w:rsidRPr="000571CD">
        <w:rPr>
          <w:rStyle w:val="FootnoteReference"/>
        </w:rPr>
        <w:footnoteRef/>
      </w:r>
      <w:r w:rsidRPr="000571CD">
        <w:t xml:space="preserve"> TPIY, </w:t>
      </w:r>
      <w:r w:rsidRPr="000571CD">
        <w:rPr>
          <w:i/>
        </w:rPr>
        <w:t>Delalić et consorts</w:t>
      </w:r>
      <w:r w:rsidRPr="000571CD">
        <w:t>, IT-96-21-A, Arrêt, 20 février 2001, § 716.</w:t>
      </w:r>
    </w:p>
  </w:footnote>
  <w:footnote w:id="33">
    <w:p w:rsidR="00AE7DB8" w:rsidRPr="000571CD" w:rsidRDefault="00AE7DB8">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S. D’A</w:t>
      </w:r>
      <w:r w:rsidRPr="000571CD">
        <w:rPr>
          <w:rFonts w:ascii="Times New Roman" w:hAnsi="Times New Roman" w:cs="Times New Roman"/>
          <w:smallCaps/>
          <w:sz w:val="20"/>
          <w:szCs w:val="20"/>
        </w:rPr>
        <w:t>scoli</w:t>
      </w:r>
      <w:r w:rsidRPr="000571CD">
        <w:rPr>
          <w:rFonts w:ascii="Times New Roman" w:hAnsi="Times New Roman" w:cs="Times New Roman"/>
          <w:sz w:val="20"/>
          <w:szCs w:val="20"/>
        </w:rPr>
        <w:t xml:space="preserve">, </w:t>
      </w:r>
      <w:r w:rsidRPr="000571CD">
        <w:rPr>
          <w:rFonts w:ascii="Times New Roman" w:hAnsi="Times New Roman" w:cs="Times New Roman"/>
          <w:i/>
          <w:sz w:val="20"/>
          <w:szCs w:val="20"/>
        </w:rPr>
        <w:t>op. cit</w:t>
      </w:r>
      <w:r w:rsidRPr="000571CD">
        <w:rPr>
          <w:rFonts w:ascii="Times New Roman" w:hAnsi="Times New Roman" w:cs="Times New Roman"/>
          <w:sz w:val="20"/>
          <w:szCs w:val="20"/>
        </w:rPr>
        <w:t>.</w:t>
      </w:r>
    </w:p>
  </w:footnote>
  <w:footnote w:id="34">
    <w:p w:rsidR="00AE7DB8" w:rsidRPr="000571CD" w:rsidRDefault="00AE7DB8">
      <w:pPr>
        <w:pStyle w:val="Notedebasdepage"/>
        <w:jc w:val="both"/>
        <w:rPr>
          <w:rFonts w:ascii="Times New Roman" w:hAnsi="Times New Roman" w:cs="Times New Roman"/>
          <w:sz w:val="20"/>
          <w:szCs w:val="20"/>
          <w:lang w:val="nl-NL"/>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w:t>
      </w:r>
      <w:r w:rsidRPr="000571CD">
        <w:rPr>
          <w:rFonts w:ascii="Times New Roman" w:hAnsi="Times New Roman" w:cs="Times New Roman"/>
          <w:sz w:val="20"/>
          <w:szCs w:val="20"/>
          <w:lang w:val="nl-NL"/>
        </w:rPr>
        <w:t xml:space="preserve">Par ex. une réclusion de 15 ans d’une part, à perpétuité de l’autre, pour trois </w:t>
      </w:r>
      <w:r w:rsidRPr="000571CD">
        <w:rPr>
          <w:rFonts w:ascii="Times New Roman" w:hAnsi="Times New Roman" w:cs="Times New Roman"/>
          <w:sz w:val="20"/>
          <w:szCs w:val="20"/>
        </w:rPr>
        <w:t xml:space="preserve">chefs de crime contre l’humanité et sa participation au génocide rwandais (le « crime des crimes »), dans les affaires TPIR, </w:t>
      </w:r>
      <w:r w:rsidRPr="000571CD">
        <w:rPr>
          <w:rFonts w:ascii="Times New Roman" w:hAnsi="Times New Roman" w:cs="Times New Roman"/>
          <w:i/>
          <w:sz w:val="20"/>
          <w:szCs w:val="20"/>
        </w:rPr>
        <w:t xml:space="preserve">Rutaganda, </w:t>
      </w:r>
      <w:r w:rsidRPr="000571CD">
        <w:rPr>
          <w:rFonts w:ascii="Times New Roman" w:hAnsi="Times New Roman" w:cs="Times New Roman"/>
          <w:sz w:val="20"/>
          <w:szCs w:val="20"/>
        </w:rPr>
        <w:t xml:space="preserve">ICTR-96-3-T Jugement, 6 décembre 1999 et TPIR, </w:t>
      </w:r>
      <w:r w:rsidRPr="000571CD">
        <w:rPr>
          <w:rFonts w:ascii="Times New Roman" w:hAnsi="Times New Roman" w:cs="Times New Roman"/>
          <w:i/>
          <w:sz w:val="20"/>
          <w:szCs w:val="20"/>
        </w:rPr>
        <w:t>Serushago</w:t>
      </w:r>
      <w:r w:rsidRPr="000571CD">
        <w:rPr>
          <w:rFonts w:ascii="Times New Roman" w:hAnsi="Times New Roman" w:cs="Times New Roman"/>
          <w:sz w:val="20"/>
          <w:szCs w:val="20"/>
        </w:rPr>
        <w:t>, ICTR-98-39-S, Jugement et Sentence, 5 février 1999.</w:t>
      </w:r>
    </w:p>
  </w:footnote>
  <w:footnote w:id="35">
    <w:p w:rsidR="00AE7DB8" w:rsidRPr="000571CD" w:rsidRDefault="00AE7DB8">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15 ans dans l’affaire TPIR, </w:t>
      </w:r>
      <w:r w:rsidRPr="000571CD">
        <w:rPr>
          <w:rFonts w:ascii="Times New Roman" w:hAnsi="Times New Roman" w:cs="Times New Roman"/>
          <w:i/>
          <w:sz w:val="20"/>
          <w:szCs w:val="20"/>
        </w:rPr>
        <w:t>Serushago</w:t>
      </w:r>
      <w:r w:rsidRPr="000571CD">
        <w:rPr>
          <w:rFonts w:ascii="Times New Roman" w:hAnsi="Times New Roman" w:cs="Times New Roman"/>
          <w:sz w:val="20"/>
          <w:szCs w:val="20"/>
        </w:rPr>
        <w:t xml:space="preserve">, ICTR-98-39-S, Jugement et Sentence, 5 février 1999. </w:t>
      </w:r>
    </w:p>
  </w:footnote>
  <w:footnote w:id="36">
    <w:p w:rsidR="00AE7DB8" w:rsidRPr="000571CD" w:rsidRDefault="00AE7DB8">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18 ans dans l’affaire TPIY, </w:t>
      </w:r>
      <w:r w:rsidRPr="000571CD">
        <w:rPr>
          <w:rFonts w:ascii="Times New Roman" w:hAnsi="Times New Roman" w:cs="Times New Roman"/>
          <w:i/>
          <w:sz w:val="20"/>
          <w:szCs w:val="20"/>
        </w:rPr>
        <w:t>Delalić et consorts</w:t>
      </w:r>
      <w:r w:rsidRPr="000571CD">
        <w:rPr>
          <w:rFonts w:ascii="Times New Roman" w:hAnsi="Times New Roman" w:cs="Times New Roman"/>
          <w:sz w:val="20"/>
          <w:szCs w:val="20"/>
        </w:rPr>
        <w:t xml:space="preserve">, IT-96-21-A, Arrêt, 20 février 2001.. </w:t>
      </w:r>
    </w:p>
  </w:footnote>
  <w:footnote w:id="37">
    <w:p w:rsidR="00AE7DB8" w:rsidRPr="000571CD" w:rsidRDefault="00AE7DB8">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Statut du TPIY, art. 23, et Statut du TPIR, art. 24.</w:t>
      </w:r>
    </w:p>
  </w:footnote>
  <w:footnote w:id="38">
    <w:p w:rsidR="00AE7DB8" w:rsidRPr="000571CD" w:rsidRDefault="00AE7DB8">
      <w:pPr>
        <w:pStyle w:val="Notedebasdepage"/>
        <w:jc w:val="both"/>
        <w:rPr>
          <w:rFonts w:ascii="Times New Roman" w:hAnsi="Times New Roman" w:cs="Times New Roman"/>
          <w:sz w:val="20"/>
          <w:szCs w:val="20"/>
        </w:rPr>
      </w:pPr>
      <w:r w:rsidRPr="00AE7DB8">
        <w:rPr>
          <w:rStyle w:val="Marquenotebasdepage"/>
          <w:rFonts w:ascii="Times New Roman" w:hAnsi="Times New Roman" w:cs="Times New Roman"/>
          <w:sz w:val="20"/>
          <w:szCs w:val="20"/>
        </w:rPr>
        <w:footnoteRef/>
      </w:r>
      <w:r w:rsidRPr="00AE7DB8">
        <w:rPr>
          <w:rFonts w:ascii="Times New Roman" w:hAnsi="Times New Roman" w:cs="Times New Roman"/>
          <w:sz w:val="20"/>
          <w:szCs w:val="20"/>
        </w:rPr>
        <w:t xml:space="preserve"> C. </w:t>
      </w:r>
      <w:r w:rsidRPr="00AE7DB8">
        <w:rPr>
          <w:rFonts w:ascii="Times New Roman" w:hAnsi="Times New Roman" w:cs="Times New Roman"/>
          <w:smallCaps/>
          <w:sz w:val="20"/>
          <w:szCs w:val="20"/>
        </w:rPr>
        <w:t>Beccaria</w:t>
      </w:r>
      <w:r w:rsidRPr="00AE7DB8">
        <w:rPr>
          <w:rFonts w:ascii="Times New Roman" w:hAnsi="Times New Roman" w:cs="Times New Roman"/>
          <w:sz w:val="20"/>
          <w:szCs w:val="20"/>
        </w:rPr>
        <w:t xml:space="preserve">, </w:t>
      </w:r>
      <w:r w:rsidRPr="00AE7DB8">
        <w:rPr>
          <w:rFonts w:ascii="Times New Roman" w:hAnsi="Times New Roman" w:cs="Times New Roman"/>
          <w:i/>
          <w:sz w:val="20"/>
          <w:szCs w:val="20"/>
        </w:rPr>
        <w:t>op. cit.</w:t>
      </w:r>
      <w:r w:rsidRPr="00AE7DB8">
        <w:rPr>
          <w:rFonts w:ascii="Times New Roman" w:hAnsi="Times New Roman" w:cs="Times New Roman"/>
          <w:sz w:val="20"/>
          <w:szCs w:val="20"/>
        </w:rPr>
        <w:t>, Chap. XXXIII, p. 263.</w:t>
      </w:r>
    </w:p>
  </w:footnote>
  <w:footnote w:id="39">
    <w:p w:rsidR="00AE7DB8" w:rsidRPr="000571CD" w:rsidRDefault="00AE7DB8">
      <w:pPr>
        <w:pStyle w:val="Notedebasdepage"/>
        <w:jc w:val="both"/>
        <w:rPr>
          <w:rFonts w:ascii="Times New Roman" w:hAnsi="Times New Roman" w:cs="Times New Roman"/>
          <w:sz w:val="20"/>
          <w:szCs w:val="20"/>
          <w:lang w:val="nl-NL"/>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w:t>
      </w:r>
      <w:r w:rsidRPr="000571CD">
        <w:rPr>
          <w:rFonts w:ascii="Times New Roman" w:hAnsi="Times New Roman" w:cs="Times New Roman"/>
          <w:i/>
          <w:sz w:val="20"/>
          <w:szCs w:val="20"/>
          <w:lang w:val="nl-NL"/>
        </w:rPr>
        <w:t>Ibidem</w:t>
      </w:r>
      <w:r w:rsidRPr="000571CD">
        <w:rPr>
          <w:rFonts w:ascii="Times New Roman" w:hAnsi="Times New Roman" w:cs="Times New Roman"/>
          <w:sz w:val="20"/>
          <w:szCs w:val="20"/>
          <w:lang w:val="nl-NL"/>
        </w:rPr>
        <w:t xml:space="preserve">. </w:t>
      </w:r>
    </w:p>
  </w:footnote>
  <w:footnote w:id="40">
    <w:p w:rsidR="00AE7DB8" w:rsidRPr="000571CD" w:rsidRDefault="00AE7DB8">
      <w:pPr>
        <w:pStyle w:val="FootnoteText1"/>
        <w:spacing w:before="0" w:after="0"/>
        <w:jc w:val="both"/>
        <w:rPr>
          <w:rFonts w:eastAsia="Times New Roman"/>
          <w:color w:val="auto"/>
        </w:rPr>
      </w:pPr>
      <w:r w:rsidRPr="000571CD">
        <w:rPr>
          <w:rStyle w:val="FootnoteReference1"/>
        </w:rPr>
        <w:footnoteRef/>
      </w:r>
      <w:r w:rsidRPr="000571CD">
        <w:t xml:space="preserve"> F. H</w:t>
      </w:r>
      <w:r w:rsidRPr="000571CD">
        <w:rPr>
          <w:smallCaps/>
        </w:rPr>
        <w:t>arhoff</w:t>
      </w:r>
      <w:r w:rsidRPr="000571CD">
        <w:t xml:space="preserve">, « Sense and Sensibility in Sentencing – Taking stock of international criminal punishment », O. </w:t>
      </w:r>
      <w:r w:rsidRPr="000571CD">
        <w:rPr>
          <w:smallCaps/>
        </w:rPr>
        <w:t>Engdahl</w:t>
      </w:r>
      <w:r w:rsidRPr="000571CD">
        <w:t xml:space="preserve"> et P. W</w:t>
      </w:r>
      <w:r w:rsidRPr="000571CD">
        <w:rPr>
          <w:smallCaps/>
        </w:rPr>
        <w:t>range</w:t>
      </w:r>
      <w:r w:rsidRPr="000571CD">
        <w:t xml:space="preserve"> (ed.), </w:t>
      </w:r>
      <w:r w:rsidRPr="000571CD">
        <w:rPr>
          <w:i/>
        </w:rPr>
        <w:t>Law at war: the law as it was and the law as it should be: liber amicorum Ove Bring</w:t>
      </w:r>
      <w:r w:rsidRPr="000571CD">
        <w:t>, Leiden, Nijhof, 2008, p. 121-140 (pp. 1-22), p. 5.</w:t>
      </w:r>
    </w:p>
  </w:footnote>
  <w:footnote w:id="41">
    <w:p w:rsidR="00AE7DB8" w:rsidRPr="000571CD" w:rsidRDefault="00AE7DB8">
      <w:pPr>
        <w:pStyle w:val="FootnoteText1"/>
        <w:spacing w:before="0" w:after="0"/>
        <w:jc w:val="both"/>
        <w:rPr>
          <w:rFonts w:eastAsia="Times New Roman"/>
          <w:color w:val="auto"/>
        </w:rPr>
      </w:pPr>
      <w:r w:rsidRPr="000571CD">
        <w:rPr>
          <w:rStyle w:val="FootnoteReference1"/>
        </w:rPr>
        <w:footnoteRef/>
      </w:r>
      <w:r w:rsidRPr="000571CD">
        <w:t xml:space="preserve"> H. A</w:t>
      </w:r>
      <w:r w:rsidRPr="000571CD">
        <w:rPr>
          <w:smallCaps/>
        </w:rPr>
        <w:t>rendt</w:t>
      </w:r>
      <w:r w:rsidRPr="000571CD">
        <w:t xml:space="preserve">, </w:t>
      </w:r>
      <w:r w:rsidRPr="000571CD">
        <w:rPr>
          <w:i/>
        </w:rPr>
        <w:t>La condition de l’homme moderne</w:t>
      </w:r>
      <w:r w:rsidRPr="000571CD">
        <w:t>, Paris, Calmann-Lévy, 1961, p. 271.</w:t>
      </w:r>
    </w:p>
  </w:footnote>
  <w:footnote w:id="42">
    <w:p w:rsidR="00AE7DB8" w:rsidRPr="000571CD" w:rsidRDefault="00AE7DB8">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A. von H</w:t>
      </w:r>
      <w:r w:rsidRPr="000571CD">
        <w:rPr>
          <w:rFonts w:ascii="Times New Roman" w:hAnsi="Times New Roman" w:cs="Times New Roman"/>
          <w:smallCaps/>
          <w:sz w:val="20"/>
          <w:szCs w:val="20"/>
        </w:rPr>
        <w:t>irsch</w:t>
      </w:r>
      <w:r w:rsidRPr="000571CD">
        <w:rPr>
          <w:rFonts w:ascii="Times New Roman" w:hAnsi="Times New Roman" w:cs="Times New Roman"/>
          <w:sz w:val="20"/>
          <w:szCs w:val="20"/>
        </w:rPr>
        <w:t xml:space="preserve">, </w:t>
      </w:r>
      <w:r w:rsidRPr="000571CD">
        <w:rPr>
          <w:rFonts w:ascii="Times New Roman" w:hAnsi="Times New Roman" w:cs="Times New Roman"/>
          <w:i/>
          <w:sz w:val="20"/>
          <w:szCs w:val="20"/>
        </w:rPr>
        <w:t>Censure and Sanctions</w:t>
      </w:r>
      <w:r w:rsidRPr="000571CD">
        <w:rPr>
          <w:rFonts w:ascii="Times New Roman" w:hAnsi="Times New Roman" w:cs="Times New Roman"/>
          <w:sz w:val="20"/>
          <w:szCs w:val="20"/>
        </w:rPr>
        <w:t>, Oxford, Clarendon Press, 1993, p. 15-18.</w:t>
      </w:r>
    </w:p>
  </w:footnote>
  <w:footnote w:id="43">
    <w:p w:rsidR="00AE7DB8" w:rsidRPr="000571CD" w:rsidRDefault="00AE7DB8">
      <w:pPr>
        <w:pStyle w:val="FootnoteText1"/>
        <w:spacing w:before="0" w:after="0"/>
        <w:jc w:val="both"/>
        <w:rPr>
          <w:rFonts w:eastAsia="Times New Roman"/>
          <w:color w:val="auto"/>
        </w:rPr>
      </w:pPr>
      <w:r w:rsidRPr="000571CD">
        <w:rPr>
          <w:rStyle w:val="FootnoteReference1"/>
        </w:rPr>
        <w:footnoteRef/>
      </w:r>
      <w:r w:rsidRPr="000571CD">
        <w:t xml:space="preserve"> P. P</w:t>
      </w:r>
      <w:r w:rsidRPr="000571CD">
        <w:rPr>
          <w:smallCaps/>
        </w:rPr>
        <w:t>oncela</w:t>
      </w:r>
      <w:r w:rsidRPr="000571CD">
        <w:t xml:space="preserve">, « Perpétuité, sûreté perpétuelle : la peine de mort à petit feu, entretien accordé à Hommes et Libertés », </w:t>
      </w:r>
      <w:r w:rsidRPr="000571CD">
        <w:rPr>
          <w:i/>
        </w:rPr>
        <w:t>Revue de la ligue des droits de l’homme</w:t>
      </w:r>
      <w:r w:rsidRPr="000571CD">
        <w:t>, Paris, 2001, n° 116.</w:t>
      </w:r>
    </w:p>
  </w:footnote>
  <w:footnote w:id="44">
    <w:p w:rsidR="00AE7DB8" w:rsidRPr="000A44A2" w:rsidRDefault="00AE7DB8" w:rsidP="000A44A2">
      <w:pPr>
        <w:pStyle w:val="Notedebasdepage"/>
        <w:jc w:val="both"/>
        <w:rPr>
          <w:sz w:val="20"/>
          <w:szCs w:val="20"/>
          <w:lang w:val="nl-NL"/>
        </w:rPr>
      </w:pPr>
      <w:r w:rsidRPr="000A44A2">
        <w:rPr>
          <w:rStyle w:val="Marquenotebasdepage"/>
          <w:sz w:val="20"/>
          <w:szCs w:val="20"/>
        </w:rPr>
        <w:footnoteRef/>
      </w:r>
      <w:r w:rsidRPr="000A44A2">
        <w:rPr>
          <w:sz w:val="20"/>
          <w:szCs w:val="20"/>
        </w:rPr>
        <w:t xml:space="preserve"> </w:t>
      </w:r>
      <w:r w:rsidRPr="000A44A2">
        <w:rPr>
          <w:sz w:val="20"/>
          <w:szCs w:val="20"/>
          <w:lang w:val="nl-NL"/>
        </w:rPr>
        <w:t>ONU, Communiqué de presse. Le Comité préparatoire pour la création d’une cour criminelle internationale entame l’examen de la question des peines applicables, AG/L/172, 22 août 1996.</w:t>
      </w:r>
    </w:p>
  </w:footnote>
  <w:footnote w:id="45">
    <w:p w:rsidR="00AE7DB8" w:rsidRPr="000571CD" w:rsidRDefault="00AE7DB8">
      <w:pPr>
        <w:pStyle w:val="FootnoteText1"/>
        <w:spacing w:before="0" w:after="0"/>
        <w:jc w:val="both"/>
        <w:rPr>
          <w:lang w:val="en-GB"/>
        </w:rPr>
      </w:pPr>
      <w:r w:rsidRPr="000571CD">
        <w:rPr>
          <w:rStyle w:val="FootnoteReference1"/>
        </w:rPr>
        <w:footnoteRef/>
      </w:r>
      <w:r w:rsidRPr="000571CD">
        <w:rPr>
          <w:lang w:val="it-IT"/>
        </w:rPr>
        <w:t xml:space="preserve"> F. H</w:t>
      </w:r>
      <w:r w:rsidRPr="000571CD">
        <w:rPr>
          <w:smallCaps/>
          <w:lang w:val="it-IT"/>
        </w:rPr>
        <w:t>arhoff</w:t>
      </w:r>
      <w:r w:rsidRPr="000571CD">
        <w:rPr>
          <w:lang w:val="en-GB"/>
        </w:rPr>
        <w:t xml:space="preserve">, </w:t>
      </w:r>
      <w:r>
        <w:rPr>
          <w:i/>
          <w:lang w:val="en-GB"/>
        </w:rPr>
        <w:t>op. cit.,</w:t>
      </w:r>
      <w:r w:rsidRPr="000571CD">
        <w:rPr>
          <w:lang w:val="en-GB"/>
        </w:rPr>
        <w:t xml:space="preserve"> </w:t>
      </w:r>
      <w:r w:rsidRPr="000571CD">
        <w:rPr>
          <w:lang w:val="it-IT"/>
        </w:rPr>
        <w:t>p. 1.</w:t>
      </w:r>
    </w:p>
  </w:footnote>
  <w:footnote w:id="46">
    <w:p w:rsidR="00AE7DB8" w:rsidRPr="000571CD" w:rsidRDefault="00AE7DB8">
      <w:pPr>
        <w:pStyle w:val="FootnoteText1"/>
        <w:spacing w:before="0" w:after="0"/>
        <w:jc w:val="both"/>
        <w:rPr>
          <w:rFonts w:eastAsia="Times New Roman"/>
          <w:color w:val="auto"/>
        </w:rPr>
      </w:pPr>
      <w:r w:rsidRPr="000571CD">
        <w:rPr>
          <w:rStyle w:val="FootnoteReference1"/>
        </w:rPr>
        <w:footnoteRef/>
      </w:r>
      <w:r w:rsidRPr="000571CD">
        <w:rPr>
          <w:lang w:val="en-GB"/>
        </w:rPr>
        <w:t xml:space="preserve"> S. D’A</w:t>
      </w:r>
      <w:r w:rsidRPr="000571CD">
        <w:rPr>
          <w:smallCaps/>
          <w:lang w:val="en-GB"/>
        </w:rPr>
        <w:t>scoli</w:t>
      </w:r>
      <w:r w:rsidRPr="000571CD">
        <w:rPr>
          <w:lang w:val="en-GB"/>
        </w:rPr>
        <w:t xml:space="preserve">, </w:t>
      </w:r>
      <w:r>
        <w:rPr>
          <w:i/>
          <w:lang w:val="en-GB"/>
        </w:rPr>
        <w:t>op. cit.</w:t>
      </w:r>
      <w:r w:rsidRPr="000571CD">
        <w:rPr>
          <w:lang w:val="en-GB"/>
        </w:rPr>
        <w:t xml:space="preserve">, p. 366; </w:t>
      </w:r>
      <w:r w:rsidRPr="000571CD">
        <w:t>Cette cohérence est d’ailleurs prônée par la Recommandation R(92)17 du Comité des Ministres du Conseil de l’Europe sur la cohérence dans le prononcé des peines (Conseil de l’Europe, Comité des ministres, Recommandation R(92) 16 du Comité des Ministres aux Etats Membres relative aux règles européennes sur les sanctions et mesures appliquées dans la communauté, adoptée le 19 octobre 1992, Point A).</w:t>
      </w:r>
    </w:p>
  </w:footnote>
  <w:footnote w:id="47">
    <w:p w:rsidR="00AE7DB8" w:rsidRPr="000571CD" w:rsidRDefault="00AE7DB8">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La proportionnalité s’analyse, dans la jurisprudence de la Cour européenne des droits de l’Homme, aussi par les effets produits d’une action (ou d’une abstention) étatique ; la disproportion s’évalue selon le caractère démesuré, excessif, abusif, d’une sanction face à l’objectif de celle-ci (cf. à ce propos : P. M</w:t>
      </w:r>
      <w:r w:rsidRPr="000571CD">
        <w:rPr>
          <w:rFonts w:ascii="Times New Roman" w:hAnsi="Times New Roman" w:cs="Times New Roman"/>
          <w:smallCaps/>
          <w:sz w:val="20"/>
          <w:szCs w:val="20"/>
        </w:rPr>
        <w:t>uzny</w:t>
      </w:r>
      <w:r w:rsidRPr="000571CD">
        <w:rPr>
          <w:rFonts w:ascii="Times New Roman" w:hAnsi="Times New Roman" w:cs="Times New Roman"/>
          <w:sz w:val="20"/>
          <w:szCs w:val="20"/>
        </w:rPr>
        <w:t xml:space="preserve">, </w:t>
      </w:r>
      <w:r w:rsidRPr="000571CD">
        <w:rPr>
          <w:rFonts w:ascii="Times New Roman" w:hAnsi="Times New Roman" w:cs="Times New Roman"/>
          <w:i/>
          <w:sz w:val="20"/>
          <w:szCs w:val="20"/>
        </w:rPr>
        <w:t>op. cit.</w:t>
      </w:r>
      <w:r w:rsidRPr="000571CD">
        <w:rPr>
          <w:rFonts w:ascii="Times New Roman" w:hAnsi="Times New Roman" w:cs="Times New Roman"/>
          <w:sz w:val="20"/>
          <w:szCs w:val="20"/>
        </w:rPr>
        <w:t xml:space="preserve">, p. 110-118) </w:t>
      </w:r>
    </w:p>
  </w:footnote>
  <w:footnote w:id="48">
    <w:p w:rsidR="00AE7DB8" w:rsidRPr="000571CD" w:rsidRDefault="00AE7DB8">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w:t>
      </w:r>
      <w:r w:rsidRPr="000571CD">
        <w:rPr>
          <w:rFonts w:ascii="Times New Roman" w:hAnsi="Times New Roman" w:cs="Times New Roman"/>
          <w:sz w:val="20"/>
          <w:szCs w:val="20"/>
          <w:lang w:val="nl-NL"/>
        </w:rPr>
        <w:t xml:space="preserve">Voy </w:t>
      </w:r>
      <w:r w:rsidRPr="000571CD">
        <w:rPr>
          <w:rFonts w:ascii="Times New Roman" w:hAnsi="Times New Roman" w:cs="Times New Roman"/>
          <w:smallCaps/>
          <w:sz w:val="20"/>
          <w:szCs w:val="20"/>
          <w:lang w:val="nl-NL"/>
        </w:rPr>
        <w:t>M. van de Kerchove</w:t>
      </w:r>
      <w:r w:rsidRPr="000571CD">
        <w:rPr>
          <w:rFonts w:ascii="Times New Roman" w:hAnsi="Times New Roman" w:cs="Times New Roman"/>
          <w:sz w:val="20"/>
          <w:szCs w:val="20"/>
          <w:lang w:val="nl-NL"/>
        </w:rPr>
        <w:t xml:space="preserve">, </w:t>
      </w:r>
      <w:r w:rsidRPr="000571CD">
        <w:rPr>
          <w:rFonts w:ascii="Times New Roman" w:hAnsi="Times New Roman" w:cs="Times New Roman"/>
          <w:i/>
          <w:sz w:val="20"/>
          <w:szCs w:val="20"/>
        </w:rPr>
        <w:t>Sens et non-sens de la peine, entre mythe et mystification</w:t>
      </w:r>
      <w:r w:rsidRPr="000571CD">
        <w:rPr>
          <w:rFonts w:ascii="Times New Roman" w:hAnsi="Times New Roman" w:cs="Times New Roman"/>
          <w:sz w:val="20"/>
          <w:szCs w:val="20"/>
        </w:rPr>
        <w:t>, Bruxelles, Publications des Facultés Saint-Louis, 2009, pp 159-180.</w:t>
      </w:r>
    </w:p>
  </w:footnote>
  <w:footnote w:id="49">
    <w:p w:rsidR="00AE7DB8" w:rsidRPr="000571CD" w:rsidRDefault="00AE7DB8">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TPIY, </w:t>
      </w:r>
      <w:r w:rsidRPr="000571CD">
        <w:rPr>
          <w:rFonts w:ascii="Times New Roman" w:hAnsi="Times New Roman" w:cs="Times New Roman"/>
          <w:i/>
          <w:sz w:val="20"/>
          <w:szCs w:val="20"/>
        </w:rPr>
        <w:t>Delalić et consorts</w:t>
      </w:r>
      <w:r w:rsidRPr="000571CD">
        <w:rPr>
          <w:rFonts w:ascii="Times New Roman" w:hAnsi="Times New Roman" w:cs="Times New Roman"/>
          <w:sz w:val="20"/>
          <w:szCs w:val="20"/>
        </w:rPr>
        <w:t xml:space="preserve">, Arrêt, Chambre d’appel, 20 février 2001, § 806 (où l’on lit que la réhabilitation paraît moins importante que la rétribution); TPIY, </w:t>
      </w:r>
      <w:r w:rsidRPr="000571CD">
        <w:rPr>
          <w:rFonts w:ascii="Times New Roman" w:hAnsi="Times New Roman" w:cs="Times New Roman"/>
          <w:i/>
          <w:iCs/>
          <w:sz w:val="20"/>
          <w:szCs w:val="20"/>
        </w:rPr>
        <w:t>Erdemović</w:t>
      </w:r>
      <w:r w:rsidRPr="000571CD">
        <w:rPr>
          <w:rFonts w:ascii="Times New Roman" w:hAnsi="Times New Roman" w:cs="Times New Roman"/>
          <w:sz w:val="20"/>
          <w:szCs w:val="20"/>
        </w:rPr>
        <w:t>, Jugement portent condamnation, Chambre de première instance, 29 novembre 1996, § 64.</w:t>
      </w:r>
    </w:p>
  </w:footnote>
  <w:footnote w:id="50">
    <w:p w:rsidR="00AE7DB8" w:rsidRPr="000571CD" w:rsidRDefault="00AE7DB8">
      <w:pPr>
        <w:pStyle w:val="Notedebasdepage"/>
        <w:jc w:val="both"/>
        <w:rPr>
          <w:rFonts w:ascii="Times New Roman" w:hAnsi="Times New Roman" w:cs="Times New Roman"/>
          <w:sz w:val="20"/>
          <w:szCs w:val="20"/>
          <w:lang w:val="nl-NL"/>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w:t>
      </w:r>
      <w:r>
        <w:rPr>
          <w:rFonts w:ascii="Times New Roman" w:hAnsi="Times New Roman" w:cs="Times New Roman"/>
          <w:sz w:val="20"/>
          <w:szCs w:val="20"/>
        </w:rPr>
        <w:t xml:space="preserve">Résolution 827 du CSNU, </w:t>
      </w:r>
      <w:r w:rsidRPr="000571CD">
        <w:rPr>
          <w:rFonts w:ascii="Times New Roman" w:hAnsi="Times New Roman" w:cs="Times New Roman"/>
          <w:sz w:val="20"/>
          <w:szCs w:val="20"/>
          <w:lang w:val="nl-NL"/>
        </w:rPr>
        <w:t xml:space="preserve">25 mai 1993, Préambule, al. 7; </w:t>
      </w:r>
      <w:r>
        <w:rPr>
          <w:rFonts w:ascii="Times New Roman" w:hAnsi="Times New Roman" w:cs="Times New Roman"/>
          <w:sz w:val="20"/>
          <w:szCs w:val="20"/>
          <w:lang w:val="nl-NL"/>
        </w:rPr>
        <w:t xml:space="preserve">Résolution 955 du CSNU, </w:t>
      </w:r>
      <w:r w:rsidRPr="000571CD">
        <w:rPr>
          <w:rFonts w:ascii="Times New Roman" w:hAnsi="Times New Roman" w:cs="Times New Roman"/>
          <w:sz w:val="20"/>
          <w:szCs w:val="20"/>
          <w:lang w:val="nl-NL"/>
        </w:rPr>
        <w:t>8 novembre 1994, al. 7; Statut de la CPI, art. 75.</w:t>
      </w:r>
    </w:p>
  </w:footnote>
  <w:footnote w:id="51">
    <w:p w:rsidR="00AE7DB8" w:rsidRPr="000571CD" w:rsidRDefault="00AE7D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29"/>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J. N</w:t>
      </w:r>
      <w:r w:rsidRPr="000571CD">
        <w:rPr>
          <w:rFonts w:ascii="Times New Roman" w:hAnsi="Times New Roman" w:cs="Times New Roman"/>
          <w:smallCaps/>
          <w:sz w:val="20"/>
          <w:szCs w:val="20"/>
        </w:rPr>
        <w:t>emitz</w:t>
      </w:r>
      <w:r w:rsidRPr="000571CD">
        <w:rPr>
          <w:rFonts w:ascii="Times New Roman" w:hAnsi="Times New Roman" w:cs="Times New Roman"/>
          <w:sz w:val="20"/>
          <w:szCs w:val="20"/>
        </w:rPr>
        <w:t xml:space="preserve">, « The law of sentencing in international criminal law: the purposes of sentencing and the applicable method for the determination of the sentence », </w:t>
      </w:r>
      <w:r w:rsidRPr="000571CD">
        <w:rPr>
          <w:rFonts w:ascii="Times New Roman" w:hAnsi="Times New Roman" w:cs="Times New Roman"/>
          <w:i/>
          <w:sz w:val="20"/>
          <w:szCs w:val="20"/>
        </w:rPr>
        <w:t>YIHL</w:t>
      </w:r>
      <w:r w:rsidRPr="000571CD">
        <w:rPr>
          <w:rFonts w:ascii="Times New Roman" w:hAnsi="Times New Roman" w:cs="Times New Roman"/>
          <w:sz w:val="20"/>
          <w:szCs w:val="20"/>
        </w:rPr>
        <w:t>, n°4, 2001, p. 87-127; O. O</w:t>
      </w:r>
      <w:r w:rsidRPr="000571CD">
        <w:rPr>
          <w:rFonts w:ascii="Times New Roman" w:hAnsi="Times New Roman" w:cs="Times New Roman"/>
          <w:smallCaps/>
          <w:sz w:val="20"/>
          <w:szCs w:val="20"/>
        </w:rPr>
        <w:t>lusanya</w:t>
      </w:r>
      <w:r w:rsidRPr="000571CD">
        <w:rPr>
          <w:rFonts w:ascii="Times New Roman" w:hAnsi="Times New Roman" w:cs="Times New Roman"/>
          <w:sz w:val="20"/>
          <w:szCs w:val="20"/>
        </w:rPr>
        <w:t xml:space="preserve">, </w:t>
      </w:r>
      <w:r w:rsidRPr="000571CD">
        <w:rPr>
          <w:rFonts w:ascii="Times New Roman" w:hAnsi="Times New Roman" w:cs="Times New Roman"/>
          <w:i/>
          <w:sz w:val="20"/>
          <w:szCs w:val="20"/>
        </w:rPr>
        <w:t>Sentencing war crimes and crimes against humanity under the International Criminal tribunal for the Former Yugoslavia</w:t>
      </w:r>
      <w:r w:rsidRPr="000571CD">
        <w:rPr>
          <w:rFonts w:ascii="Times New Roman" w:hAnsi="Times New Roman" w:cs="Times New Roman"/>
          <w:sz w:val="20"/>
          <w:szCs w:val="20"/>
        </w:rPr>
        <w:t>, Groningen, Europa Law Publishing, 2005; R. H</w:t>
      </w:r>
      <w:r w:rsidRPr="000571CD">
        <w:rPr>
          <w:rFonts w:ascii="Times New Roman" w:hAnsi="Times New Roman" w:cs="Times New Roman"/>
          <w:smallCaps/>
          <w:sz w:val="20"/>
          <w:szCs w:val="20"/>
        </w:rPr>
        <w:t>aveman</w:t>
      </w:r>
      <w:r w:rsidRPr="000571CD">
        <w:rPr>
          <w:rFonts w:ascii="Times New Roman" w:hAnsi="Times New Roman" w:cs="Times New Roman"/>
          <w:sz w:val="20"/>
          <w:szCs w:val="20"/>
        </w:rPr>
        <w:t xml:space="preserve"> et O. O</w:t>
      </w:r>
      <w:r w:rsidRPr="000571CD">
        <w:rPr>
          <w:rFonts w:ascii="Times New Roman" w:hAnsi="Times New Roman" w:cs="Times New Roman"/>
          <w:smallCaps/>
          <w:sz w:val="20"/>
          <w:szCs w:val="20"/>
        </w:rPr>
        <w:t>lusanya</w:t>
      </w:r>
      <w:r w:rsidRPr="000571CD">
        <w:rPr>
          <w:rFonts w:ascii="Times New Roman" w:hAnsi="Times New Roman" w:cs="Times New Roman"/>
          <w:sz w:val="20"/>
          <w:szCs w:val="20"/>
        </w:rPr>
        <w:t xml:space="preserve"> (ed.), </w:t>
      </w:r>
      <w:r w:rsidRPr="000571CD">
        <w:rPr>
          <w:rFonts w:ascii="Times New Roman" w:hAnsi="Times New Roman" w:cs="Times New Roman"/>
          <w:i/>
          <w:sz w:val="20"/>
          <w:szCs w:val="20"/>
        </w:rPr>
        <w:t>Sentencing and sanctioning in supranational criminal law</w:t>
      </w:r>
      <w:r w:rsidRPr="000571CD">
        <w:rPr>
          <w:rFonts w:ascii="Times New Roman" w:hAnsi="Times New Roman" w:cs="Times New Roman"/>
          <w:sz w:val="20"/>
          <w:szCs w:val="20"/>
        </w:rPr>
        <w:t>, Antwerp, Oxford, Intersentia, 2006.</w:t>
      </w:r>
    </w:p>
  </w:footnote>
  <w:footnote w:id="52">
    <w:p w:rsidR="00AE7DB8" w:rsidRPr="000571CD" w:rsidRDefault="00AE7DB8">
      <w:pPr>
        <w:pStyle w:val="Notedebasdepage"/>
        <w:jc w:val="both"/>
        <w:rPr>
          <w:rFonts w:ascii="Times New Roman" w:hAnsi="Times New Roman" w:cs="Times New Roman"/>
          <w:sz w:val="20"/>
          <w:szCs w:val="20"/>
          <w:lang w:val="nl-NL"/>
        </w:rPr>
      </w:pPr>
      <w:r w:rsidRPr="000571CD">
        <w:rPr>
          <w:rStyle w:val="Marquenotebasdepage"/>
          <w:rFonts w:ascii="Times New Roman" w:hAnsi="Times New Roman" w:cs="Times New Roman"/>
          <w:smallCaps/>
          <w:sz w:val="20"/>
          <w:szCs w:val="20"/>
        </w:rPr>
        <w:footnoteRef/>
      </w:r>
      <w:r w:rsidRPr="000571CD">
        <w:rPr>
          <w:rFonts w:ascii="Times New Roman" w:hAnsi="Times New Roman" w:cs="Times New Roman"/>
          <w:smallCaps/>
          <w:sz w:val="20"/>
          <w:szCs w:val="20"/>
        </w:rPr>
        <w:t xml:space="preserve"> </w:t>
      </w:r>
      <w:r w:rsidRPr="000571CD">
        <w:rPr>
          <w:rFonts w:ascii="Times New Roman" w:hAnsi="Times New Roman" w:cs="Times New Roman"/>
          <w:smallCaps/>
          <w:sz w:val="20"/>
          <w:szCs w:val="20"/>
          <w:lang w:val="nl-NL"/>
        </w:rPr>
        <w:t>H. Arendt,</w:t>
      </w:r>
      <w:r w:rsidRPr="000571CD">
        <w:rPr>
          <w:rFonts w:ascii="Times New Roman" w:hAnsi="Times New Roman" w:cs="Times New Roman"/>
          <w:sz w:val="20"/>
          <w:szCs w:val="20"/>
          <w:lang w:val="nl-NL"/>
        </w:rPr>
        <w:t xml:space="preserve"> </w:t>
      </w:r>
      <w:r w:rsidRPr="000571CD">
        <w:rPr>
          <w:rFonts w:ascii="Times New Roman" w:hAnsi="Times New Roman" w:cs="Times New Roman"/>
          <w:i/>
          <w:sz w:val="20"/>
          <w:szCs w:val="20"/>
          <w:lang w:val="nl-NL"/>
        </w:rPr>
        <w:t xml:space="preserve">op. cit., </w:t>
      </w:r>
      <w:r w:rsidRPr="000571CD">
        <w:rPr>
          <w:rFonts w:ascii="Times New Roman" w:hAnsi="Times New Roman" w:cs="Times New Roman"/>
          <w:sz w:val="20"/>
          <w:szCs w:val="20"/>
          <w:lang w:val="nl-NL"/>
        </w:rPr>
        <w:t>p. 271.</w:t>
      </w:r>
      <w:r w:rsidRPr="000571CD">
        <w:rPr>
          <w:rFonts w:ascii="Times New Roman" w:hAnsi="Times New Roman" w:cs="Times New Roman"/>
          <w:i/>
          <w:sz w:val="20"/>
          <w:szCs w:val="20"/>
          <w:lang w:val="nl-NL"/>
        </w:rPr>
        <w:t xml:space="preserve"> </w:t>
      </w:r>
      <w:r w:rsidRPr="000571CD">
        <w:rPr>
          <w:rFonts w:ascii="Times New Roman" w:hAnsi="Times New Roman" w:cs="Times New Roman"/>
          <w:sz w:val="20"/>
          <w:szCs w:val="20"/>
          <w:lang w:val="nl-NL"/>
        </w:rPr>
        <w:t xml:space="preserve">Voy. aussi A. </w:t>
      </w:r>
      <w:r w:rsidRPr="000571CD">
        <w:rPr>
          <w:rFonts w:ascii="Times New Roman" w:hAnsi="Times New Roman" w:cs="Times New Roman"/>
          <w:smallCaps/>
          <w:sz w:val="20"/>
          <w:szCs w:val="20"/>
          <w:lang w:val="nl-NL"/>
        </w:rPr>
        <w:t>Garapon</w:t>
      </w:r>
      <w:r w:rsidRPr="000571CD">
        <w:rPr>
          <w:rFonts w:ascii="Times New Roman" w:hAnsi="Times New Roman" w:cs="Times New Roman"/>
          <w:sz w:val="20"/>
          <w:szCs w:val="20"/>
          <w:lang w:val="nl-NL"/>
        </w:rPr>
        <w:t xml:space="preserve">, </w:t>
      </w:r>
      <w:r w:rsidRPr="000571CD">
        <w:rPr>
          <w:rFonts w:ascii="Times New Roman" w:hAnsi="Times New Roman" w:cs="Times New Roman"/>
          <w:i/>
          <w:sz w:val="20"/>
          <w:szCs w:val="20"/>
          <w:lang w:val="nl-NL"/>
        </w:rPr>
        <w:t>Des crimes qu’on ne peut ni punir ni pardonner. Pour une justice internationale</w:t>
      </w:r>
      <w:r w:rsidRPr="000571CD">
        <w:rPr>
          <w:rFonts w:ascii="Times New Roman" w:hAnsi="Times New Roman" w:cs="Times New Roman"/>
          <w:sz w:val="20"/>
          <w:szCs w:val="20"/>
          <w:lang w:val="nl-NL"/>
        </w:rPr>
        <w:t>, Paris, O. Jacob, 2002.</w:t>
      </w:r>
    </w:p>
  </w:footnote>
  <w:footnote w:id="53">
    <w:p w:rsidR="00AE7DB8" w:rsidRPr="000571CD" w:rsidRDefault="00AE7DB8">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Conc. la « lutte contre l’impunité » par les juridictions internationales pénales, voy. </w:t>
      </w:r>
      <w:r w:rsidRPr="000571CD">
        <w:rPr>
          <w:rFonts w:ascii="Times New Roman" w:hAnsi="Times New Roman" w:cs="Times New Roman"/>
          <w:i/>
          <w:sz w:val="20"/>
          <w:szCs w:val="20"/>
        </w:rPr>
        <w:t>supra </w:t>
      </w:r>
      <w:r w:rsidRPr="000571CD">
        <w:rPr>
          <w:rFonts w:ascii="Times New Roman" w:hAnsi="Times New Roman" w:cs="Times New Roman"/>
          <w:sz w:val="20"/>
          <w:szCs w:val="20"/>
        </w:rPr>
        <w:t xml:space="preserve">; chez C. </w:t>
      </w:r>
      <w:r w:rsidRPr="000571CD">
        <w:rPr>
          <w:rFonts w:ascii="Times New Roman" w:hAnsi="Times New Roman" w:cs="Times New Roman"/>
          <w:smallCaps/>
          <w:sz w:val="20"/>
          <w:szCs w:val="20"/>
        </w:rPr>
        <w:t>Beccaria</w:t>
      </w:r>
      <w:r w:rsidRPr="000571CD">
        <w:rPr>
          <w:rFonts w:ascii="Times New Roman" w:hAnsi="Times New Roman" w:cs="Times New Roman"/>
          <w:sz w:val="20"/>
          <w:szCs w:val="20"/>
        </w:rPr>
        <w:t xml:space="preserve">, </w:t>
      </w:r>
      <w:r w:rsidRPr="000571CD">
        <w:rPr>
          <w:rFonts w:ascii="Times New Roman" w:hAnsi="Times New Roman" w:cs="Times New Roman"/>
          <w:i/>
          <w:sz w:val="20"/>
          <w:szCs w:val="20"/>
        </w:rPr>
        <w:t>op. cit.</w:t>
      </w:r>
      <w:r w:rsidRPr="000571CD">
        <w:rPr>
          <w:rFonts w:ascii="Times New Roman" w:hAnsi="Times New Roman" w:cs="Times New Roman"/>
          <w:sz w:val="20"/>
          <w:szCs w:val="20"/>
        </w:rPr>
        <w:t>, voy. Chap. XV.</w:t>
      </w:r>
    </w:p>
  </w:footnote>
  <w:footnote w:id="54">
    <w:p w:rsidR="00AE7DB8" w:rsidRPr="000571CD" w:rsidRDefault="00AE7DB8">
      <w:pPr>
        <w:pStyle w:val="Notedebasdepage"/>
        <w:jc w:val="both"/>
        <w:rPr>
          <w:rFonts w:ascii="Times New Roman" w:hAnsi="Times New Roman" w:cs="Times New Roman"/>
          <w:sz w:val="20"/>
          <w:szCs w:val="20"/>
          <w:lang w:val="nl-NL"/>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w:t>
      </w:r>
      <w:r w:rsidRPr="000571CD">
        <w:rPr>
          <w:rFonts w:ascii="Times New Roman" w:hAnsi="Times New Roman" w:cs="Times New Roman"/>
          <w:sz w:val="20"/>
          <w:szCs w:val="20"/>
          <w:lang w:val="nl-NL"/>
        </w:rPr>
        <w:t xml:space="preserve">Voy. </w:t>
      </w:r>
      <w:r w:rsidRPr="000571CD">
        <w:rPr>
          <w:rFonts w:ascii="Times New Roman" w:hAnsi="Times New Roman" w:cs="Times New Roman"/>
          <w:i/>
          <w:sz w:val="20"/>
          <w:szCs w:val="20"/>
          <w:lang w:val="nl-NL"/>
        </w:rPr>
        <w:t>supra</w:t>
      </w:r>
      <w:r w:rsidRPr="000571CD">
        <w:rPr>
          <w:rFonts w:ascii="Times New Roman" w:hAnsi="Times New Roman" w:cs="Times New Roman"/>
          <w:sz w:val="20"/>
          <w:szCs w:val="20"/>
          <w:lang w:val="nl-NL"/>
        </w:rPr>
        <w:t xml:space="preserve"> conc. les TPI et la CPI. </w:t>
      </w:r>
      <w:r w:rsidRPr="000571CD">
        <w:rPr>
          <w:rFonts w:ascii="Times New Roman" w:hAnsi="Times New Roman" w:cs="Times New Roman"/>
          <w:sz w:val="20"/>
          <w:szCs w:val="20"/>
        </w:rPr>
        <w:t xml:space="preserve">On se souvient que, pour Beccaria, la prévention constitue un élément fondamental du droit pénal : « le but n’est autre chose que d’empêcher le coupable de causer de nouveaux dommages à ses concitoyens et de détourner les autres de suivre son exemple », et « il est de l’intérêt commun (…) que (les délits) soient d’autant plus rares qu’ils causent plus de mal à la société. Donc les obstacles qui détournent les hommes de commettre des délits (à savoir les peines) doivent être d’autant plus forts qu’ils (les délits) sont contraires au bien public et qu’ils lui portent plus violemment atteinte », C. </w:t>
      </w:r>
      <w:r w:rsidRPr="000571CD">
        <w:rPr>
          <w:rFonts w:ascii="Times New Roman" w:hAnsi="Times New Roman" w:cs="Times New Roman"/>
          <w:smallCaps/>
          <w:sz w:val="20"/>
          <w:szCs w:val="20"/>
        </w:rPr>
        <w:t>Beccaria</w:t>
      </w:r>
      <w:r w:rsidRPr="000571CD">
        <w:rPr>
          <w:rFonts w:ascii="Times New Roman" w:hAnsi="Times New Roman" w:cs="Times New Roman"/>
          <w:sz w:val="20"/>
          <w:szCs w:val="20"/>
        </w:rPr>
        <w:t xml:space="preserve">, </w:t>
      </w:r>
      <w:r w:rsidRPr="000571CD">
        <w:rPr>
          <w:rFonts w:ascii="Times New Roman" w:hAnsi="Times New Roman" w:cs="Times New Roman"/>
          <w:i/>
          <w:sz w:val="20"/>
          <w:szCs w:val="20"/>
        </w:rPr>
        <w:t>op. cit.</w:t>
      </w:r>
      <w:r w:rsidRPr="000571CD">
        <w:rPr>
          <w:rFonts w:ascii="Times New Roman" w:hAnsi="Times New Roman" w:cs="Times New Roman"/>
          <w:sz w:val="20"/>
          <w:szCs w:val="20"/>
        </w:rPr>
        <w:t>, Chap. XXIII et XV.</w:t>
      </w:r>
    </w:p>
  </w:footnote>
  <w:footnote w:id="55">
    <w:p w:rsidR="00AE7DB8" w:rsidRPr="000571CD" w:rsidRDefault="00AE7DB8">
      <w:pPr>
        <w:pStyle w:val="Notedebasdepage"/>
        <w:jc w:val="both"/>
        <w:rPr>
          <w:rFonts w:ascii="Times New Roman" w:hAnsi="Times New Roman" w:cs="Times New Roman"/>
          <w:sz w:val="20"/>
          <w:szCs w:val="20"/>
          <w:lang w:val="nl-NL"/>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Toutes les victimes ne peuvent être entendues par les juridictions ou recevoir réparation, il est difficile d’identifier et de définir les (groupes de) victimes, </w:t>
      </w:r>
      <w:r>
        <w:rPr>
          <w:rFonts w:ascii="Times New Roman" w:hAnsi="Times New Roman" w:cs="Times New Roman"/>
          <w:sz w:val="20"/>
          <w:szCs w:val="20"/>
        </w:rPr>
        <w:t>etc</w:t>
      </w:r>
      <w:r w:rsidRPr="000571CD">
        <w:rPr>
          <w:rFonts w:ascii="Times New Roman" w:hAnsi="Times New Roman" w:cs="Times New Roman"/>
          <w:sz w:val="20"/>
          <w:szCs w:val="20"/>
        </w:rPr>
        <w:t>.</w:t>
      </w:r>
    </w:p>
  </w:footnote>
  <w:footnote w:id="56">
    <w:p w:rsidR="00AE7DB8" w:rsidRPr="000571CD" w:rsidRDefault="00AE7DB8">
      <w:pPr>
        <w:jc w:val="both"/>
        <w:rPr>
          <w:rFonts w:ascii="Times New Roman" w:hAnsi="Times New Roman" w:cs="Times New Roman"/>
          <w:sz w:val="20"/>
          <w:szCs w:val="20"/>
        </w:rPr>
      </w:pPr>
      <w:r w:rsidRPr="000571CD">
        <w:rPr>
          <w:rStyle w:val="Marquenotebasdepage"/>
          <w:rFonts w:ascii="Times New Roman" w:hAnsi="Times New Roman" w:cs="Times New Roman"/>
          <w:sz w:val="20"/>
          <w:szCs w:val="20"/>
        </w:rPr>
        <w:footnoteRef/>
      </w:r>
      <w:r w:rsidRPr="000571CD">
        <w:rPr>
          <w:rFonts w:ascii="Times New Roman" w:hAnsi="Times New Roman" w:cs="Times New Roman"/>
          <w:sz w:val="20"/>
          <w:szCs w:val="20"/>
        </w:rPr>
        <w:t xml:space="preserve"> «  le dommage est immense, définitif et irréparable »</w:t>
      </w:r>
      <w:r>
        <w:rPr>
          <w:rFonts w:ascii="Times New Roman" w:hAnsi="Times New Roman" w:cs="Times New Roman"/>
          <w:sz w:val="20"/>
          <w:szCs w:val="20"/>
        </w:rPr>
        <w:t xml:space="preserve"> : </w:t>
      </w:r>
      <w:r w:rsidRPr="000571CD">
        <w:rPr>
          <w:rFonts w:ascii="Times New Roman" w:hAnsi="Times New Roman" w:cs="Times New Roman"/>
          <w:sz w:val="20"/>
          <w:szCs w:val="20"/>
        </w:rPr>
        <w:t>D. V</w:t>
      </w:r>
      <w:r w:rsidRPr="000571CD">
        <w:rPr>
          <w:rFonts w:ascii="Times New Roman" w:hAnsi="Times New Roman" w:cs="Times New Roman"/>
          <w:smallCaps/>
          <w:sz w:val="20"/>
          <w:szCs w:val="20"/>
        </w:rPr>
        <w:t>andermeersch</w:t>
      </w:r>
      <w:r w:rsidRPr="000571CD">
        <w:rPr>
          <w:rFonts w:ascii="Times New Roman" w:hAnsi="Times New Roman" w:cs="Times New Roman"/>
          <w:sz w:val="20"/>
          <w:szCs w:val="20"/>
        </w:rPr>
        <w:t xml:space="preserve">, « La mesure de la responsabilité et de la peine en matière de crime de droit international humanitaire », </w:t>
      </w:r>
      <w:r w:rsidRPr="000571CD">
        <w:rPr>
          <w:rFonts w:ascii="Times New Roman" w:hAnsi="Times New Roman" w:cs="Times New Roman"/>
          <w:smallCaps/>
          <w:sz w:val="20"/>
          <w:szCs w:val="20"/>
        </w:rPr>
        <w:t>Fr. Tulkens, Y. Cartuyvels</w:t>
      </w:r>
      <w:r w:rsidRPr="000571CD">
        <w:rPr>
          <w:rFonts w:ascii="Times New Roman" w:hAnsi="Times New Roman" w:cs="Times New Roman"/>
          <w:sz w:val="20"/>
          <w:szCs w:val="20"/>
        </w:rPr>
        <w:t xml:space="preserve"> et Ch. </w:t>
      </w:r>
      <w:r w:rsidRPr="000571CD">
        <w:rPr>
          <w:rFonts w:ascii="Times New Roman" w:hAnsi="Times New Roman" w:cs="Times New Roman"/>
          <w:smallCaps/>
          <w:sz w:val="20"/>
          <w:szCs w:val="20"/>
        </w:rPr>
        <w:t>Guillain</w:t>
      </w:r>
      <w:r w:rsidRPr="000571CD">
        <w:rPr>
          <w:rFonts w:ascii="Times New Roman" w:hAnsi="Times New Roman" w:cs="Times New Roman"/>
          <w:sz w:val="20"/>
          <w:szCs w:val="20"/>
        </w:rPr>
        <w:t xml:space="preserve"> (coord.), </w:t>
      </w:r>
      <w:r w:rsidRPr="000571CD">
        <w:rPr>
          <w:rFonts w:ascii="Times New Roman" w:hAnsi="Times New Roman" w:cs="Times New Roman"/>
          <w:i/>
          <w:sz w:val="20"/>
          <w:szCs w:val="20"/>
        </w:rPr>
        <w:t>La peine dans tous ses états. Hommage à Michel van de Kerchove</w:t>
      </w:r>
      <w:r w:rsidRPr="000571CD">
        <w:rPr>
          <w:rFonts w:ascii="Times New Roman" w:hAnsi="Times New Roman" w:cs="Times New Roman"/>
          <w:sz w:val="20"/>
          <w:szCs w:val="20"/>
        </w:rPr>
        <w:t>, Bruxelles, Larcier, 2011, p. 152.</w:t>
      </w:r>
    </w:p>
  </w:footnote>
  <w:footnote w:id="57">
    <w:p w:rsidR="00AE7DB8" w:rsidRPr="006E1AC6" w:rsidRDefault="00AE7DB8" w:rsidP="00143C2E">
      <w:pPr>
        <w:jc w:val="both"/>
        <w:rPr>
          <w:rFonts w:ascii="Times New Roman" w:hAnsi="Times New Roman" w:cs="Times New Roman"/>
          <w:sz w:val="20"/>
          <w:szCs w:val="20"/>
        </w:rPr>
      </w:pPr>
      <w:r w:rsidRPr="006E1AC6">
        <w:rPr>
          <w:rStyle w:val="Marquenotebasdepage"/>
          <w:rFonts w:ascii="Times New Roman" w:hAnsi="Times New Roman" w:cs="Times New Roman"/>
          <w:sz w:val="20"/>
          <w:szCs w:val="20"/>
        </w:rPr>
        <w:footnoteRef/>
      </w:r>
      <w:r w:rsidRPr="006E1AC6">
        <w:rPr>
          <w:rFonts w:ascii="Times New Roman" w:hAnsi="Times New Roman" w:cs="Times New Roman"/>
          <w:sz w:val="20"/>
          <w:szCs w:val="20"/>
        </w:rPr>
        <w:t xml:space="preserve"> P. </w:t>
      </w:r>
      <w:r w:rsidRPr="006E1AC6">
        <w:rPr>
          <w:rFonts w:ascii="Times New Roman" w:hAnsi="Times New Roman" w:cs="Times New Roman"/>
          <w:smallCaps/>
          <w:sz w:val="20"/>
          <w:szCs w:val="20"/>
        </w:rPr>
        <w:t>Hazan</w:t>
      </w:r>
      <w:r w:rsidRPr="006E1AC6">
        <w:rPr>
          <w:rFonts w:ascii="Times New Roman" w:hAnsi="Times New Roman" w:cs="Times New Roman"/>
          <w:sz w:val="20"/>
          <w:szCs w:val="20"/>
        </w:rPr>
        <w:t xml:space="preserve">, </w:t>
      </w:r>
      <w:r w:rsidRPr="006E1AC6">
        <w:rPr>
          <w:rFonts w:ascii="Times New Roman" w:hAnsi="Times New Roman" w:cs="Times New Roman"/>
          <w:i/>
          <w:sz w:val="20"/>
          <w:szCs w:val="20"/>
        </w:rPr>
        <w:t>La justice face à la guerre, De Nuremberg à La Haye</w:t>
      </w:r>
      <w:r w:rsidRPr="006E1AC6">
        <w:rPr>
          <w:rFonts w:ascii="Times New Roman" w:hAnsi="Times New Roman" w:cs="Times New Roman"/>
          <w:sz w:val="20"/>
          <w:szCs w:val="20"/>
        </w:rPr>
        <w:t>, Paris, Stock, 2000, p. 247.</w:t>
      </w:r>
    </w:p>
  </w:footnote>
  <w:footnote w:id="58">
    <w:p w:rsidR="00AE7DB8" w:rsidRPr="000571CD" w:rsidRDefault="00AE7DB8">
      <w:pPr>
        <w:pStyle w:val="Notedebasdepage"/>
        <w:jc w:val="both"/>
        <w:rPr>
          <w:rFonts w:ascii="Times New Roman" w:hAnsi="Times New Roman" w:cs="Times New Roman"/>
          <w:sz w:val="20"/>
          <w:szCs w:val="20"/>
        </w:rPr>
      </w:pPr>
      <w:r w:rsidRPr="000571CD">
        <w:rPr>
          <w:rStyle w:val="Marquenotebasdepage"/>
          <w:rFonts w:ascii="Times New Roman" w:hAnsi="Times New Roman" w:cs="Times New Roman"/>
          <w:smallCaps/>
          <w:sz w:val="20"/>
          <w:szCs w:val="20"/>
        </w:rPr>
        <w:footnoteRef/>
      </w:r>
      <w:r w:rsidRPr="000571CD">
        <w:rPr>
          <w:rFonts w:ascii="Times New Roman" w:hAnsi="Times New Roman" w:cs="Times New Roman"/>
          <w:smallCaps/>
          <w:sz w:val="20"/>
          <w:szCs w:val="20"/>
        </w:rPr>
        <w:t xml:space="preserve"> </w:t>
      </w:r>
      <w:r w:rsidRPr="000571CD">
        <w:rPr>
          <w:rFonts w:ascii="Times New Roman" w:hAnsi="Times New Roman" w:cs="Times New Roman"/>
          <w:smallCaps/>
          <w:sz w:val="20"/>
          <w:szCs w:val="20"/>
          <w:lang w:val="nl-NL"/>
        </w:rPr>
        <w:t>E. Durkheim</w:t>
      </w:r>
      <w:r w:rsidRPr="000571CD">
        <w:rPr>
          <w:rFonts w:ascii="Times New Roman" w:hAnsi="Times New Roman" w:cs="Times New Roman"/>
          <w:sz w:val="20"/>
          <w:szCs w:val="20"/>
          <w:lang w:val="nl-NL"/>
        </w:rPr>
        <w:t xml:space="preserve">, </w:t>
      </w:r>
      <w:r w:rsidRPr="000571CD">
        <w:rPr>
          <w:rFonts w:ascii="Times New Roman" w:hAnsi="Times New Roman" w:cs="Times New Roman"/>
          <w:i/>
          <w:sz w:val="20"/>
          <w:szCs w:val="20"/>
          <w:lang w:val="nl-NL"/>
        </w:rPr>
        <w:t>L’éducation morale</w:t>
      </w:r>
      <w:r w:rsidRPr="000571CD">
        <w:rPr>
          <w:rFonts w:ascii="Times New Roman" w:hAnsi="Times New Roman" w:cs="Times New Roman"/>
          <w:sz w:val="20"/>
          <w:szCs w:val="20"/>
        </w:rPr>
        <w:t>, Paris, PUF, 1963, p. 141 not.</w:t>
      </w:r>
    </w:p>
  </w:footnote>
  <w:footnote w:id="59">
    <w:p w:rsidR="00AE7DB8" w:rsidRPr="000571CD" w:rsidRDefault="00AE7DB8">
      <w:pPr>
        <w:pStyle w:val="Notedebasdepage"/>
        <w:jc w:val="both"/>
        <w:rPr>
          <w:rFonts w:ascii="Times New Roman" w:hAnsi="Times New Roman" w:cs="Times New Roman"/>
          <w:sz w:val="20"/>
          <w:szCs w:val="20"/>
        </w:rPr>
      </w:pPr>
      <w:r w:rsidRPr="00AE7DB8">
        <w:rPr>
          <w:rStyle w:val="Marquenotebasdepage"/>
          <w:rFonts w:ascii="Times New Roman" w:hAnsi="Times New Roman" w:cs="Times New Roman"/>
          <w:sz w:val="20"/>
          <w:szCs w:val="20"/>
        </w:rPr>
        <w:footnoteRef/>
      </w:r>
      <w:r w:rsidRPr="00AE7DB8">
        <w:rPr>
          <w:rFonts w:ascii="Times New Roman" w:hAnsi="Times New Roman" w:cs="Times New Roman"/>
          <w:sz w:val="20"/>
          <w:szCs w:val="20"/>
        </w:rPr>
        <w:t xml:space="preserve"> C. </w:t>
      </w:r>
      <w:r w:rsidRPr="00AE7DB8">
        <w:rPr>
          <w:rFonts w:ascii="Times New Roman" w:hAnsi="Times New Roman" w:cs="Times New Roman"/>
          <w:smallCaps/>
          <w:sz w:val="20"/>
          <w:szCs w:val="20"/>
        </w:rPr>
        <w:t>Beccaria</w:t>
      </w:r>
      <w:r w:rsidRPr="00AE7DB8">
        <w:rPr>
          <w:rFonts w:ascii="Times New Roman" w:hAnsi="Times New Roman" w:cs="Times New Roman"/>
          <w:sz w:val="20"/>
          <w:szCs w:val="20"/>
        </w:rPr>
        <w:t xml:space="preserve">, </w:t>
      </w:r>
      <w:r w:rsidRPr="00AE7DB8">
        <w:rPr>
          <w:rFonts w:ascii="Times New Roman" w:hAnsi="Times New Roman" w:cs="Times New Roman"/>
          <w:i/>
          <w:sz w:val="20"/>
          <w:szCs w:val="20"/>
        </w:rPr>
        <w:t>op. cit.</w:t>
      </w:r>
      <w:r w:rsidRPr="00AE7DB8">
        <w:rPr>
          <w:rFonts w:ascii="Times New Roman" w:hAnsi="Times New Roman" w:cs="Times New Roman"/>
          <w:sz w:val="20"/>
          <w:szCs w:val="20"/>
        </w:rPr>
        <w:t>, Chap. XII, p. 179.</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894EE87D"/>
    <w:lvl w:ilvl="0">
      <w:numFmt w:val="bullet"/>
      <w:suff w:val="nothing"/>
      <w:lvlText w:val="-"/>
      <w:lvlJc w:val="left"/>
      <w:pPr>
        <w:ind w:left="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nsid w:val="12324CED"/>
    <w:multiLevelType w:val="hybridMultilevel"/>
    <w:tmpl w:val="E1F4087C"/>
    <w:lvl w:ilvl="0" w:tplc="A5F2E760">
      <w:start w:val="3"/>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F0A2780"/>
    <w:multiLevelType w:val="hybridMultilevel"/>
    <w:tmpl w:val="F100150C"/>
    <w:lvl w:ilvl="0" w:tplc="8910B98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636"/>
    <w:rsid w:val="000056AC"/>
    <w:rsid w:val="00015D6A"/>
    <w:rsid w:val="00033346"/>
    <w:rsid w:val="000571CD"/>
    <w:rsid w:val="00066F24"/>
    <w:rsid w:val="0006700C"/>
    <w:rsid w:val="000A1471"/>
    <w:rsid w:val="000A44A2"/>
    <w:rsid w:val="000C7C13"/>
    <w:rsid w:val="000E4750"/>
    <w:rsid w:val="000F5E70"/>
    <w:rsid w:val="00143C2E"/>
    <w:rsid w:val="00157F0C"/>
    <w:rsid w:val="00176D2C"/>
    <w:rsid w:val="00194DD4"/>
    <w:rsid w:val="001A3D01"/>
    <w:rsid w:val="001D237B"/>
    <w:rsid w:val="001F3A22"/>
    <w:rsid w:val="002062E9"/>
    <w:rsid w:val="00243784"/>
    <w:rsid w:val="00263088"/>
    <w:rsid w:val="0026786B"/>
    <w:rsid w:val="00271A42"/>
    <w:rsid w:val="00297E89"/>
    <w:rsid w:val="002B4866"/>
    <w:rsid w:val="002C1C4F"/>
    <w:rsid w:val="002D35DE"/>
    <w:rsid w:val="002F6999"/>
    <w:rsid w:val="00305FBA"/>
    <w:rsid w:val="0032067F"/>
    <w:rsid w:val="003367D2"/>
    <w:rsid w:val="0034595D"/>
    <w:rsid w:val="00346888"/>
    <w:rsid w:val="0035024C"/>
    <w:rsid w:val="003C6F26"/>
    <w:rsid w:val="00402D9C"/>
    <w:rsid w:val="0042196E"/>
    <w:rsid w:val="004708C3"/>
    <w:rsid w:val="00483A64"/>
    <w:rsid w:val="004A5011"/>
    <w:rsid w:val="004D780A"/>
    <w:rsid w:val="004E0D08"/>
    <w:rsid w:val="00542193"/>
    <w:rsid w:val="00545920"/>
    <w:rsid w:val="00556D2C"/>
    <w:rsid w:val="00566FE1"/>
    <w:rsid w:val="005670F3"/>
    <w:rsid w:val="0056754D"/>
    <w:rsid w:val="005F0037"/>
    <w:rsid w:val="00603431"/>
    <w:rsid w:val="00606B84"/>
    <w:rsid w:val="0062448E"/>
    <w:rsid w:val="00630326"/>
    <w:rsid w:val="00635837"/>
    <w:rsid w:val="006574C0"/>
    <w:rsid w:val="006668D2"/>
    <w:rsid w:val="00673420"/>
    <w:rsid w:val="00675C57"/>
    <w:rsid w:val="00681AD8"/>
    <w:rsid w:val="006855BB"/>
    <w:rsid w:val="0068794E"/>
    <w:rsid w:val="006B1971"/>
    <w:rsid w:val="006B50C0"/>
    <w:rsid w:val="006B53A6"/>
    <w:rsid w:val="006D3434"/>
    <w:rsid w:val="006E0AE5"/>
    <w:rsid w:val="006E63A3"/>
    <w:rsid w:val="00703250"/>
    <w:rsid w:val="00730E31"/>
    <w:rsid w:val="007371AE"/>
    <w:rsid w:val="0076413F"/>
    <w:rsid w:val="00793C3A"/>
    <w:rsid w:val="007A01CF"/>
    <w:rsid w:val="007A56E1"/>
    <w:rsid w:val="007B6D54"/>
    <w:rsid w:val="007E565D"/>
    <w:rsid w:val="00804209"/>
    <w:rsid w:val="00820C54"/>
    <w:rsid w:val="0082408E"/>
    <w:rsid w:val="00827F40"/>
    <w:rsid w:val="00844D28"/>
    <w:rsid w:val="008818A1"/>
    <w:rsid w:val="008D7978"/>
    <w:rsid w:val="009358A0"/>
    <w:rsid w:val="00956D08"/>
    <w:rsid w:val="00963D1D"/>
    <w:rsid w:val="00994728"/>
    <w:rsid w:val="009B4348"/>
    <w:rsid w:val="009B5A4D"/>
    <w:rsid w:val="009C2485"/>
    <w:rsid w:val="009C40BE"/>
    <w:rsid w:val="009E4E5B"/>
    <w:rsid w:val="00A14520"/>
    <w:rsid w:val="00A22F08"/>
    <w:rsid w:val="00A432AC"/>
    <w:rsid w:val="00A53F18"/>
    <w:rsid w:val="00A70B33"/>
    <w:rsid w:val="00A76AB3"/>
    <w:rsid w:val="00AB278C"/>
    <w:rsid w:val="00AB6AAF"/>
    <w:rsid w:val="00AB7DDD"/>
    <w:rsid w:val="00AE2E4F"/>
    <w:rsid w:val="00AE7DB8"/>
    <w:rsid w:val="00AF7826"/>
    <w:rsid w:val="00B02E8D"/>
    <w:rsid w:val="00B203B4"/>
    <w:rsid w:val="00B35757"/>
    <w:rsid w:val="00B61537"/>
    <w:rsid w:val="00B74C23"/>
    <w:rsid w:val="00BC407B"/>
    <w:rsid w:val="00BC496F"/>
    <w:rsid w:val="00BD2304"/>
    <w:rsid w:val="00BE6315"/>
    <w:rsid w:val="00BF7127"/>
    <w:rsid w:val="00CD486D"/>
    <w:rsid w:val="00CF407C"/>
    <w:rsid w:val="00CF7F32"/>
    <w:rsid w:val="00D27C0F"/>
    <w:rsid w:val="00D36E1F"/>
    <w:rsid w:val="00D55514"/>
    <w:rsid w:val="00D666C4"/>
    <w:rsid w:val="00D96D3D"/>
    <w:rsid w:val="00DC3151"/>
    <w:rsid w:val="00DE13C1"/>
    <w:rsid w:val="00DF42A6"/>
    <w:rsid w:val="00E049C5"/>
    <w:rsid w:val="00E07361"/>
    <w:rsid w:val="00E37709"/>
    <w:rsid w:val="00E650BC"/>
    <w:rsid w:val="00E96139"/>
    <w:rsid w:val="00EB1442"/>
    <w:rsid w:val="00EB6F6A"/>
    <w:rsid w:val="00EC60F0"/>
    <w:rsid w:val="00ED792F"/>
    <w:rsid w:val="00EF6008"/>
    <w:rsid w:val="00F00A97"/>
    <w:rsid w:val="00F24E0A"/>
    <w:rsid w:val="00F37381"/>
    <w:rsid w:val="00F5060D"/>
    <w:rsid w:val="00F541D7"/>
    <w:rsid w:val="00F65636"/>
    <w:rsid w:val="00F74D12"/>
    <w:rsid w:val="00F8229D"/>
    <w:rsid w:val="00F9532E"/>
    <w:rsid w:val="00FA2B13"/>
    <w:rsid w:val="00FB2AE4"/>
    <w:rsid w:val="00FB7FC2"/>
    <w:rsid w:val="00FE2122"/>
    <w:rsid w:val="00FF14C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5AEF3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otnoteReference">
    <w:name w:val="Footnote Reference"/>
    <w:rsid w:val="00F65636"/>
    <w:rPr>
      <w:color w:val="000000"/>
      <w:sz w:val="20"/>
      <w:vertAlign w:val="superscript"/>
    </w:rPr>
  </w:style>
  <w:style w:type="paragraph" w:customStyle="1" w:styleId="FootnoteText">
    <w:name w:val="Footnote Text"/>
    <w:rsid w:val="00F65636"/>
    <w:pPr>
      <w:spacing w:before="100" w:after="100"/>
    </w:pPr>
    <w:rPr>
      <w:rFonts w:ascii="Times New Roman" w:eastAsia="ヒラギノ角ゴ Pro W3" w:hAnsi="Times New Roman" w:cs="Times New Roman"/>
      <w:color w:val="000000"/>
      <w:sz w:val="20"/>
      <w:szCs w:val="20"/>
    </w:rPr>
  </w:style>
  <w:style w:type="paragraph" w:styleId="Notedebasdepage">
    <w:name w:val="footnote text"/>
    <w:basedOn w:val="Normal"/>
    <w:link w:val="NotedebasdepageCar"/>
    <w:uiPriority w:val="99"/>
    <w:unhideWhenUsed/>
    <w:rsid w:val="00015D6A"/>
  </w:style>
  <w:style w:type="character" w:customStyle="1" w:styleId="NotedebasdepageCar">
    <w:name w:val="Note de bas de page Car"/>
    <w:basedOn w:val="Policepardfaut"/>
    <w:link w:val="Notedebasdepage"/>
    <w:uiPriority w:val="99"/>
    <w:rsid w:val="00015D6A"/>
  </w:style>
  <w:style w:type="character" w:styleId="Marquenotebasdepage">
    <w:name w:val="footnote reference"/>
    <w:aliases w:val="Appel note de bas de page"/>
    <w:basedOn w:val="Policepardfaut"/>
    <w:uiPriority w:val="99"/>
    <w:unhideWhenUsed/>
    <w:rsid w:val="00015D6A"/>
    <w:rPr>
      <w:vertAlign w:val="superscript"/>
    </w:rPr>
  </w:style>
  <w:style w:type="paragraph" w:styleId="Paragraphedeliste">
    <w:name w:val="List Paragraph"/>
    <w:basedOn w:val="Normal"/>
    <w:link w:val="ParagraphedelisteCar"/>
    <w:qFormat/>
    <w:rsid w:val="007371AE"/>
    <w:pPr>
      <w:ind w:left="720"/>
      <w:contextualSpacing/>
    </w:pPr>
  </w:style>
  <w:style w:type="character" w:customStyle="1" w:styleId="FootnoteReference1">
    <w:name w:val="Footnote Reference1"/>
    <w:rsid w:val="000056AC"/>
    <w:rPr>
      <w:color w:val="000000"/>
      <w:sz w:val="20"/>
      <w:vertAlign w:val="superscript"/>
    </w:rPr>
  </w:style>
  <w:style w:type="paragraph" w:customStyle="1" w:styleId="FootnoteText1">
    <w:name w:val="Footnote Text1"/>
    <w:rsid w:val="000056AC"/>
    <w:pPr>
      <w:spacing w:before="100" w:after="100"/>
    </w:pPr>
    <w:rPr>
      <w:rFonts w:ascii="Times New Roman" w:eastAsia="ヒラギノ角ゴ Pro W3" w:hAnsi="Times New Roman" w:cs="Times New Roman"/>
      <w:color w:val="000000"/>
      <w:sz w:val="20"/>
      <w:szCs w:val="20"/>
    </w:rPr>
  </w:style>
  <w:style w:type="paragraph" w:customStyle="1" w:styleId="Footer1">
    <w:name w:val="Footer1"/>
    <w:rsid w:val="000056AC"/>
    <w:pPr>
      <w:tabs>
        <w:tab w:val="center" w:pos="4536"/>
        <w:tab w:val="right" w:pos="9072"/>
      </w:tabs>
      <w:spacing w:before="100" w:after="100"/>
    </w:pPr>
    <w:rPr>
      <w:rFonts w:ascii="Times New Roman" w:eastAsia="ヒラギノ角ゴ Pro W3" w:hAnsi="Times New Roman" w:cs="Times New Roman"/>
      <w:color w:val="000000"/>
      <w:szCs w:val="20"/>
    </w:rPr>
  </w:style>
  <w:style w:type="character" w:styleId="Marquedannotation">
    <w:name w:val="annotation reference"/>
    <w:rsid w:val="007E565D"/>
    <w:rPr>
      <w:sz w:val="18"/>
      <w:szCs w:val="18"/>
    </w:rPr>
  </w:style>
  <w:style w:type="paragraph" w:styleId="Commentaire">
    <w:name w:val="annotation text"/>
    <w:basedOn w:val="Normal"/>
    <w:link w:val="CommentaireCar"/>
    <w:rsid w:val="007E565D"/>
    <w:rPr>
      <w:rFonts w:ascii="Times New Roman" w:eastAsia="Times New Roman" w:hAnsi="Times New Roman" w:cs="Times New Roman"/>
      <w:lang w:eastAsia="en-GB"/>
    </w:rPr>
  </w:style>
  <w:style w:type="character" w:customStyle="1" w:styleId="CommentaireCar">
    <w:name w:val="Commentaire Car"/>
    <w:basedOn w:val="Policepardfaut"/>
    <w:link w:val="Commentaire"/>
    <w:rsid w:val="007E565D"/>
    <w:rPr>
      <w:rFonts w:ascii="Times New Roman" w:eastAsia="Times New Roman" w:hAnsi="Times New Roman" w:cs="Times New Roman"/>
      <w:lang w:eastAsia="en-GB"/>
    </w:rPr>
  </w:style>
  <w:style w:type="paragraph" w:styleId="Textedebulles">
    <w:name w:val="Balloon Text"/>
    <w:basedOn w:val="Normal"/>
    <w:link w:val="TextedebullesCar"/>
    <w:uiPriority w:val="99"/>
    <w:semiHidden/>
    <w:unhideWhenUsed/>
    <w:rsid w:val="007E565D"/>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E565D"/>
    <w:rPr>
      <w:rFonts w:ascii="Lucida Grande" w:hAnsi="Lucida Grande" w:cs="Lucida Grande"/>
      <w:sz w:val="18"/>
      <w:szCs w:val="18"/>
    </w:rPr>
  </w:style>
  <w:style w:type="paragraph" w:styleId="Objetducommentaire">
    <w:name w:val="annotation subject"/>
    <w:basedOn w:val="Commentaire"/>
    <w:next w:val="Commentaire"/>
    <w:link w:val="ObjetducommentaireCar"/>
    <w:uiPriority w:val="99"/>
    <w:semiHidden/>
    <w:unhideWhenUsed/>
    <w:rsid w:val="00B35757"/>
    <w:rPr>
      <w:rFonts w:asciiTheme="minorHAnsi" w:eastAsiaTheme="minorEastAsia" w:hAnsiTheme="minorHAnsi" w:cstheme="minorBidi"/>
      <w:b/>
      <w:bCs/>
      <w:sz w:val="20"/>
      <w:szCs w:val="20"/>
      <w:lang w:eastAsia="fr-FR"/>
    </w:rPr>
  </w:style>
  <w:style w:type="character" w:customStyle="1" w:styleId="ObjetducommentaireCar">
    <w:name w:val="Objet du commentaire Car"/>
    <w:basedOn w:val="CommentaireCar"/>
    <w:link w:val="Objetducommentaire"/>
    <w:uiPriority w:val="99"/>
    <w:semiHidden/>
    <w:rsid w:val="00B35757"/>
    <w:rPr>
      <w:rFonts w:ascii="Times New Roman" w:eastAsia="Times New Roman" w:hAnsi="Times New Roman" w:cs="Times New Roman"/>
      <w:b/>
      <w:bCs/>
      <w:sz w:val="20"/>
      <w:szCs w:val="20"/>
      <w:lang w:eastAsia="en-GB"/>
    </w:rPr>
  </w:style>
  <w:style w:type="character" w:customStyle="1" w:styleId="normal--char">
    <w:name w:val="normal--char"/>
    <w:rsid w:val="0032067F"/>
    <w:rPr>
      <w:color w:val="000000"/>
      <w:sz w:val="20"/>
    </w:rPr>
  </w:style>
  <w:style w:type="paragraph" w:styleId="Pieddepage">
    <w:name w:val="footer"/>
    <w:basedOn w:val="Normal"/>
    <w:link w:val="PieddepageCar"/>
    <w:uiPriority w:val="99"/>
    <w:unhideWhenUsed/>
    <w:rsid w:val="004D780A"/>
    <w:pPr>
      <w:tabs>
        <w:tab w:val="center" w:pos="4703"/>
        <w:tab w:val="right" w:pos="9406"/>
      </w:tabs>
    </w:pPr>
  </w:style>
  <w:style w:type="character" w:customStyle="1" w:styleId="PieddepageCar">
    <w:name w:val="Pied de page Car"/>
    <w:basedOn w:val="Policepardfaut"/>
    <w:link w:val="Pieddepage"/>
    <w:uiPriority w:val="99"/>
    <w:rsid w:val="004D780A"/>
  </w:style>
  <w:style w:type="character" w:styleId="Numrodepage">
    <w:name w:val="page number"/>
    <w:basedOn w:val="Policepardfaut"/>
    <w:uiPriority w:val="99"/>
    <w:semiHidden/>
    <w:unhideWhenUsed/>
    <w:rsid w:val="004D780A"/>
  </w:style>
  <w:style w:type="character" w:styleId="Lienhypertexte">
    <w:name w:val="Hyperlink"/>
    <w:basedOn w:val="Policepardfaut"/>
    <w:uiPriority w:val="99"/>
    <w:unhideWhenUsed/>
    <w:rsid w:val="00ED792F"/>
    <w:rPr>
      <w:color w:val="0000FF"/>
      <w:u w:val="single"/>
    </w:rPr>
  </w:style>
  <w:style w:type="character" w:customStyle="1" w:styleId="ParagraphedelisteCar">
    <w:name w:val="Paragraphe de liste Car"/>
    <w:link w:val="Paragraphedeliste"/>
    <w:locked/>
    <w:rsid w:val="00DF42A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otnoteReference">
    <w:name w:val="Footnote Reference"/>
    <w:rsid w:val="00F65636"/>
    <w:rPr>
      <w:color w:val="000000"/>
      <w:sz w:val="20"/>
      <w:vertAlign w:val="superscript"/>
    </w:rPr>
  </w:style>
  <w:style w:type="paragraph" w:customStyle="1" w:styleId="FootnoteText">
    <w:name w:val="Footnote Text"/>
    <w:rsid w:val="00F65636"/>
    <w:pPr>
      <w:spacing w:before="100" w:after="100"/>
    </w:pPr>
    <w:rPr>
      <w:rFonts w:ascii="Times New Roman" w:eastAsia="ヒラギノ角ゴ Pro W3" w:hAnsi="Times New Roman" w:cs="Times New Roman"/>
      <w:color w:val="000000"/>
      <w:sz w:val="20"/>
      <w:szCs w:val="20"/>
    </w:rPr>
  </w:style>
  <w:style w:type="paragraph" w:styleId="Notedebasdepage">
    <w:name w:val="footnote text"/>
    <w:basedOn w:val="Normal"/>
    <w:link w:val="NotedebasdepageCar"/>
    <w:uiPriority w:val="99"/>
    <w:unhideWhenUsed/>
    <w:rsid w:val="00015D6A"/>
  </w:style>
  <w:style w:type="character" w:customStyle="1" w:styleId="NotedebasdepageCar">
    <w:name w:val="Note de bas de page Car"/>
    <w:basedOn w:val="Policepardfaut"/>
    <w:link w:val="Notedebasdepage"/>
    <w:uiPriority w:val="99"/>
    <w:rsid w:val="00015D6A"/>
  </w:style>
  <w:style w:type="character" w:styleId="Marquenotebasdepage">
    <w:name w:val="footnote reference"/>
    <w:aliases w:val="Appel note de bas de page"/>
    <w:basedOn w:val="Policepardfaut"/>
    <w:uiPriority w:val="99"/>
    <w:unhideWhenUsed/>
    <w:rsid w:val="00015D6A"/>
    <w:rPr>
      <w:vertAlign w:val="superscript"/>
    </w:rPr>
  </w:style>
  <w:style w:type="paragraph" w:styleId="Paragraphedeliste">
    <w:name w:val="List Paragraph"/>
    <w:basedOn w:val="Normal"/>
    <w:link w:val="ParagraphedelisteCar"/>
    <w:qFormat/>
    <w:rsid w:val="007371AE"/>
    <w:pPr>
      <w:ind w:left="720"/>
      <w:contextualSpacing/>
    </w:pPr>
  </w:style>
  <w:style w:type="character" w:customStyle="1" w:styleId="FootnoteReference1">
    <w:name w:val="Footnote Reference1"/>
    <w:rsid w:val="000056AC"/>
    <w:rPr>
      <w:color w:val="000000"/>
      <w:sz w:val="20"/>
      <w:vertAlign w:val="superscript"/>
    </w:rPr>
  </w:style>
  <w:style w:type="paragraph" w:customStyle="1" w:styleId="FootnoteText1">
    <w:name w:val="Footnote Text1"/>
    <w:rsid w:val="000056AC"/>
    <w:pPr>
      <w:spacing w:before="100" w:after="100"/>
    </w:pPr>
    <w:rPr>
      <w:rFonts w:ascii="Times New Roman" w:eastAsia="ヒラギノ角ゴ Pro W3" w:hAnsi="Times New Roman" w:cs="Times New Roman"/>
      <w:color w:val="000000"/>
      <w:sz w:val="20"/>
      <w:szCs w:val="20"/>
    </w:rPr>
  </w:style>
  <w:style w:type="paragraph" w:customStyle="1" w:styleId="Footer1">
    <w:name w:val="Footer1"/>
    <w:rsid w:val="000056AC"/>
    <w:pPr>
      <w:tabs>
        <w:tab w:val="center" w:pos="4536"/>
        <w:tab w:val="right" w:pos="9072"/>
      </w:tabs>
      <w:spacing w:before="100" w:after="100"/>
    </w:pPr>
    <w:rPr>
      <w:rFonts w:ascii="Times New Roman" w:eastAsia="ヒラギノ角ゴ Pro W3" w:hAnsi="Times New Roman" w:cs="Times New Roman"/>
      <w:color w:val="000000"/>
      <w:szCs w:val="20"/>
    </w:rPr>
  </w:style>
  <w:style w:type="character" w:styleId="Marquedannotation">
    <w:name w:val="annotation reference"/>
    <w:rsid w:val="007E565D"/>
    <w:rPr>
      <w:sz w:val="18"/>
      <w:szCs w:val="18"/>
    </w:rPr>
  </w:style>
  <w:style w:type="paragraph" w:styleId="Commentaire">
    <w:name w:val="annotation text"/>
    <w:basedOn w:val="Normal"/>
    <w:link w:val="CommentaireCar"/>
    <w:rsid w:val="007E565D"/>
    <w:rPr>
      <w:rFonts w:ascii="Times New Roman" w:eastAsia="Times New Roman" w:hAnsi="Times New Roman" w:cs="Times New Roman"/>
      <w:lang w:eastAsia="en-GB"/>
    </w:rPr>
  </w:style>
  <w:style w:type="character" w:customStyle="1" w:styleId="CommentaireCar">
    <w:name w:val="Commentaire Car"/>
    <w:basedOn w:val="Policepardfaut"/>
    <w:link w:val="Commentaire"/>
    <w:rsid w:val="007E565D"/>
    <w:rPr>
      <w:rFonts w:ascii="Times New Roman" w:eastAsia="Times New Roman" w:hAnsi="Times New Roman" w:cs="Times New Roman"/>
      <w:lang w:eastAsia="en-GB"/>
    </w:rPr>
  </w:style>
  <w:style w:type="paragraph" w:styleId="Textedebulles">
    <w:name w:val="Balloon Text"/>
    <w:basedOn w:val="Normal"/>
    <w:link w:val="TextedebullesCar"/>
    <w:uiPriority w:val="99"/>
    <w:semiHidden/>
    <w:unhideWhenUsed/>
    <w:rsid w:val="007E565D"/>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E565D"/>
    <w:rPr>
      <w:rFonts w:ascii="Lucida Grande" w:hAnsi="Lucida Grande" w:cs="Lucida Grande"/>
      <w:sz w:val="18"/>
      <w:szCs w:val="18"/>
    </w:rPr>
  </w:style>
  <w:style w:type="paragraph" w:styleId="Objetducommentaire">
    <w:name w:val="annotation subject"/>
    <w:basedOn w:val="Commentaire"/>
    <w:next w:val="Commentaire"/>
    <w:link w:val="ObjetducommentaireCar"/>
    <w:uiPriority w:val="99"/>
    <w:semiHidden/>
    <w:unhideWhenUsed/>
    <w:rsid w:val="00B35757"/>
    <w:rPr>
      <w:rFonts w:asciiTheme="minorHAnsi" w:eastAsiaTheme="minorEastAsia" w:hAnsiTheme="minorHAnsi" w:cstheme="minorBidi"/>
      <w:b/>
      <w:bCs/>
      <w:sz w:val="20"/>
      <w:szCs w:val="20"/>
      <w:lang w:eastAsia="fr-FR"/>
    </w:rPr>
  </w:style>
  <w:style w:type="character" w:customStyle="1" w:styleId="ObjetducommentaireCar">
    <w:name w:val="Objet du commentaire Car"/>
    <w:basedOn w:val="CommentaireCar"/>
    <w:link w:val="Objetducommentaire"/>
    <w:uiPriority w:val="99"/>
    <w:semiHidden/>
    <w:rsid w:val="00B35757"/>
    <w:rPr>
      <w:rFonts w:ascii="Times New Roman" w:eastAsia="Times New Roman" w:hAnsi="Times New Roman" w:cs="Times New Roman"/>
      <w:b/>
      <w:bCs/>
      <w:sz w:val="20"/>
      <w:szCs w:val="20"/>
      <w:lang w:eastAsia="en-GB"/>
    </w:rPr>
  </w:style>
  <w:style w:type="character" w:customStyle="1" w:styleId="normal--char">
    <w:name w:val="normal--char"/>
    <w:rsid w:val="0032067F"/>
    <w:rPr>
      <w:color w:val="000000"/>
      <w:sz w:val="20"/>
    </w:rPr>
  </w:style>
  <w:style w:type="paragraph" w:styleId="Pieddepage">
    <w:name w:val="footer"/>
    <w:basedOn w:val="Normal"/>
    <w:link w:val="PieddepageCar"/>
    <w:uiPriority w:val="99"/>
    <w:unhideWhenUsed/>
    <w:rsid w:val="004D780A"/>
    <w:pPr>
      <w:tabs>
        <w:tab w:val="center" w:pos="4703"/>
        <w:tab w:val="right" w:pos="9406"/>
      </w:tabs>
    </w:pPr>
  </w:style>
  <w:style w:type="character" w:customStyle="1" w:styleId="PieddepageCar">
    <w:name w:val="Pied de page Car"/>
    <w:basedOn w:val="Policepardfaut"/>
    <w:link w:val="Pieddepage"/>
    <w:uiPriority w:val="99"/>
    <w:rsid w:val="004D780A"/>
  </w:style>
  <w:style w:type="character" w:styleId="Numrodepage">
    <w:name w:val="page number"/>
    <w:basedOn w:val="Policepardfaut"/>
    <w:uiPriority w:val="99"/>
    <w:semiHidden/>
    <w:unhideWhenUsed/>
    <w:rsid w:val="004D780A"/>
  </w:style>
  <w:style w:type="character" w:styleId="Lienhypertexte">
    <w:name w:val="Hyperlink"/>
    <w:basedOn w:val="Policepardfaut"/>
    <w:uiPriority w:val="99"/>
    <w:unhideWhenUsed/>
    <w:rsid w:val="00ED792F"/>
    <w:rPr>
      <w:color w:val="0000FF"/>
      <w:u w:val="single"/>
    </w:rPr>
  </w:style>
  <w:style w:type="character" w:customStyle="1" w:styleId="ParagraphedelisteCar">
    <w:name w:val="Paragraphe de liste Car"/>
    <w:link w:val="Paragraphedeliste"/>
    <w:locked/>
    <w:rsid w:val="00DF4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3571530">
      <w:bodyDiv w:val="1"/>
      <w:marLeft w:val="0"/>
      <w:marRight w:val="0"/>
      <w:marTop w:val="0"/>
      <w:marBottom w:val="0"/>
      <w:divBdr>
        <w:top w:val="none" w:sz="0" w:space="0" w:color="auto"/>
        <w:left w:val="none" w:sz="0" w:space="0" w:color="auto"/>
        <w:bottom w:val="none" w:sz="0" w:space="0" w:color="auto"/>
        <w:right w:val="none" w:sz="0" w:space="0" w:color="auto"/>
      </w:divBdr>
      <w:divsChild>
        <w:div w:id="482507907">
          <w:marLeft w:val="0"/>
          <w:marRight w:val="0"/>
          <w:marTop w:val="0"/>
          <w:marBottom w:val="0"/>
          <w:divBdr>
            <w:top w:val="none" w:sz="0" w:space="0" w:color="auto"/>
            <w:left w:val="none" w:sz="0" w:space="0" w:color="auto"/>
            <w:bottom w:val="none" w:sz="0" w:space="0" w:color="auto"/>
            <w:right w:val="none" w:sz="0" w:space="0" w:color="auto"/>
          </w:divBdr>
        </w:div>
        <w:div w:id="124480334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452</TotalTime>
  <Pages>2</Pages>
  <Words>3654</Words>
  <Characters>20100</Characters>
  <Application>Microsoft Macintosh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23707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Scalia</dc:creator>
  <cp:keywords/>
  <dc:description/>
  <cp:lastModifiedBy>Diane Bernard</cp:lastModifiedBy>
  <cp:revision>14</cp:revision>
  <dcterms:created xsi:type="dcterms:W3CDTF">2013-09-24T09:28:00Z</dcterms:created>
  <dcterms:modified xsi:type="dcterms:W3CDTF">2013-11-02T13:02:00Z</dcterms:modified>
  <cp:category/>
</cp:coreProperties>
</file>