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1D6C58" w14:textId="77777777" w:rsidR="00946212" w:rsidRPr="00917847" w:rsidRDefault="00946212" w:rsidP="00946212">
      <w:pPr>
        <w:contextualSpacing/>
        <w:jc w:val="center"/>
        <w:rPr>
          <w:b/>
        </w:rPr>
      </w:pPr>
      <w:r w:rsidRPr="00917847">
        <w:rPr>
          <w:b/>
        </w:rPr>
        <w:t>Les matrices narratives de la CJUE c</w:t>
      </w:r>
      <w:r>
        <w:rPr>
          <w:b/>
        </w:rPr>
        <w:t>omme ressources reconstructives</w:t>
      </w:r>
    </w:p>
    <w:p w14:paraId="66D23818" w14:textId="77777777" w:rsidR="00946212" w:rsidRDefault="00946212" w:rsidP="00946212">
      <w:pPr>
        <w:ind w:firstLine="426"/>
        <w:contextualSpacing/>
        <w:jc w:val="center"/>
        <w:rPr>
          <w:b/>
        </w:rPr>
      </w:pPr>
      <w:r w:rsidRPr="00917847">
        <w:rPr>
          <w:b/>
        </w:rPr>
        <w:t>Quelques élément</w:t>
      </w:r>
      <w:r>
        <w:rPr>
          <w:b/>
        </w:rPr>
        <w:t>s de réflexion</w:t>
      </w:r>
      <w:r w:rsidRPr="00917847">
        <w:rPr>
          <w:b/>
        </w:rPr>
        <w:t xml:space="preserve"> épistémologique</w:t>
      </w:r>
    </w:p>
    <w:p w14:paraId="39E2C5C4" w14:textId="77777777" w:rsidR="00946212" w:rsidRDefault="00946212" w:rsidP="00946212">
      <w:pPr>
        <w:ind w:firstLine="426"/>
        <w:contextualSpacing/>
        <w:jc w:val="center"/>
      </w:pPr>
    </w:p>
    <w:p w14:paraId="0BB8CB83" w14:textId="4B6418B6" w:rsidR="00A22175" w:rsidRPr="00A22175" w:rsidRDefault="00A22175" w:rsidP="00946212">
      <w:pPr>
        <w:ind w:firstLine="426"/>
        <w:contextualSpacing/>
        <w:jc w:val="center"/>
        <w:rPr>
          <w:i/>
        </w:rPr>
      </w:pPr>
      <w:r>
        <w:rPr>
          <w:i/>
        </w:rPr>
        <w:t>Quentin Landenne, Université Saint-Louis – Bruxelles</w:t>
      </w:r>
    </w:p>
    <w:p w14:paraId="5E26B228" w14:textId="77777777" w:rsidR="003506B2" w:rsidRDefault="003506B2" w:rsidP="00946212">
      <w:pPr>
        <w:ind w:firstLine="426"/>
        <w:contextualSpacing/>
        <w:jc w:val="center"/>
      </w:pPr>
    </w:p>
    <w:p w14:paraId="5072C3D7" w14:textId="77777777" w:rsidR="00946212" w:rsidRDefault="00946212" w:rsidP="003506B2">
      <w:pPr>
        <w:ind w:firstLine="426"/>
        <w:contextualSpacing/>
        <w:jc w:val="both"/>
      </w:pPr>
    </w:p>
    <w:p w14:paraId="5DCFE4E6" w14:textId="77777777" w:rsidR="00946212" w:rsidRDefault="00946212" w:rsidP="003506B2">
      <w:pPr>
        <w:ind w:firstLine="426"/>
        <w:contextualSpacing/>
        <w:jc w:val="both"/>
      </w:pPr>
    </w:p>
    <w:p w14:paraId="10C06070" w14:textId="1EF4FB91" w:rsidR="005D3766" w:rsidRDefault="00071C14" w:rsidP="003506B2">
      <w:pPr>
        <w:ind w:firstLine="426"/>
        <w:contextualSpacing/>
        <w:jc w:val="both"/>
      </w:pPr>
      <w:r>
        <w:t xml:space="preserve">Dans cette contribution, je voudrais soulever une série de questions </w:t>
      </w:r>
      <w:r w:rsidR="00946212">
        <w:t xml:space="preserve">épistémologiques </w:t>
      </w:r>
      <w:r>
        <w:t>concernant la définition du concept de « récits judiciaires de l’Europe », relativemen</w:t>
      </w:r>
      <w:r w:rsidR="009B4975">
        <w:t>t à son usage dans le cadre de ce</w:t>
      </w:r>
      <w:r>
        <w:t xml:space="preserve"> projet interdisciplinaire sur les pratiques narratives de la Cour d</w:t>
      </w:r>
      <w:r w:rsidR="00F60021">
        <w:t>e justice de l’Union européenne.</w:t>
      </w:r>
      <w:r>
        <w:t xml:space="preserve"> </w:t>
      </w:r>
      <w:r w:rsidR="00D43018">
        <w:t>Il conviendra</w:t>
      </w:r>
      <w:r w:rsidR="00F60021">
        <w:t xml:space="preserve"> d’abord d’interroger les enjeux sémantiques, ontologiques et </w:t>
      </w:r>
      <w:r w:rsidR="00946212">
        <w:t xml:space="preserve">méthodologiques </w:t>
      </w:r>
      <w:r w:rsidR="00231C31">
        <w:t>sous-tendus par</w:t>
      </w:r>
      <w:r w:rsidR="00F60021">
        <w:t xml:space="preserve"> la définition de travail de ce concept, de son extension, de sa portée et de son statut heuristique. D</w:t>
      </w:r>
      <w:r w:rsidR="00946212">
        <w:t>ans un second temps, je</w:t>
      </w:r>
      <w:r w:rsidR="00F60021">
        <w:t xml:space="preserve"> </w:t>
      </w:r>
      <w:r w:rsidR="006B41FA">
        <w:t>tâchera</w:t>
      </w:r>
      <w:r w:rsidR="00946212">
        <w:t>i</w:t>
      </w:r>
      <w:r w:rsidR="006B41FA">
        <w:t xml:space="preserve"> de mettre en application ces réflexions </w:t>
      </w:r>
      <w:r w:rsidR="00A22175">
        <w:t>épistémologiques</w:t>
      </w:r>
      <w:r w:rsidR="006B41FA">
        <w:t xml:space="preserve"> et théoriques</w:t>
      </w:r>
      <w:r w:rsidR="00F60021">
        <w:t xml:space="preserve"> </w:t>
      </w:r>
      <w:r>
        <w:t>à la lumière d’un cas particulier de</w:t>
      </w:r>
      <w:r w:rsidR="00F60021">
        <w:t xml:space="preserve"> </w:t>
      </w:r>
      <w:proofErr w:type="gramStart"/>
      <w:r w:rsidR="00F60021">
        <w:t>narratif</w:t>
      </w:r>
      <w:proofErr w:type="gramEnd"/>
      <w:r w:rsidR="00F60021">
        <w:t xml:space="preserve"> judiciaire de la Cour, celui de l’Europe comme « ordre constitutionnel pluraliste ». </w:t>
      </w:r>
      <w:r w:rsidR="009E33EB">
        <w:t xml:space="preserve">Derrière cette enquête épistémologique et ce cas d’étude, ce qu’il </w:t>
      </w:r>
      <w:r w:rsidR="00D43018">
        <w:t>s’agira de</w:t>
      </w:r>
      <w:r w:rsidR="009E33EB">
        <w:t xml:space="preserve"> mettre en lumière, ce sont les ressources reconst</w:t>
      </w:r>
      <w:r w:rsidR="007F4C21">
        <w:t>ructives des récits judiciaires</w:t>
      </w:r>
      <w:r w:rsidR="009E33EB">
        <w:t xml:space="preserve"> pensés comme </w:t>
      </w:r>
      <w:r w:rsidR="00D43018">
        <w:t>« </w:t>
      </w:r>
      <w:r w:rsidR="009E33EB">
        <w:t>matrices narratives</w:t>
      </w:r>
      <w:r w:rsidR="00D43018">
        <w:t> »</w:t>
      </w:r>
      <w:r w:rsidR="009E33EB">
        <w:t>, à la fois pour la Cour elle-même, en tant qu’acteur</w:t>
      </w:r>
      <w:r w:rsidR="00D43018">
        <w:t xml:space="preserve"> reconstruisant réflexivement son propre </w:t>
      </w:r>
      <w:r w:rsidR="007F4C21">
        <w:t>rôle et son environnement politique</w:t>
      </w:r>
      <w:r w:rsidR="00D43018">
        <w:t>, mais aussi pour l’analyste – juriste, sociologue</w:t>
      </w:r>
      <w:r w:rsidR="00703412">
        <w:t>, historien</w:t>
      </w:r>
      <w:r w:rsidR="00D43018">
        <w:t xml:space="preserve"> ou politologue – qui trouvera dans les narratifs de la Cour </w:t>
      </w:r>
      <w:r w:rsidR="007F4C21">
        <w:t>un lieu privilégié de confrontation et d’échange entre points de vue disciplinaires externes et internes sur le système de communication juridique</w:t>
      </w:r>
      <w:r w:rsidR="00A94583">
        <w:t xml:space="preserve"> où </w:t>
      </w:r>
      <w:r w:rsidR="00703412">
        <w:t>c</w:t>
      </w:r>
      <w:r w:rsidR="00A94583">
        <w:t>elle</w:t>
      </w:r>
      <w:r w:rsidR="00703412">
        <w:t>-ci</w:t>
      </w:r>
      <w:r w:rsidR="00A94583">
        <w:t xml:space="preserve"> s’inscrit</w:t>
      </w:r>
      <w:r w:rsidR="007F4C21">
        <w:t>.</w:t>
      </w:r>
    </w:p>
    <w:p w14:paraId="3F405C04" w14:textId="77777777" w:rsidR="005D3766" w:rsidRDefault="005D3766" w:rsidP="003506B2">
      <w:pPr>
        <w:ind w:firstLine="426"/>
        <w:contextualSpacing/>
        <w:jc w:val="both"/>
      </w:pPr>
    </w:p>
    <w:p w14:paraId="0D8DA331" w14:textId="7FFC3743" w:rsidR="003506B2" w:rsidRPr="005D3766" w:rsidRDefault="005D3766" w:rsidP="005D3766">
      <w:pPr>
        <w:ind w:firstLine="425"/>
        <w:contextualSpacing/>
        <w:jc w:val="both"/>
      </w:pPr>
      <w:r w:rsidRPr="005D3766">
        <w:t>1. Définir les récits judiciaires de l’E</w:t>
      </w:r>
      <w:r w:rsidR="00EA1B28">
        <w:t>urope : questions sémantiques, ontologiques et</w:t>
      </w:r>
      <w:r w:rsidRPr="005D3766">
        <w:t xml:space="preserve"> </w:t>
      </w:r>
      <w:r w:rsidR="00946212">
        <w:t>méthodologiques</w:t>
      </w:r>
      <w:r w:rsidRPr="005D3766">
        <w:t xml:space="preserve"> </w:t>
      </w:r>
    </w:p>
    <w:p w14:paraId="0DBA4F8B" w14:textId="77880750" w:rsidR="008764D3" w:rsidRDefault="008764D3" w:rsidP="005D3766">
      <w:pPr>
        <w:ind w:firstLine="425"/>
        <w:contextualSpacing/>
        <w:jc w:val="both"/>
      </w:pPr>
      <w:r>
        <w:t>1</w:t>
      </w:r>
      <w:r w:rsidR="003506B2">
        <w:t>.1.</w:t>
      </w:r>
      <w:r>
        <w:t xml:space="preserve"> Pour commencer, il </w:t>
      </w:r>
      <w:r w:rsidR="00C362C7">
        <w:t>est intéressant de</w:t>
      </w:r>
      <w:r>
        <w:t xml:space="preserve"> se pencher sur la définition du concept général de « narratif » ou </w:t>
      </w:r>
      <w:r w:rsidR="00C362C7">
        <w:t>de « récit » proposée d</w:t>
      </w:r>
      <w:r>
        <w:t xml:space="preserve">ans </w:t>
      </w:r>
      <w:r w:rsidR="00C362C7">
        <w:t>l’article programme</w:t>
      </w:r>
      <w:r>
        <w:t xml:space="preserve"> </w:t>
      </w:r>
      <w:r w:rsidR="00C362C7">
        <w:t xml:space="preserve">d’Antoine </w:t>
      </w:r>
      <w:proofErr w:type="spellStart"/>
      <w:r>
        <w:t>Bailleux</w:t>
      </w:r>
      <w:proofErr w:type="spellEnd"/>
      <w:r w:rsidR="00C362C7">
        <w:t xml:space="preserve">, qui sert de </w:t>
      </w:r>
      <w:proofErr w:type="spellStart"/>
      <w:r w:rsidR="00C362C7" w:rsidRPr="00C362C7">
        <w:rPr>
          <w:i/>
        </w:rPr>
        <w:t>Working</w:t>
      </w:r>
      <w:proofErr w:type="spellEnd"/>
      <w:r w:rsidR="00C362C7" w:rsidRPr="00C362C7">
        <w:rPr>
          <w:i/>
        </w:rPr>
        <w:t xml:space="preserve"> </w:t>
      </w:r>
      <w:proofErr w:type="spellStart"/>
      <w:r w:rsidR="00C362C7" w:rsidRPr="00C362C7">
        <w:rPr>
          <w:i/>
        </w:rPr>
        <w:t>paper</w:t>
      </w:r>
      <w:proofErr w:type="spellEnd"/>
      <w:r w:rsidR="00C362C7">
        <w:t xml:space="preserve"> aux participants de ce projet de recherche</w:t>
      </w:r>
      <w:r>
        <w:t>, soit : « </w:t>
      </w:r>
      <w:r w:rsidRPr="00C57763">
        <w:t>toute</w:t>
      </w:r>
      <w:r>
        <w:t xml:space="preserve"> entreprise de </w:t>
      </w:r>
      <w:r w:rsidRPr="00895779">
        <w:rPr>
          <w:i/>
        </w:rPr>
        <w:t>mise en mots</w:t>
      </w:r>
      <w:r>
        <w:rPr>
          <w:i/>
        </w:rPr>
        <w:t xml:space="preserve"> </w:t>
      </w:r>
      <w:r>
        <w:t>et d’</w:t>
      </w:r>
      <w:r>
        <w:rPr>
          <w:i/>
        </w:rPr>
        <w:t>assemblage</w:t>
      </w:r>
      <w:r>
        <w:t xml:space="preserve"> des </w:t>
      </w:r>
      <w:r w:rsidRPr="00A543CD">
        <w:rPr>
          <w:i/>
        </w:rPr>
        <w:t>représentations</w:t>
      </w:r>
      <w:r>
        <w:t xml:space="preserve"> à des fins de </w:t>
      </w:r>
      <w:r>
        <w:rPr>
          <w:i/>
        </w:rPr>
        <w:t>généralisation</w:t>
      </w:r>
      <w:r>
        <w:t> »</w:t>
      </w:r>
      <w:r w:rsidR="003F492F">
        <w:rPr>
          <w:rStyle w:val="Marquenotebasdepage"/>
        </w:rPr>
        <w:footnoteReference w:id="1"/>
      </w:r>
      <w:r>
        <w:t xml:space="preserve">. Cette définition de travail, si elle cible bien quelques conditions nécessaires de la narration, </w:t>
      </w:r>
      <w:r w:rsidR="00C362C7">
        <w:t>peut toutefois sembler</w:t>
      </w:r>
      <w:r>
        <w:t xml:space="preserve"> minorer une dimension essentielle : la </w:t>
      </w:r>
      <w:proofErr w:type="spellStart"/>
      <w:r w:rsidRPr="00D66684">
        <w:rPr>
          <w:i/>
        </w:rPr>
        <w:t>séquentialité</w:t>
      </w:r>
      <w:proofErr w:type="spellEnd"/>
      <w:r>
        <w:rPr>
          <w:i/>
        </w:rPr>
        <w:t>.</w:t>
      </w:r>
      <w:r>
        <w:t xml:space="preserve"> En effet, le</w:t>
      </w:r>
      <w:r w:rsidRPr="00114297">
        <w:rPr>
          <w:i/>
        </w:rPr>
        <w:t xml:space="preserve"> </w:t>
      </w:r>
      <w:r w:rsidRPr="00CE5116">
        <w:rPr>
          <w:i/>
        </w:rPr>
        <w:t>récit</w:t>
      </w:r>
      <w:r>
        <w:t xml:space="preserve"> est le plus souvent posé comme une </w:t>
      </w:r>
      <w:r w:rsidRPr="00D66684">
        <w:rPr>
          <w:i/>
        </w:rPr>
        <w:t>séquence discursive</w:t>
      </w:r>
      <w:r w:rsidR="00C362C7">
        <w:t>,</w:t>
      </w:r>
      <w:r>
        <w:t xml:space="preserve"> ce que Paul </w:t>
      </w:r>
      <w:proofErr w:type="spellStart"/>
      <w:r>
        <w:t>Ricoeur</w:t>
      </w:r>
      <w:proofErr w:type="spellEnd"/>
      <w:r>
        <w:t xml:space="preserve"> appelle une « mise en intrigue »</w:t>
      </w:r>
      <w:r w:rsidR="00C362C7">
        <w:rPr>
          <w:rStyle w:val="Marquenotebasdepage"/>
        </w:rPr>
        <w:footnoteReference w:id="2"/>
      </w:r>
      <w:r>
        <w:t xml:space="preserve">, qui agence dans le temps et relie par des connexions logiques une série d’actions ou d’évènements, passés, présents ou futurs. Si l’on veut intégrer dans notre cadre méthodologique cette </w:t>
      </w:r>
      <w:proofErr w:type="spellStart"/>
      <w:r>
        <w:t>séquentialité</w:t>
      </w:r>
      <w:proofErr w:type="spellEnd"/>
      <w:r>
        <w:t xml:space="preserve">, de manière toutefois assez souple pour éviter d’en exclure les discours qui ne seraient pas explicitement séquentiels, on peut distinguer au sein du genre des « pratiques narratives » d’un acteur (en l’occurrence, la Cour) trois niveaux de narrativité, en fonction du degré de généralité, de complétude et du caractère explicite de la narration. D’abord, au niveau central, le </w:t>
      </w:r>
      <w:r w:rsidRPr="00805F50">
        <w:rPr>
          <w:i/>
        </w:rPr>
        <w:t>récit au sens strict</w:t>
      </w:r>
      <w:r>
        <w:t xml:space="preserve"> est redéfini comme une </w:t>
      </w:r>
      <w:r w:rsidRPr="00C96C34">
        <w:rPr>
          <w:i/>
        </w:rPr>
        <w:t>séquence narrative</w:t>
      </w:r>
      <w:r>
        <w:t xml:space="preserve"> explicite agençant des évènements ou des actions dans le temps du discours. Ensuite, ce premier niveau séquentiel peut s’insérer dans un second niveau narratif, plus général, qui lui donne une signification plus riche, mais dont la dimension séquentielle est aussi plus implicite et qui sert de </w:t>
      </w:r>
      <w:r w:rsidRPr="00805F50">
        <w:rPr>
          <w:i/>
        </w:rPr>
        <w:t>matrice narrative</w:t>
      </w:r>
      <w:r>
        <w:t xml:space="preserve"> pour des récits multiples, c’est-à-dire de cadre complexe livrant des ressources narratives où puisent les locuteurs pour donner une orientation plus globale à leurs récits. Il me semble que c’est ce niveau plus général qui est primordialement visé ici par le concept technique de « </w:t>
      </w:r>
      <w:r w:rsidRPr="0080297D">
        <w:rPr>
          <w:i/>
        </w:rPr>
        <w:t>narratif</w:t>
      </w:r>
      <w:r>
        <w:t> »</w:t>
      </w:r>
      <w:r w:rsidRPr="0080297D">
        <w:rPr>
          <w:i/>
        </w:rPr>
        <w:t> </w:t>
      </w:r>
      <w:r>
        <w:t xml:space="preserve">; ainsi, l’Europe comme marché ou l’Europe comme communauté de valeurs peuvent servir effectivement de matrice narrative pour des </w:t>
      </w:r>
      <w:r>
        <w:lastRenderedPageBreak/>
        <w:t xml:space="preserve">séquences narratives explicites produites par différents acteurs. Ces matrices, on peut donc les appeler des « narratifs », pour reprendre la terminologie de départ, mais en les distinguant alors des récits requalifiés ici comme « séquence narrative ». Les matrices narratives ne sont pas comme telles explicites dans les discours, mais elles rendent possibles la compréhension des séquences narratives qui sont, elles, explicitement énoncées. Enfin, à un troisième niveau, on peut identifier les </w:t>
      </w:r>
      <w:r w:rsidRPr="0080297D">
        <w:rPr>
          <w:i/>
        </w:rPr>
        <w:t>fragments narratifs</w:t>
      </w:r>
      <w:r>
        <w:t xml:space="preserve">. En effet, les séquences narratives explicites sont plus ou moins complètes et peuvent parfois être très segmentées voire elliptiques, au point d’apparaître comme des </w:t>
      </w:r>
      <w:r w:rsidRPr="009D3772">
        <w:t>fragments de récits</w:t>
      </w:r>
      <w:r>
        <w:t>, renvoyant de manière allusive à une matrice narrative, au sein de laquelle le fragment prend tout son sens.</w:t>
      </w:r>
      <w:r w:rsidR="00D91FE0">
        <w:t xml:space="preserve"> Par exemple, dans l’arrêt </w:t>
      </w:r>
      <w:proofErr w:type="spellStart"/>
      <w:r w:rsidR="00D91FE0">
        <w:t>Grzelszyk</w:t>
      </w:r>
      <w:proofErr w:type="spellEnd"/>
      <w:r w:rsidR="00D91FE0">
        <w:t xml:space="preserve"> du 20 septembre 2001</w:t>
      </w:r>
      <w:r w:rsidR="00D91FE0">
        <w:rPr>
          <w:rStyle w:val="Marquenotebasdepage"/>
        </w:rPr>
        <w:footnoteReference w:id="3"/>
      </w:r>
      <w:r w:rsidR="00D91FE0">
        <w:t>, la Cour mobilise une séquence qui s’inscrit assez explicitement dans la matrice narrative de l’Europe comme association de citoyen : « le statut de citoyen de l’Union a vocation à être le statut fondamental des ressortissants des Etats membres ». Or, outre ce renvoi explicite au narratif de l’Europe</w:t>
      </w:r>
      <w:r w:rsidR="00D91FE0" w:rsidRPr="00630E4E">
        <w:t xml:space="preserve"> </w:t>
      </w:r>
      <w:r w:rsidR="00D91FE0">
        <w:t>citoyenne, la formule « a vocation à être » (en Anglais : « </w:t>
      </w:r>
      <w:proofErr w:type="spellStart"/>
      <w:r w:rsidR="00D91FE0">
        <w:t>is</w:t>
      </w:r>
      <w:proofErr w:type="spellEnd"/>
      <w:r w:rsidR="00D91FE0">
        <w:t xml:space="preserve"> </w:t>
      </w:r>
      <w:proofErr w:type="spellStart"/>
      <w:r w:rsidR="00D91FE0">
        <w:t>destined</w:t>
      </w:r>
      <w:proofErr w:type="spellEnd"/>
      <w:r w:rsidR="00D91FE0">
        <w:t xml:space="preserve"> to </w:t>
      </w:r>
      <w:proofErr w:type="spellStart"/>
      <w:r w:rsidR="00D91FE0">
        <w:t>be</w:t>
      </w:r>
      <w:proofErr w:type="spellEnd"/>
      <w:r w:rsidR="00D91FE0">
        <w:t> ») pourrait aussi être interprétée – sous certaines conditions et j’en fais ici l’hypothèse, simplement à titre d’illustration – comme un fragment narratif, marqué par une orientation temporelle explicite, qui renverrait à une matrice plus générale : celle de l’union toujours plus étroite et de l’intégration comme marche de l’histoire ou destin commun.</w:t>
      </w:r>
    </w:p>
    <w:p w14:paraId="3F8A3893" w14:textId="77777777" w:rsidR="008764D3" w:rsidRDefault="008764D3" w:rsidP="003506B2">
      <w:pPr>
        <w:ind w:firstLine="426"/>
        <w:contextualSpacing/>
        <w:jc w:val="both"/>
      </w:pPr>
      <w:r>
        <w:t>L’intérêt de cette subdivision des pratiques narratives en trois niveaux – matrices, séquences et fragments – serait ainsi de rendre à la fois compte du caractère séquentiel propre au récit et à la narration comme registre spécifique de discours, tout en articulant autour des séquences narratives explicites, d’un côté, des matrices narratives plus générales et implicites – les narratifs, qui englobent ces récits</w:t>
      </w:r>
      <w:r w:rsidRPr="002030D1">
        <w:t xml:space="preserve"> </w:t>
      </w:r>
      <w:r>
        <w:t xml:space="preserve">et en éclairent le sens – et de l’autre côté, des fragments narratifs, plus incomplets et particuliers, qui sont autant de signes et d’indices d’une narration certes implicite, mais qui n’en serait pas moins effectivement opérante dans le discours. Sur le plan philosophique, cela permet en outre d’élargir la notion de « narratif » au-delà du registre de discours de la narration au sens strict et de situer les matrices narratives au niveau du registre de la </w:t>
      </w:r>
      <w:r w:rsidRPr="00471CF9">
        <w:rPr>
          <w:i/>
        </w:rPr>
        <w:t>reconstruction</w:t>
      </w:r>
      <w:r>
        <w:t xml:space="preserve">, qui, selon Jean-Marc Ferry, intègre réflexivement la séquence narration-interprétation-argumentation, en rendant compte à la fois de la progression </w:t>
      </w:r>
      <w:proofErr w:type="spellStart"/>
      <w:r>
        <w:t>généralisante</w:t>
      </w:r>
      <w:proofErr w:type="spellEnd"/>
      <w:r>
        <w:t xml:space="preserve"> de cette séquence dans l’ordre des raisons publiques, tout en décentrant la raison argumentative par la reconnaissance en elle de la raison de ses raisons, soit de la singularité irréductible des ressources narratives et herméneutiques qui la </w:t>
      </w:r>
      <w:r w:rsidRPr="0057026C">
        <w:rPr>
          <w:i/>
        </w:rPr>
        <w:t>motivent</w:t>
      </w:r>
      <w:r>
        <w:t xml:space="preserve"> à justifier</w:t>
      </w:r>
      <w:r>
        <w:rPr>
          <w:rStyle w:val="Marquenotebasdepage"/>
        </w:rPr>
        <w:footnoteReference w:id="4"/>
      </w:r>
      <w:r>
        <w:t>.</w:t>
      </w:r>
    </w:p>
    <w:p w14:paraId="34A93845" w14:textId="77777777" w:rsidR="008764D3" w:rsidRDefault="008764D3" w:rsidP="003506B2">
      <w:pPr>
        <w:ind w:firstLine="426"/>
        <w:contextualSpacing/>
        <w:jc w:val="both"/>
      </w:pPr>
    </w:p>
    <w:p w14:paraId="5AE072E0" w14:textId="77777777" w:rsidR="008764D3" w:rsidRDefault="003506B2" w:rsidP="003506B2">
      <w:pPr>
        <w:ind w:firstLine="426"/>
        <w:contextualSpacing/>
        <w:jc w:val="both"/>
      </w:pPr>
      <w:r>
        <w:t>1.</w:t>
      </w:r>
      <w:r w:rsidR="008764D3">
        <w:t>2</w:t>
      </w:r>
      <w:r>
        <w:t>.</w:t>
      </w:r>
      <w:r w:rsidR="008764D3">
        <w:t xml:space="preserve"> Outre la définition sémantique de la notion de récit, c’est le statut ontologique des « récits judiciaires » qui mérite d’être interrogé, c’est-à-dire : qu’est-ce qui </w:t>
      </w:r>
      <w:r w:rsidR="008764D3" w:rsidRPr="00FE6320">
        <w:rPr>
          <w:i/>
        </w:rPr>
        <w:t>fait être</w:t>
      </w:r>
      <w:r w:rsidR="008764D3">
        <w:t xml:space="preserve"> ces récits comme tels, </w:t>
      </w:r>
      <w:r w:rsidR="008764D3" w:rsidRPr="007649F4">
        <w:rPr>
          <w:i/>
        </w:rPr>
        <w:t xml:space="preserve">qui </w:t>
      </w:r>
      <w:r w:rsidR="008764D3">
        <w:t xml:space="preserve">les raconte et </w:t>
      </w:r>
      <w:r w:rsidR="008764D3" w:rsidRPr="007649F4">
        <w:rPr>
          <w:i/>
        </w:rPr>
        <w:t>pour qui existent-ils</w:t>
      </w:r>
      <w:r w:rsidR="008764D3">
        <w:t xml:space="preserve"> en tant que récits ? À ce propos, Antoine </w:t>
      </w:r>
      <w:proofErr w:type="spellStart"/>
      <w:r w:rsidR="008764D3">
        <w:t>Bailleux</w:t>
      </w:r>
      <w:proofErr w:type="spellEnd"/>
      <w:r w:rsidR="008764D3">
        <w:t xml:space="preserve"> attire notre attention sur une autre distinction importante : il s’agit de ne pas confondre récits dits « ordinaires », d’une part, soit la production narrative des acteurs dont on analyse les discours, et récits dits « savants », d’autre part, soit la reconstruction théorique et empirique par leurs observateurs – sociologues, politologues, théoriciens du droit et autres commentateurs – des pratiques et représentations de ces acteurs. Il conviendrait donc d’opérer la « rupture épistémologique » entre les deux et de bien souligner le caractère d’artéfacts scientifiques des récits ou narratifs dont il est question dans le projet, afin notamment de veiller à ne pas « faire dire aux acteurs davantage que ce qu’ils affirment »</w:t>
      </w:r>
      <w:r w:rsidR="008764D3">
        <w:rPr>
          <w:rStyle w:val="Marquenotebasdepage"/>
        </w:rPr>
        <w:footnoteReference w:id="5"/>
      </w:r>
      <w:r w:rsidR="008764D3">
        <w:t>.</w:t>
      </w:r>
    </w:p>
    <w:p w14:paraId="6FA3E3F9" w14:textId="77777777" w:rsidR="008764D3" w:rsidRDefault="008764D3" w:rsidP="003506B2">
      <w:pPr>
        <w:ind w:firstLine="426"/>
        <w:contextualSpacing/>
        <w:jc w:val="both"/>
      </w:pPr>
      <w:r>
        <w:t>Or, de même qu’il y a un caractère double, une duplicité constitutive du concept général d’histoire (qui est indissociablement histoire-événement</w:t>
      </w:r>
      <w:r w:rsidRPr="00B018B2">
        <w:rPr>
          <w:i/>
        </w:rPr>
        <w:t xml:space="preserve"> et</w:t>
      </w:r>
      <w:r>
        <w:t xml:space="preserve"> histoire-récit, les deux pôles se réfléchissant l’un dans l’autre), de même il y a un dédoublement opérant dans le concept </w:t>
      </w:r>
      <w:r>
        <w:lastRenderedPageBreak/>
        <w:t xml:space="preserve">sociologique de récit comme narratif, posé à la fois comme récit-objet des acteurs et comme récit-interprétation de l’observateur. Le narratif devrait donc être pensé à la fois comme construction sociale </w:t>
      </w:r>
      <w:r w:rsidRPr="008935A1">
        <w:rPr>
          <w:i/>
        </w:rPr>
        <w:t>et</w:t>
      </w:r>
      <w:r>
        <w:t xml:space="preserve"> comme reconstruction sociologique. Ainsi, dans la plupart de ses usages en sciences humaines et sociales, le concept de narratif, quoiqu’il soit posé comme cadre interprétatif reconstruit par l’analyste, est bien attribué aux acteurs eux-mêmes comme leur propre production narrative – quand bien même ils ne la réfléchiraient pas thématiquement comme telle</w:t>
      </w:r>
      <w:r>
        <w:rPr>
          <w:rStyle w:val="Marquenotebasdepage"/>
        </w:rPr>
        <w:footnoteReference w:id="6"/>
      </w:r>
      <w:r>
        <w:t xml:space="preserve">. À cet égard, une coupure trop nette entre pratiques narratives des acteurs et narratifs des observateurs risquerait d’amputer l’objet de recherche d’une part importante de ce qui fait son intérêt. Car, autant il est certes indispensable de distinguer soigneusement les récits pris comme objets sociaux des récits posés comme outils herméneutiques, afin d’éviter de projeter trop rapidement sur les acteurs les théories des analystes, autant réduire strictement la notion de récit judiciaire à des cadres d’analyse qui n’auraient a priori d’effectivité ou d’existence que du point de vue de l’observateur ou du théoricien ne rend pas justice à l’originalité et à l’ambition réelles du projet. </w:t>
      </w:r>
    </w:p>
    <w:p w14:paraId="7D6DB72C" w14:textId="77777777" w:rsidR="008764D3" w:rsidRDefault="008764D3" w:rsidP="003506B2">
      <w:pPr>
        <w:ind w:firstLine="426"/>
        <w:contextualSpacing/>
        <w:jc w:val="both"/>
      </w:pPr>
      <w:r>
        <w:t xml:space="preserve">Si l’on devait exclure par principe les « pratiques narratives des acteurs » hors du cadre conceptuel des récits ou narratifs judiciaires de l’Europe, cela aurait pour conséquence de ramener ces narratifs – celui de l’Europe citoyenne, celui de l’Europe sociale, etc. – au statut classique de cadres d’analyse en troisième personne, potentiellement déconnectés des pratiques narratives de la Cour, de sa manière de mettre en récit l’Europe, alors que c’est précisément, me semble-t-il, l’un des intérêts du projet d’ouvrir ce champ d’analyse. En outre, rien n’empêche de maintenir fermement la distinction analytique entre récits-objets et récits-interprétation, tout en reconnaissant dans les pratiques narratives des acteurs eux-mêmes (dans les récits-objets) les fondements empiriques du récit-interprétation reconstruit par l’analyste. C’est même le sens d’une reconstruction herméneutique des récits de proposer un récit sur un récit, le récit sociologique visant à expliciter et à objectiver le récit social. </w:t>
      </w:r>
    </w:p>
    <w:p w14:paraId="75190C97" w14:textId="77777777" w:rsidR="008764D3" w:rsidRDefault="008764D3" w:rsidP="003506B2">
      <w:pPr>
        <w:contextualSpacing/>
      </w:pPr>
    </w:p>
    <w:p w14:paraId="5D04F590" w14:textId="42663054" w:rsidR="008764D3" w:rsidRDefault="003506B2" w:rsidP="003506B2">
      <w:pPr>
        <w:ind w:firstLine="426"/>
        <w:contextualSpacing/>
        <w:jc w:val="both"/>
      </w:pPr>
      <w:r>
        <w:t>1.3.</w:t>
      </w:r>
      <w:r w:rsidR="008764D3">
        <w:t xml:space="preserve"> Sur la base de ces déterminations sémantiques et ontologiques des récits posés comme « narratifs », on peut alors se pencher sur l’attitude </w:t>
      </w:r>
      <w:r w:rsidR="00EB2EBE">
        <w:t>méthodologique</w:t>
      </w:r>
      <w:r w:rsidR="008764D3">
        <w:t xml:space="preserve"> du chercheur par rapport à ces narratifs judiciaires, selon qu’on s’inscrive dans la perspective plutôt interne de l’analyse doctrinale ou dans la perspective plutôt externe de l’analyse socio-politique – si l’on peut distinguer ces perspectives de manière idéale-typique, sans vouloir essentialiser les positions, et sans méconnaître que les mêmes observateurs peuvent régulièrement alterner et même combiner ces perspectives distinctes dans leur travail de recherche. La première perspective – celle de la doctrine – va primordialement insister « </w:t>
      </w:r>
      <w:r w:rsidR="008764D3" w:rsidRPr="00CC535F">
        <w:t>sur la spécificité de la pratique juridictionnelle par rapport à toute autre pratique. Cette particularité tient au fait que, lorsque la Cour exerce sa mission juridictionnelle, elle n’est pas censée mettre en œuvre ses propres représentations, mais simplement se faire le porte-voix, l’i</w:t>
      </w:r>
      <w:r w:rsidR="008764D3">
        <w:t>nterprète neutre et indépendant,</w:t>
      </w:r>
      <w:r w:rsidR="008764D3" w:rsidRPr="00CC535F">
        <w:t xml:space="preserve"> des représentations de la collectivité elle-même</w:t>
      </w:r>
      <w:r w:rsidR="008764D3">
        <w:t> »</w:t>
      </w:r>
      <w:r w:rsidR="008764D3">
        <w:rPr>
          <w:rStyle w:val="Marquenotebasdepage"/>
        </w:rPr>
        <w:footnoteReference w:id="7"/>
      </w:r>
      <w:r w:rsidR="008764D3">
        <w:t xml:space="preserve">. Une telle présomption de neutralité, loin d’exprimer </w:t>
      </w:r>
      <w:proofErr w:type="spellStart"/>
      <w:r w:rsidR="008764D3" w:rsidRPr="00EF4582">
        <w:rPr>
          <w:i/>
        </w:rPr>
        <w:t>eo</w:t>
      </w:r>
      <w:proofErr w:type="spellEnd"/>
      <w:r w:rsidR="008764D3">
        <w:rPr>
          <w:i/>
        </w:rPr>
        <w:t xml:space="preserve"> ipso</w:t>
      </w:r>
      <w:r w:rsidR="008764D3">
        <w:t xml:space="preserve"> les convictions intimes du chercheur en droit sur son objet, repose sur un ensemble de suppositions méthodologiques bien fondées disciplinairement, dans le cadre d’une analyse doctrinale de la jurisprudence. Le sociologue et le politologue ne sont quant à eux pas tenus par la même présomption, mais ils doivent au contraire la mettre en contexte et l’objectiver, pour éclairer tout ce qui se joue derrière la fiction heuristique selon laquelle la Cour s’en tient à dire le droit, et pour montrer – dans un récit savant concurrent et complémentaire de celui du juriste – par quelles stratégies, la Cour, comme acteur politique </w:t>
      </w:r>
      <w:r w:rsidR="008764D3">
        <w:lastRenderedPageBreak/>
        <w:t>parmi d’autres, essaye de faire avancer ses agendas, de faire valoir ses visions, bref, de promouvoir une « certaine idée de l’Europe »</w:t>
      </w:r>
      <w:r w:rsidR="008764D3">
        <w:rPr>
          <w:rStyle w:val="Marquenotebasdepage"/>
        </w:rPr>
        <w:footnoteReference w:id="8"/>
      </w:r>
      <w:r w:rsidR="008764D3">
        <w:t>.</w:t>
      </w:r>
    </w:p>
    <w:p w14:paraId="224D8721" w14:textId="77777777" w:rsidR="008764D3" w:rsidRDefault="008764D3" w:rsidP="003506B2">
      <w:pPr>
        <w:ind w:firstLine="426"/>
        <w:contextualSpacing/>
        <w:jc w:val="both"/>
      </w:pPr>
      <w:r>
        <w:t xml:space="preserve">Cette question de l’attitude épistémologique nous conduit directement à la définition du deuxième terme du syntagme « récit judiciaire de l’Europe », soit : qu’est-ce qui fait la spécificité de ces narratifs de l’Europe en tant que </w:t>
      </w:r>
      <w:r w:rsidRPr="00A73AB6">
        <w:rPr>
          <w:i/>
        </w:rPr>
        <w:t>judiciaires</w:t>
      </w:r>
      <w:r>
        <w:t xml:space="preserve">, et quels en sont les contours ? Doit-on se limiter à analyser les arrêts de la Cour proprement dits ? On conviendra sans doute facilement d’y intégrer également les conclusions des avocats généraux, qui n’ont pourtant pas le même statut juridictionnel, du point de vue de l’analyse doctrinale, et dont les positions peuvent éventuellement fortement diverger de celles de la Cour. Mais peut-on encore ouvrir le champ à tous les documents officiels de la Cour (y compris les discours de communication au public, les textes et documents mis à disposition sur le site </w:t>
      </w:r>
      <w:proofErr w:type="spellStart"/>
      <w:r>
        <w:t>Curia</w:t>
      </w:r>
      <w:proofErr w:type="spellEnd"/>
      <w:r>
        <w:t xml:space="preserve">, et autres brochures de présentation) ? Comment traiter les publications écrites, déclarations publiques, cours universitaires, interviews, etc. des membres de la Cour en dehors de l’exercice de leur fonction juridictionnelle ? </w:t>
      </w:r>
    </w:p>
    <w:p w14:paraId="1345D375" w14:textId="77777777" w:rsidR="008764D3" w:rsidRDefault="008764D3" w:rsidP="003506B2">
      <w:pPr>
        <w:ind w:firstLine="426"/>
        <w:contextualSpacing/>
        <w:jc w:val="both"/>
      </w:pPr>
      <w:r>
        <w:t xml:space="preserve">Toutes ces questions concrètes sur les contours du corpus empirique sous-tendent au fond la définition de ce qu’on veut entendre par « récits ou narratifs </w:t>
      </w:r>
      <w:r w:rsidRPr="00B018B2">
        <w:rPr>
          <w:i/>
        </w:rPr>
        <w:t>judiciaires</w:t>
      </w:r>
      <w:r>
        <w:t xml:space="preserve"> ». Et c’est précisément sur le statut et l’importance à accorder à ces sources et documents très différents que les points de vue de la doctrine et de l’analyse sociologique commenceront à diverger : le sociologue ou l’historien verra, par exemple, dans les discours publics d’un juge à la retraite une mine d’informations pertinentes, alors que le juriste, dans l’exercice d’une analyse doctrinale de la jurisprudence de la Cour, ne pourra pas y accorder la même attention ou en tout cas, ne pourra pas en faire le même usage. </w:t>
      </w:r>
    </w:p>
    <w:p w14:paraId="78CDFA81" w14:textId="77777777" w:rsidR="008764D3" w:rsidRDefault="008764D3" w:rsidP="003506B2">
      <w:pPr>
        <w:ind w:firstLine="426"/>
        <w:contextualSpacing/>
        <w:jc w:val="both"/>
      </w:pPr>
      <w:r>
        <w:t>Pour faire en sorte que ces deux perspectives disciplinaires (esquissées ici, répétons-le, de manière simplement idéale-typique) ne s’ignorent pas, mais se croisent et se confrontent, sans se confondre dans un même récit savant, il faut trouver des outils communs qui permettent, d’une part, au sociologue d’intégrer dans ses descriptions la différence de statut juridique entre ces types de discours, et qui autorise, d’autre part, le juriste, à intégrer dans son horizon des discours para-, voire franchement extra-juridiques, dans un continuum – juridiquement aberrant mais sociologiquement évident – reliant l’ensemble de ces pratiques narratives qui contiennent les descriptions, par la Cour, de l’image qu’elle se donne de l’intégration européenne, son propre rôle institutionnel et son environnement social et politique – l’image</w:t>
      </w:r>
      <w:r w:rsidRPr="00EB0D92">
        <w:t xml:space="preserve"> </w:t>
      </w:r>
      <w:r>
        <w:t>de ce qu’ils sont, de ce qu’ils doivent être et de ce qu’ils sont appelés à devenir.</w:t>
      </w:r>
    </w:p>
    <w:p w14:paraId="11102040" w14:textId="77777777" w:rsidR="008764D3" w:rsidRPr="008764D3" w:rsidRDefault="008764D3" w:rsidP="003506B2">
      <w:pPr>
        <w:ind w:firstLine="426"/>
        <w:contextualSpacing/>
        <w:jc w:val="both"/>
      </w:pPr>
      <w:r>
        <w:t>L’approche par les « narratifs judiciaires », en s’ouvrant à des discours aux statuts si différents que ceux qu’on vient d’évoquer, fournit précisément ce type d’outils communs pour des perspectives respectivement plutôt internes et</w:t>
      </w:r>
      <w:r w:rsidRPr="00541056">
        <w:t xml:space="preserve"> </w:t>
      </w:r>
      <w:r>
        <w:t>plutôt externes, en ce qu’elle permet « de nourrir le travail doctrinal qui fait l’ordinaire des juristes, en enrichissant leur arsenal conceptuel », tout en mettant « en évidence le rôle « politique » du droit et des juges »</w:t>
      </w:r>
      <w:r w:rsidRPr="00CC0828">
        <w:rPr>
          <w:rStyle w:val="Marquenotebasdepage"/>
        </w:rPr>
        <w:t xml:space="preserve"> </w:t>
      </w:r>
      <w:r>
        <w:rPr>
          <w:rStyle w:val="Marquenotebasdepage"/>
        </w:rPr>
        <w:footnoteReference w:id="9"/>
      </w:r>
      <w:r>
        <w:t xml:space="preserve">, mais sans pour autant perdre de vue les contraintes discursives et normatives propres au registre juridictionnel. </w:t>
      </w:r>
    </w:p>
    <w:p w14:paraId="32B1F49E" w14:textId="77777777" w:rsidR="008764D3" w:rsidRPr="008764D3" w:rsidRDefault="008764D3" w:rsidP="003506B2">
      <w:pPr>
        <w:ind w:firstLine="426"/>
        <w:contextualSpacing/>
        <w:jc w:val="both"/>
      </w:pPr>
    </w:p>
    <w:p w14:paraId="7002222B" w14:textId="21221686" w:rsidR="008764D3" w:rsidRPr="003506B2" w:rsidRDefault="008764D3" w:rsidP="003506B2">
      <w:pPr>
        <w:ind w:firstLine="426"/>
        <w:contextualSpacing/>
        <w:jc w:val="both"/>
      </w:pPr>
      <w:r w:rsidRPr="003506B2">
        <w:t xml:space="preserve">2. Un possible narratif : l’Europe comme </w:t>
      </w:r>
      <w:r w:rsidR="00BA0BDE">
        <w:t>« </w:t>
      </w:r>
      <w:r w:rsidR="003506B2">
        <w:t>ordre constitutionnel</w:t>
      </w:r>
      <w:r w:rsidR="00D746DA">
        <w:t xml:space="preserve"> pluraliste</w:t>
      </w:r>
      <w:r w:rsidR="00BA0BDE">
        <w:t> »</w:t>
      </w:r>
      <w:r w:rsidR="003506B2">
        <w:t xml:space="preserve"> </w:t>
      </w:r>
    </w:p>
    <w:p w14:paraId="1CE5C47C" w14:textId="499EBB26" w:rsidR="008764D3" w:rsidRDefault="00FE15A9" w:rsidP="003506B2">
      <w:pPr>
        <w:ind w:firstLine="426"/>
        <w:contextualSpacing/>
        <w:jc w:val="both"/>
        <w:rPr>
          <w:color w:val="000000" w:themeColor="text1"/>
        </w:rPr>
      </w:pPr>
      <w:r>
        <w:t>Pour donner maintenant</w:t>
      </w:r>
      <w:r w:rsidRPr="001B3A86">
        <w:t xml:space="preserve"> </w:t>
      </w:r>
      <w:r w:rsidR="008764D3" w:rsidRPr="001B3A86">
        <w:t>plus de chair et de substance</w:t>
      </w:r>
      <w:r w:rsidR="008764D3">
        <w:t xml:space="preserve"> empirique</w:t>
      </w:r>
      <w:r w:rsidR="008764D3" w:rsidRPr="001B3A86">
        <w:t xml:space="preserve"> à ces considérations épistémologiques sur le concept de « récit judiciaire de l’Europe », je voudrais me pencher </w:t>
      </w:r>
      <w:r>
        <w:t>sur un candidat</w:t>
      </w:r>
      <w:r w:rsidR="008764D3" w:rsidRPr="001B3A86">
        <w:t xml:space="preserve"> au statut de narratif de la Cour, un candidat qui sous-tend des questions qui méritent d’être soulevées en termes de genèse et de modes de productions de</w:t>
      </w:r>
      <w:r w:rsidR="008764D3">
        <w:t>s narratifs. Ce narratif</w:t>
      </w:r>
      <w:r w:rsidR="00BA0BDE">
        <w:t xml:space="preserve"> hypothétique</w:t>
      </w:r>
      <w:r w:rsidR="008764D3">
        <w:t xml:space="preserve"> </w:t>
      </w:r>
      <w:r w:rsidR="008764D3" w:rsidRPr="001B3A86">
        <w:t>concerne la nature constitutionnelle de l’Union eur</w:t>
      </w:r>
      <w:r>
        <w:t xml:space="preserve">opéenne et pourrait </w:t>
      </w:r>
      <w:r w:rsidR="008764D3" w:rsidRPr="001B3A86">
        <w:t xml:space="preserve">être intitulé « l’Europe comme communauté de droit en voie de constitutionnalisation », ou, </w:t>
      </w:r>
      <w:r w:rsidR="008764D3" w:rsidRPr="001B3A86">
        <w:lastRenderedPageBreak/>
        <w:t xml:space="preserve">dans une version plus décidée : « l’Europe comme ordre constitutionnel </w:t>
      </w:r>
      <w:r w:rsidR="008764D3">
        <w:t>(</w:t>
      </w:r>
      <w:r w:rsidR="008764D3" w:rsidRPr="001B3A86">
        <w:t>pluraliste</w:t>
      </w:r>
      <w:r w:rsidR="008764D3">
        <w:t>)</w:t>
      </w:r>
      <w:r w:rsidR="008764D3" w:rsidRPr="001B3A86">
        <w:t xml:space="preserve"> ». </w:t>
      </w:r>
      <w:r w:rsidR="008764D3">
        <w:t xml:space="preserve">L’enjeu est </w:t>
      </w:r>
      <w:r>
        <w:t xml:space="preserve">ici </w:t>
      </w:r>
      <w:r w:rsidR="008764D3">
        <w:t xml:space="preserve">de prendre ce cas d’espèce d’abord pour mettre à </w:t>
      </w:r>
      <w:r w:rsidR="003506B2">
        <w:t>l’épreuve la définition</w:t>
      </w:r>
      <w:r>
        <w:t xml:space="preserve"> générale</w:t>
      </w:r>
      <w:r w:rsidR="003506B2">
        <w:t xml:space="preserve"> du narratif</w:t>
      </w:r>
      <w:r w:rsidR="008764D3">
        <w:t xml:space="preserve"> et les enjeux de croisement des perspectives disciplinaires qu’elle engage, ensuite parce que ce narratif</w:t>
      </w:r>
      <w:r>
        <w:t xml:space="preserve"> spécifique</w:t>
      </w:r>
      <w:r w:rsidR="008764D3">
        <w:t xml:space="preserve"> implique également une définition de la position institutionnelle et du rôle de la Cour elle-même et enfin parce qu’il permet d’</w:t>
      </w:r>
      <w:r w:rsidR="008764D3" w:rsidRPr="001B3A86">
        <w:t xml:space="preserve">illustrer un aspect </w:t>
      </w:r>
      <w:r w:rsidR="008764D3">
        <w:t xml:space="preserve">sociologique </w:t>
      </w:r>
      <w:r w:rsidR="008764D3" w:rsidRPr="001B3A86">
        <w:t xml:space="preserve">qui me semble central dans l’approche par les récits, soit l’étude des </w:t>
      </w:r>
      <w:r w:rsidR="008764D3" w:rsidRPr="001B3A86">
        <w:rPr>
          <w:i/>
        </w:rPr>
        <w:t xml:space="preserve">communautés </w:t>
      </w:r>
      <w:r w:rsidR="008764D3" w:rsidRPr="001B3A86">
        <w:rPr>
          <w:i/>
          <w:color w:val="000000" w:themeColor="text1"/>
        </w:rPr>
        <w:t>épistémiques</w:t>
      </w:r>
      <w:r w:rsidR="008764D3" w:rsidRPr="001B3A86">
        <w:rPr>
          <w:color w:val="000000" w:themeColor="text1"/>
        </w:rPr>
        <w:t xml:space="preserve"> que les narratifs supposent</w:t>
      </w:r>
      <w:r w:rsidR="008764D3">
        <w:rPr>
          <w:color w:val="000000" w:themeColor="text1"/>
        </w:rPr>
        <w:t xml:space="preserve"> à l’arrière-plan de</w:t>
      </w:r>
      <w:r w:rsidR="008764D3" w:rsidRPr="001B3A86">
        <w:rPr>
          <w:color w:val="000000" w:themeColor="text1"/>
        </w:rPr>
        <w:t xml:space="preserve"> leur processus d’élaboration, </w:t>
      </w:r>
      <w:r w:rsidR="008764D3">
        <w:rPr>
          <w:color w:val="000000" w:themeColor="text1"/>
        </w:rPr>
        <w:t xml:space="preserve">de légitimation et </w:t>
      </w:r>
      <w:r w:rsidR="008764D3" w:rsidRPr="001B3A86">
        <w:rPr>
          <w:color w:val="000000" w:themeColor="text1"/>
        </w:rPr>
        <w:t xml:space="preserve">de diffusion. </w:t>
      </w:r>
    </w:p>
    <w:p w14:paraId="35AF7C13" w14:textId="77777777" w:rsidR="008764D3" w:rsidRDefault="008764D3" w:rsidP="003506B2">
      <w:pPr>
        <w:ind w:firstLine="426"/>
        <w:contextualSpacing/>
        <w:jc w:val="both"/>
        <w:rPr>
          <w:rFonts w:eastAsia="Times New Roman"/>
          <w:color w:val="000000" w:themeColor="text1"/>
        </w:rPr>
      </w:pPr>
      <w:r w:rsidRPr="001B3A86">
        <w:rPr>
          <w:color w:val="000000" w:themeColor="text1"/>
        </w:rPr>
        <w:t>Si l’on reprend la définition qu’en donne Peter Haas, un</w:t>
      </w:r>
      <w:r>
        <w:rPr>
          <w:color w:val="000000" w:themeColor="text1"/>
        </w:rPr>
        <w:t>e communauté épistémique est</w:t>
      </w:r>
      <w:r w:rsidRPr="001B3A86">
        <w:rPr>
          <w:color w:val="000000" w:themeColor="text1"/>
        </w:rPr>
        <w:t xml:space="preserve"> « </w:t>
      </w:r>
      <w:r w:rsidRPr="002A5D28">
        <w:rPr>
          <w:rFonts w:eastAsia="Times New Roman"/>
          <w:color w:val="000000" w:themeColor="text1"/>
          <w:shd w:val="clear" w:color="auto" w:fill="FAFAFA"/>
        </w:rPr>
        <w:t>un réseau de professionnels ayant une expertise et une compétence reconnue dans un domaine particulier et une revendication d’autorité en ce qui concerne les connaissances pertinentes pour les politiques</w:t>
      </w:r>
      <w:r w:rsidRPr="001B3A86">
        <w:rPr>
          <w:rFonts w:eastAsia="Times New Roman"/>
          <w:color w:val="000000" w:themeColor="text1"/>
          <w:shd w:val="clear" w:color="auto" w:fill="FAFAFA"/>
        </w:rPr>
        <w:t xml:space="preserve"> »</w:t>
      </w:r>
      <w:r w:rsidRPr="001B3A86">
        <w:rPr>
          <w:rStyle w:val="Marquenotebasdepage"/>
          <w:rFonts w:eastAsia="Times New Roman"/>
          <w:color w:val="000000" w:themeColor="text1"/>
          <w:shd w:val="clear" w:color="auto" w:fill="FAFAFA"/>
        </w:rPr>
        <w:footnoteReference w:id="10"/>
      </w:r>
      <w:r>
        <w:rPr>
          <w:rFonts w:eastAsia="Times New Roman"/>
          <w:color w:val="000000" w:themeColor="text1"/>
          <w:shd w:val="clear" w:color="auto" w:fill="FAFAFA"/>
        </w:rPr>
        <w:t>. Plus brièvement, les communautés épistémiques, sont des « communautés concernées par la production et la diffusion de connaissances et la relation de celles-ci au politique »</w:t>
      </w:r>
      <w:r>
        <w:rPr>
          <w:rStyle w:val="Marquenotebasdepage"/>
          <w:rFonts w:eastAsia="Times New Roman"/>
          <w:color w:val="000000" w:themeColor="text1"/>
          <w:shd w:val="clear" w:color="auto" w:fill="FAFAFA"/>
        </w:rPr>
        <w:footnoteReference w:id="11"/>
      </w:r>
      <w:r>
        <w:rPr>
          <w:rFonts w:eastAsia="Times New Roman"/>
          <w:color w:val="000000" w:themeColor="text1"/>
        </w:rPr>
        <w:t xml:space="preserve">. Dans le cadre de la Cour de Justice et plus largement des institutions européennes, l’analyse des politiques publiques par le biais des communautés épistémiques s’est montrée très prolixe ces vingt dernières années. </w:t>
      </w:r>
    </w:p>
    <w:p w14:paraId="2837B321" w14:textId="7A5A3E17" w:rsidR="008764D3" w:rsidRDefault="008764D3" w:rsidP="003506B2">
      <w:pPr>
        <w:ind w:firstLine="426"/>
        <w:contextualSpacing/>
        <w:jc w:val="both"/>
        <w:rPr>
          <w:rFonts w:eastAsia="Times New Roman"/>
          <w:color w:val="000000" w:themeColor="text1"/>
        </w:rPr>
      </w:pPr>
      <w:r>
        <w:rPr>
          <w:rFonts w:eastAsia="Times New Roman"/>
          <w:color w:val="000000" w:themeColor="text1"/>
        </w:rPr>
        <w:t>Plus récemment, Antoine Vauchez en a élargi la notion à ce qu’il a appelé, avec Cécile Robert, « l’Académie européenne ». Pour ces auteurs, l’espace académique européen désigne les relations intriquées entre savoirs académiques, expertises et institutions européennes, des interrelations sans doute assez classiques, mais si imbriquées dans le champ des études européennes qu’elles en viennent à brouiller les frontières traditionnelles, de nombreux acteurs étant des « agents doubles » appartenant successivement ou simultanément au monde académique et au monde des institutions. Dès lors, il conviendrait de cesser de considérer « décideurs » et « savants » comme deux blocs hermétiques, pour montrer comment les uns et les autres tendent effectivement à se nourrir et à se légitimer réciproquement, comment les « formes de connaissance de l’Europe » procèdent d’une « coproduction politico-académique » et comment celle-ci préside aux orientation</w:t>
      </w:r>
      <w:r w:rsidR="00BA0BDE">
        <w:rPr>
          <w:rFonts w:eastAsia="Times New Roman"/>
          <w:color w:val="000000" w:themeColor="text1"/>
        </w:rPr>
        <w:t>s</w:t>
      </w:r>
      <w:r>
        <w:rPr>
          <w:rFonts w:eastAsia="Times New Roman"/>
          <w:color w:val="000000" w:themeColor="text1"/>
        </w:rPr>
        <w:t xml:space="preserve"> du « gouvernement européen »</w:t>
      </w:r>
      <w:r>
        <w:rPr>
          <w:rStyle w:val="Marquenotebasdepage"/>
          <w:rFonts w:eastAsia="Times New Roman"/>
          <w:color w:val="000000" w:themeColor="text1"/>
        </w:rPr>
        <w:footnoteReference w:id="12"/>
      </w:r>
      <w:r>
        <w:rPr>
          <w:rFonts w:eastAsia="Times New Roman"/>
          <w:color w:val="000000" w:themeColor="text1"/>
        </w:rPr>
        <w:t>. L’académie européenne serait ainsi particulièrement opérante autour de la Commission, mais aussi de la Cour de justice</w:t>
      </w:r>
      <w:r w:rsidR="00A652D3">
        <w:rPr>
          <w:rFonts w:eastAsia="Times New Roman"/>
          <w:color w:val="000000" w:themeColor="text1"/>
        </w:rPr>
        <w:t>, eu égard à</w:t>
      </w:r>
      <w:r>
        <w:rPr>
          <w:rFonts w:eastAsia="Times New Roman"/>
          <w:color w:val="000000" w:themeColor="text1"/>
        </w:rPr>
        <w:t xml:space="preserve"> la très forte récurrence du phénomène des doubles affiliations (ou doubles casquettes) de ses membres. L’élaboration de récits judiciaires en son sein, à travers sa jurisprudence, mais aussi par le truchement d’autres canaux de communication, mobilise un réseau complexe et hybride d’acteurs formant ensemble une sorte de branche narrative de la communauté épistémique, ce qu’on peut appeler une </w:t>
      </w:r>
      <w:r w:rsidRPr="00F9783A">
        <w:rPr>
          <w:rFonts w:eastAsia="Times New Roman"/>
          <w:i/>
          <w:color w:val="000000" w:themeColor="text1"/>
        </w:rPr>
        <w:t>communauté narrative</w:t>
      </w:r>
      <w:r>
        <w:rPr>
          <w:rFonts w:eastAsia="Times New Roman"/>
          <w:color w:val="000000" w:themeColor="text1"/>
        </w:rPr>
        <w:t xml:space="preserve">, pour reprendre une formule utilisée d’ailleurs dans notre </w:t>
      </w:r>
      <w:proofErr w:type="spellStart"/>
      <w:r w:rsidRPr="002932CF">
        <w:rPr>
          <w:rFonts w:eastAsia="Times New Roman"/>
          <w:i/>
          <w:color w:val="000000" w:themeColor="text1"/>
        </w:rPr>
        <w:t>Working</w:t>
      </w:r>
      <w:proofErr w:type="spellEnd"/>
      <w:r w:rsidRPr="002932CF">
        <w:rPr>
          <w:rFonts w:eastAsia="Times New Roman"/>
          <w:i/>
          <w:color w:val="000000" w:themeColor="text1"/>
        </w:rPr>
        <w:t xml:space="preserve"> </w:t>
      </w:r>
      <w:proofErr w:type="spellStart"/>
      <w:r w:rsidRPr="002932CF">
        <w:rPr>
          <w:rFonts w:eastAsia="Times New Roman"/>
          <w:i/>
          <w:color w:val="000000" w:themeColor="text1"/>
        </w:rPr>
        <w:t>paper</w:t>
      </w:r>
      <w:proofErr w:type="spellEnd"/>
      <w:r>
        <w:rPr>
          <w:rFonts w:eastAsia="Times New Roman"/>
          <w:color w:val="000000" w:themeColor="text1"/>
        </w:rPr>
        <w:t>.</w:t>
      </w:r>
    </w:p>
    <w:p w14:paraId="7BDFC4BD" w14:textId="77777777" w:rsidR="008764D3" w:rsidRDefault="008764D3" w:rsidP="003506B2">
      <w:pPr>
        <w:ind w:firstLine="426"/>
        <w:contextualSpacing/>
        <w:jc w:val="both"/>
        <w:rPr>
          <w:rFonts w:eastAsia="Times New Roman"/>
          <w:color w:val="000000" w:themeColor="text1"/>
        </w:rPr>
      </w:pPr>
      <w:r>
        <w:rPr>
          <w:rFonts w:eastAsia="Times New Roman"/>
          <w:color w:val="000000" w:themeColor="text1"/>
        </w:rPr>
        <w:t xml:space="preserve">Or, le narratif de l’Europe comme « ordre constitutionnel (pluraliste) », en admettant par hypothèse qu’il s’agit bien d’un des narratifs judiciaires de l’Europe, a donné lieu, dans sa genèse et son développement, à une série d’échanges et de croisements entre la jurisprudence de la Cour de justice et les interprètes de celle-ci, qu’ils s’expriment dans ou en dehors de son enceinte, qu’ils se positionnent comme académiques ou comme officiels. </w:t>
      </w:r>
    </w:p>
    <w:p w14:paraId="528B7900" w14:textId="52379D0A" w:rsidR="008764D3" w:rsidRDefault="008764D3" w:rsidP="003506B2">
      <w:pPr>
        <w:ind w:firstLine="426"/>
        <w:contextualSpacing/>
        <w:jc w:val="both"/>
        <w:rPr>
          <w:rFonts w:eastAsia="Times New Roman"/>
          <w:color w:val="000000" w:themeColor="text1"/>
          <w:shd w:val="clear" w:color="auto" w:fill="FFFFFF"/>
        </w:rPr>
      </w:pPr>
      <w:r>
        <w:rPr>
          <w:rFonts w:eastAsia="Times New Roman"/>
          <w:color w:val="000000" w:themeColor="text1"/>
        </w:rPr>
        <w:t>Selon une analyse aujourd’hui assez largement partagée, le processus de constitutionnalisation de l’ordre juridique européen aurait été</w:t>
      </w:r>
      <w:r w:rsidR="00A652D3">
        <w:rPr>
          <w:rFonts w:eastAsia="Times New Roman"/>
          <w:color w:val="000000" w:themeColor="text1"/>
        </w:rPr>
        <w:t xml:space="preserve"> initié par la Cour, à travers</w:t>
      </w:r>
      <w:r>
        <w:rPr>
          <w:rFonts w:eastAsia="Times New Roman"/>
          <w:color w:val="000000" w:themeColor="text1"/>
        </w:rPr>
        <w:t xml:space="preserve"> les deux arrêts qui forment comme le récit fondateur de son identité juridique : les archi-fameux </w:t>
      </w:r>
      <w:r w:rsidRPr="00A06DED">
        <w:rPr>
          <w:rFonts w:eastAsia="Times New Roman"/>
          <w:i/>
          <w:color w:val="000000" w:themeColor="text1"/>
        </w:rPr>
        <w:lastRenderedPageBreak/>
        <w:t>Van Gend en Loos</w:t>
      </w:r>
      <w:r>
        <w:rPr>
          <w:rFonts w:eastAsia="Times New Roman"/>
          <w:color w:val="000000" w:themeColor="text1"/>
        </w:rPr>
        <w:t xml:space="preserve"> et </w:t>
      </w:r>
      <w:r>
        <w:rPr>
          <w:rFonts w:eastAsia="Times New Roman"/>
          <w:i/>
          <w:color w:val="000000" w:themeColor="text1"/>
        </w:rPr>
        <w:t>Costa c/</w:t>
      </w:r>
      <w:r w:rsidRPr="00A06DED">
        <w:rPr>
          <w:rFonts w:eastAsia="Times New Roman"/>
          <w:i/>
          <w:color w:val="000000" w:themeColor="text1"/>
        </w:rPr>
        <w:t xml:space="preserve"> E</w:t>
      </w:r>
      <w:r>
        <w:rPr>
          <w:rFonts w:eastAsia="Times New Roman"/>
          <w:i/>
          <w:color w:val="000000" w:themeColor="text1"/>
        </w:rPr>
        <w:t>NEL</w:t>
      </w:r>
      <w:r>
        <w:rPr>
          <w:rFonts w:eastAsia="Times New Roman"/>
          <w:color w:val="000000" w:themeColor="text1"/>
        </w:rPr>
        <w:t>. Posant les bases d’un ordre juridique nouveau et autonome, fondé sur l’effet direct et la primauté du droit communautaire, ces arrêts ont à ce point modifié la nature juridico-politique des Communautés européennes que certains analystes à partir des années quatre-vingt, comme Eric Stein, n’ont pas hésité à y voir les bases d’une « constitution transnationale », faisant de la Cour la promotrice d’un « cadre constitutionnel de type fédéraliste » pour l’Europe en construction</w:t>
      </w:r>
      <w:r>
        <w:rPr>
          <w:rStyle w:val="Marquenotebasdepage"/>
          <w:rFonts w:eastAsia="Times New Roman"/>
          <w:color w:val="000000" w:themeColor="text1"/>
        </w:rPr>
        <w:footnoteReference w:id="13"/>
      </w:r>
      <w:r>
        <w:rPr>
          <w:rFonts w:eastAsia="Times New Roman"/>
          <w:color w:val="000000" w:themeColor="text1"/>
        </w:rPr>
        <w:t xml:space="preserve">. L’interprétation constitutionnelle de cette jurisprudence innovante eut par la suite un tel écho, qu’elle a fini par se diffuser, bon gré mal gré, avec enthousiasme ou méfiance, dans la communauté épistémique entourant la Cour de Luxembourg, tant parmi bon nombre d’observateurs que parmi les acteurs, au point que le site </w:t>
      </w:r>
      <w:proofErr w:type="spellStart"/>
      <w:r>
        <w:rPr>
          <w:rFonts w:eastAsia="Times New Roman"/>
          <w:color w:val="000000" w:themeColor="text1"/>
        </w:rPr>
        <w:t>Curia</w:t>
      </w:r>
      <w:proofErr w:type="spellEnd"/>
      <w:r>
        <w:rPr>
          <w:rFonts w:eastAsia="Times New Roman"/>
          <w:color w:val="000000" w:themeColor="text1"/>
        </w:rPr>
        <w:t>, site officiel de la Cour, présente aujourd’hui l’arrêt de 1963 comme « </w:t>
      </w:r>
      <w:r w:rsidRPr="0024722E">
        <w:rPr>
          <w:rFonts w:eastAsia="Times New Roman"/>
          <w:color w:val="000000" w:themeColor="text1"/>
          <w:shd w:val="clear" w:color="auto" w:fill="FFFFFF"/>
        </w:rPr>
        <w:t>source et matrice des principes qui ont façonné</w:t>
      </w:r>
      <w:r>
        <w:rPr>
          <w:rFonts w:eastAsia="Times New Roman"/>
          <w:color w:val="000000" w:themeColor="text1"/>
          <w:shd w:val="clear" w:color="auto" w:fill="FFFFFF"/>
        </w:rPr>
        <w:t xml:space="preserve"> l’édifice constitutionnel de l’</w:t>
      </w:r>
      <w:r w:rsidRPr="0024722E">
        <w:rPr>
          <w:rFonts w:eastAsia="Times New Roman"/>
          <w:color w:val="000000" w:themeColor="text1"/>
          <w:shd w:val="clear" w:color="auto" w:fill="FFFFFF"/>
        </w:rPr>
        <w:t>Union</w:t>
      </w:r>
      <w:r>
        <w:rPr>
          <w:rFonts w:eastAsia="Times New Roman"/>
          <w:color w:val="000000" w:themeColor="text1"/>
          <w:shd w:val="clear" w:color="auto" w:fill="FFFFFF"/>
        </w:rPr>
        <w:t> »</w:t>
      </w:r>
      <w:r>
        <w:rPr>
          <w:rStyle w:val="Marquenotebasdepage"/>
          <w:rFonts w:eastAsia="Times New Roman"/>
          <w:color w:val="000000" w:themeColor="text1"/>
          <w:shd w:val="clear" w:color="auto" w:fill="FFFFFF"/>
        </w:rPr>
        <w:footnoteReference w:id="14"/>
      </w:r>
      <w:r>
        <w:rPr>
          <w:rFonts w:eastAsia="Times New Roman"/>
          <w:color w:val="000000" w:themeColor="text1"/>
          <w:shd w:val="clear" w:color="auto" w:fill="FFFFFF"/>
        </w:rPr>
        <w:t xml:space="preserve">. </w:t>
      </w:r>
    </w:p>
    <w:p w14:paraId="4BADD608" w14:textId="77777777" w:rsidR="008764D3" w:rsidRDefault="008764D3" w:rsidP="003506B2">
      <w:pPr>
        <w:ind w:firstLine="426"/>
        <w:contextualSpacing/>
        <w:jc w:val="both"/>
      </w:pPr>
      <w:r>
        <w:rPr>
          <w:rFonts w:eastAsia="Times New Roman"/>
          <w:color w:val="000000" w:themeColor="text1"/>
          <w:shd w:val="clear" w:color="auto" w:fill="FFFFFF"/>
        </w:rPr>
        <w:t>Il faudra pourtant attendre une vingtaine d’années, en 1986, pour que la Cour, dans l’arrêt « </w:t>
      </w:r>
      <w:r w:rsidRPr="00AE49E8">
        <w:t>Parti écologiste « Les Verts » c/ Parlement européen</w:t>
      </w:r>
      <w:r>
        <w:t> »</w:t>
      </w:r>
      <w:r>
        <w:rPr>
          <w:rFonts w:eastAsia="Times New Roman"/>
          <w:color w:val="000000" w:themeColor="text1"/>
          <w:shd w:val="clear" w:color="auto" w:fill="FFFFFF"/>
        </w:rPr>
        <w:t xml:space="preserve">, s’approprie explicitement et assume </w:t>
      </w:r>
      <w:r w:rsidRPr="00F473DC">
        <w:rPr>
          <w:rFonts w:eastAsia="Times New Roman"/>
          <w:i/>
          <w:color w:val="000000" w:themeColor="text1"/>
          <w:shd w:val="clear" w:color="auto" w:fill="FFFFFF"/>
        </w:rPr>
        <w:t>dans sa jurisprudence</w:t>
      </w:r>
      <w:r>
        <w:rPr>
          <w:rFonts w:eastAsia="Times New Roman"/>
          <w:color w:val="000000" w:themeColor="text1"/>
          <w:shd w:val="clear" w:color="auto" w:fill="FFFFFF"/>
        </w:rPr>
        <w:t xml:space="preserve"> la catégorie qu’Eric Stein avait théorisée cinq ans plus tôt : </w:t>
      </w:r>
      <w:r>
        <w:t>« </w:t>
      </w:r>
      <w:r w:rsidRPr="00674925">
        <w:t xml:space="preserve">la </w:t>
      </w:r>
      <w:proofErr w:type="spellStart"/>
      <w:r w:rsidRPr="00674925">
        <w:t>Communaute</w:t>
      </w:r>
      <w:proofErr w:type="spellEnd"/>
      <w:r w:rsidRPr="00674925">
        <w:t xml:space="preserve">́ </w:t>
      </w:r>
      <w:proofErr w:type="spellStart"/>
      <w:r w:rsidRPr="00674925">
        <w:t>économique</w:t>
      </w:r>
      <w:proofErr w:type="spellEnd"/>
      <w:r w:rsidRPr="00674925">
        <w:t xml:space="preserve"> </w:t>
      </w:r>
      <w:proofErr w:type="spellStart"/>
      <w:r w:rsidRPr="00674925">
        <w:t>européenne</w:t>
      </w:r>
      <w:proofErr w:type="spellEnd"/>
      <w:r w:rsidRPr="00674925">
        <w:t xml:space="preserve"> est une </w:t>
      </w:r>
      <w:proofErr w:type="spellStart"/>
      <w:r w:rsidRPr="00674925">
        <w:t>communaute</w:t>
      </w:r>
      <w:proofErr w:type="spellEnd"/>
      <w:r w:rsidRPr="00674925">
        <w:t xml:space="preserve">́ de droit en ce que ni </w:t>
      </w:r>
      <w:r w:rsidRPr="00EB098A">
        <w:rPr>
          <w:iCs/>
        </w:rPr>
        <w:t>ses</w:t>
      </w:r>
      <w:r w:rsidRPr="00674925">
        <w:rPr>
          <w:i/>
          <w:iCs/>
        </w:rPr>
        <w:t xml:space="preserve"> </w:t>
      </w:r>
      <w:proofErr w:type="spellStart"/>
      <w:r w:rsidRPr="00674925">
        <w:t>États</w:t>
      </w:r>
      <w:proofErr w:type="spellEnd"/>
      <w:r w:rsidRPr="00674925">
        <w:t xml:space="preserve"> membres ni ses </w:t>
      </w:r>
      <w:r>
        <w:t>institutions n’</w:t>
      </w:r>
      <w:proofErr w:type="spellStart"/>
      <w:r w:rsidRPr="00674925">
        <w:t>échappent</w:t>
      </w:r>
      <w:proofErr w:type="spellEnd"/>
      <w:r w:rsidRPr="00674925">
        <w:t xml:space="preserve"> au </w:t>
      </w:r>
      <w:proofErr w:type="spellStart"/>
      <w:r w:rsidRPr="00674925">
        <w:t>contrôle</w:t>
      </w:r>
      <w:proofErr w:type="spellEnd"/>
      <w:r w:rsidRPr="00674925">
        <w:t xml:space="preserve"> de la </w:t>
      </w:r>
      <w:proofErr w:type="spellStart"/>
      <w:r w:rsidRPr="00674925">
        <w:t>conformite</w:t>
      </w:r>
      <w:proofErr w:type="spellEnd"/>
      <w:r w:rsidRPr="00674925">
        <w:t>́ de leurs actes à la char</w:t>
      </w:r>
      <w:r>
        <w:t>te constitutionnelle de base qu’</w:t>
      </w:r>
      <w:r w:rsidRPr="00674925">
        <w:t>est le traité</w:t>
      </w:r>
      <w:r>
        <w:t> »</w:t>
      </w:r>
      <w:r>
        <w:rPr>
          <w:rStyle w:val="Marquenotebasdepage"/>
        </w:rPr>
        <w:footnoteReference w:id="15"/>
      </w:r>
      <w:r>
        <w:t xml:space="preserve">. « Constitutionnelle », le mot </w:t>
      </w:r>
      <w:r>
        <w:rPr>
          <w:rFonts w:eastAsia="Times New Roman"/>
          <w:color w:val="000000" w:themeColor="text1"/>
          <w:shd w:val="clear" w:color="auto" w:fill="FFFFFF"/>
        </w:rPr>
        <w:t>si lourd de sens</w:t>
      </w:r>
      <w:r>
        <w:t xml:space="preserve"> était lâché – </w:t>
      </w:r>
      <w:r>
        <w:rPr>
          <w:rFonts w:eastAsia="Times New Roman"/>
          <w:color w:val="000000" w:themeColor="text1"/>
          <w:shd w:val="clear" w:color="auto" w:fill="FFFFFF"/>
        </w:rPr>
        <w:t>l’épithète, à défaut du substantif –</w:t>
      </w:r>
      <w:r>
        <w:t xml:space="preserve"> et quand bien même il ne fut plus repris littéralement dans les arrêts qui suivirent, son endossement officiel par l’autorité judiciaire suprême des Communautés aura eu pour conséquence de légitimer l’idée d’une constitutionnalisation du droit européen sous l’impulsion d’un processus d’intégration par le droit. Cette idée sera très vite systématisée par quelques grandes figures du droit constitutionnel et du droit comparé, comme Joseph </w:t>
      </w:r>
      <w:proofErr w:type="spellStart"/>
      <w:r>
        <w:t>Weiler</w:t>
      </w:r>
      <w:proofErr w:type="spellEnd"/>
      <w:r>
        <w:t>, qui parle, dans son grand article « Transformation of Europe », d’une « révolution constitutionnelle légalement conduite » et y voit « le narratif d’une pure et simple prise de pouvoir judiciaire » (« </w:t>
      </w:r>
      <w:r>
        <w:rPr>
          <w:i/>
        </w:rPr>
        <w:t>narrative of</w:t>
      </w:r>
      <w:r w:rsidRPr="008729CD">
        <w:rPr>
          <w:i/>
        </w:rPr>
        <w:t xml:space="preserve"> plain and simple </w:t>
      </w:r>
      <w:proofErr w:type="spellStart"/>
      <w:r w:rsidRPr="008729CD">
        <w:rPr>
          <w:i/>
        </w:rPr>
        <w:t>judicial</w:t>
      </w:r>
      <w:proofErr w:type="spellEnd"/>
      <w:r w:rsidRPr="008729CD">
        <w:rPr>
          <w:i/>
        </w:rPr>
        <w:t xml:space="preserve"> </w:t>
      </w:r>
      <w:proofErr w:type="spellStart"/>
      <w:r w:rsidRPr="008729CD">
        <w:rPr>
          <w:i/>
        </w:rPr>
        <w:t>empowerment</w:t>
      </w:r>
      <w:proofErr w:type="spellEnd"/>
      <w:r>
        <w:t> »)</w:t>
      </w:r>
      <w:r>
        <w:rPr>
          <w:rStyle w:val="Marquenotebasdepage"/>
        </w:rPr>
        <w:footnoteReference w:id="16"/>
      </w:r>
      <w:r>
        <w:t xml:space="preserve">. On peut ainsi observer un mouvement de va-et-vient et de légitimation réciproque entre narratif savant et narratif judiciaire, par lequel une série de juges et d’avocats généraux reprennent successivement à leur compte, dans des interventions écrites ou orales, le plus souvent en dehors des murs de la Cour, les analyses qu’ont pu donner des théoriciens et observateurs de leur production jurisprudentielle ; on pense au juge Robert Lecourt, et à son « Europe des juges », au juge Pierre </w:t>
      </w:r>
      <w:proofErr w:type="spellStart"/>
      <w:r>
        <w:t>Pescatore</w:t>
      </w:r>
      <w:proofErr w:type="spellEnd"/>
      <w:r>
        <w:t xml:space="preserve"> qui parle de « constitution stable » et de « constitution communautaire » à propos des Traités</w:t>
      </w:r>
      <w:r>
        <w:rPr>
          <w:rStyle w:val="Marquenotebasdepage"/>
        </w:rPr>
        <w:footnoteReference w:id="17"/>
      </w:r>
      <w:r>
        <w:t xml:space="preserve">, mais aussi au juge G. Federico Mancini qui intitule l’un de ces articles « The </w:t>
      </w:r>
      <w:proofErr w:type="spellStart"/>
      <w:r>
        <w:t>Making</w:t>
      </w:r>
      <w:proofErr w:type="spellEnd"/>
      <w:r>
        <w:t xml:space="preserve"> of a Constitution for Europe », par une citation directe du titre de l’article d’Eric Stein, ou plus récemment au juge Koen </w:t>
      </w:r>
      <w:proofErr w:type="spellStart"/>
      <w:r>
        <w:t>Lenaerts</w:t>
      </w:r>
      <w:proofErr w:type="spellEnd"/>
      <w:r>
        <w:t xml:space="preserve">, qui, entre autres catégories, emprunte à </w:t>
      </w:r>
      <w:proofErr w:type="spellStart"/>
      <w:r>
        <w:t>Weiler</w:t>
      </w:r>
      <w:proofErr w:type="spellEnd"/>
      <w:r>
        <w:t xml:space="preserve"> le concept de « </w:t>
      </w:r>
      <w:proofErr w:type="spellStart"/>
      <w:r>
        <w:t>mutual</w:t>
      </w:r>
      <w:proofErr w:type="spellEnd"/>
      <w:r>
        <w:t xml:space="preserve"> </w:t>
      </w:r>
      <w:proofErr w:type="spellStart"/>
      <w:r>
        <w:t>empowerment</w:t>
      </w:r>
      <w:proofErr w:type="spellEnd"/>
      <w:r>
        <w:t> » pour décrire les relations entre la Cour de Luxembourg et les cours nationales</w:t>
      </w:r>
      <w:r>
        <w:rPr>
          <w:rStyle w:val="Marquenotebasdepage"/>
        </w:rPr>
        <w:footnoteReference w:id="18"/>
      </w:r>
      <w:r>
        <w:t xml:space="preserve">. Ces emprunts et citations réciproques entre académiques et autorités juridictionnelles, sont certes tout à fait ordinaires et communs quand il s’agit des rapports classiques entre doctrine et jurisprudence, ou au sein de la doctrine, mais ils opèrent ici au niveau méta-juridictionnel d’un narratif sur la nature constitutionnelle de l’ordre juridique </w:t>
      </w:r>
      <w:r>
        <w:lastRenderedPageBreak/>
        <w:t>européen, un narratif qui décrit, systématise, voire justifie la production jurisprudentielle et le rôle spécial de la Cour dans la constitutionnalisation de cet ordre.</w:t>
      </w:r>
    </w:p>
    <w:p w14:paraId="66F8D35C" w14:textId="77777777" w:rsidR="008764D3" w:rsidRDefault="008764D3" w:rsidP="003506B2">
      <w:pPr>
        <w:ind w:firstLine="426"/>
        <w:contextualSpacing/>
        <w:jc w:val="both"/>
      </w:pPr>
      <w:r>
        <w:t xml:space="preserve">Or, la construction de cette communauté narrative de la Cour, si elle permet bien, comme on peut le voir, de nourrir et de légitimer réciproquement narratifs savants et judiciaires, suscite en son sein l’émergence de ce qu’on peut appeler avec la sociologue Céline </w:t>
      </w:r>
      <w:proofErr w:type="spellStart"/>
      <w:r>
        <w:t>Cantat</w:t>
      </w:r>
      <w:proofErr w:type="spellEnd"/>
      <w:r>
        <w:t>, des « contre-narratifs de l’Europe ». En l’occurrence, le contre-narratif qui répondrait peut-être le mieux au narratif de l’ordre constitutionnel semble être celui de « l’activisme judiciaire », lequel ne consiste d’ailleurs pas à invalider les termes du diagnostic général sous-jacent à l’idée d’ordre constitutionnel européen, mais à les reconduire à des facteurs explicatifs externes relevant d’une analyse par des stratégies d’acteurs et des rapports de forces institutionnels, voire à contester la légitimité de cette intégration judiciaire, présentée comme l’antichambre d’un nouveau « gouvernement des juges ».</w:t>
      </w:r>
    </w:p>
    <w:p w14:paraId="72D1642F" w14:textId="60D67827" w:rsidR="008764D3" w:rsidRDefault="008764D3" w:rsidP="003506B2">
      <w:pPr>
        <w:ind w:firstLine="426"/>
        <w:contextualSpacing/>
        <w:jc w:val="both"/>
      </w:pPr>
      <w:r>
        <w:t xml:space="preserve">C’est sans doute pour des raisons disciplinaires et eu égard à la présomption méthodologique d’une neutralité politique du juge, que le narratif savant de « l’activisme judiciaire » n’a pas eu le même écho dans les sciences juridiques, et </w:t>
      </w:r>
      <w:r w:rsidRPr="00DE11D5">
        <w:rPr>
          <w:i/>
        </w:rPr>
        <w:t>a for</w:t>
      </w:r>
      <w:r>
        <w:rPr>
          <w:i/>
        </w:rPr>
        <w:t>t</w:t>
      </w:r>
      <w:r w:rsidRPr="00DE11D5">
        <w:rPr>
          <w:i/>
        </w:rPr>
        <w:t>iori</w:t>
      </w:r>
      <w:r>
        <w:t xml:space="preserve"> auprès des acteurs de la Cour, que celui de l’ordre constitutionnel. L’européiste </w:t>
      </w:r>
      <w:proofErr w:type="spellStart"/>
      <w:r>
        <w:t>Hjalte</w:t>
      </w:r>
      <w:proofErr w:type="spellEnd"/>
      <w:r>
        <w:t xml:space="preserve"> Rasmussen, ayant entrepris de passer en revue les analyses académ</w:t>
      </w:r>
      <w:r w:rsidR="00905400">
        <w:t>iques du rôle de la Cour jusqu’à</w:t>
      </w:r>
      <w:r>
        <w:t xml:space="preserve"> 1985, remarque ainsi que l’essentiel des analyses juridiques consiste à prendre acte de l’engagement pro-communautaire de la Cour comme si ses décisions à tendances fédéralistes étaient toutes comme des « bébés constitutionnels apportés par les cigognes judiciaires », la plupart de ces juristes universitaires évitant soigneusement, à quelques exceptions près, d’exposer la « chair humaine derrière les décisions »</w:t>
      </w:r>
      <w:r w:rsidR="00905400">
        <w:t xml:space="preserve"> de la Cour</w:t>
      </w:r>
      <w:r>
        <w:t>, sans voir dans son profil « activiste » un problème de quelque nature, relatif notamment au risque d’un glissement vers le gouvernement des juges</w:t>
      </w:r>
      <w:r>
        <w:rPr>
          <w:rStyle w:val="Marquenotebasdepage"/>
        </w:rPr>
        <w:footnoteReference w:id="19"/>
      </w:r>
      <w:r>
        <w:t xml:space="preserve">. </w:t>
      </w:r>
    </w:p>
    <w:p w14:paraId="65FD5143" w14:textId="75E983DF" w:rsidR="008764D3" w:rsidRDefault="008764D3" w:rsidP="003506B2">
      <w:pPr>
        <w:ind w:firstLine="426"/>
        <w:contextualSpacing/>
        <w:jc w:val="both"/>
      </w:pPr>
      <w:r>
        <w:t xml:space="preserve">Dans la littérature des études </w:t>
      </w:r>
      <w:proofErr w:type="spellStart"/>
      <w:r>
        <w:t>politologiques</w:t>
      </w:r>
      <w:proofErr w:type="spellEnd"/>
      <w:r>
        <w:t xml:space="preserve"> et sociologiques de l’intégration européenne, en revanche, la nature activiste de la Cour s’est beaucoup plus facilement et rapidement imposée, au point de devenir un cadre d’analyse obligé, un narratif savant incontournable. Les politistes et sociologues font en effet valoir que l’absence d’initiative politique qui caractérise la Cour – laquelle ne peut que réagir aux cas et demandes qui lui sont soumis – n’en fait pas moins un acteur politique au sens fort, avec ses visions, ses intérêts, ses agendas, ses stratégies et surtout avec une marge de manœuvre beaucoup plus large que ce que sa passivité ne pourrait faire accroire, toutes caractéristiques qui rendraient sa revendication à la neutralité peu plausible</w:t>
      </w:r>
      <w:r>
        <w:rPr>
          <w:rStyle w:val="Marquenotebasdepage"/>
        </w:rPr>
        <w:footnoteReference w:id="20"/>
      </w:r>
      <w:r>
        <w:t>. Or, le narratif – ou le contre-narratif – de « l’activisme judiciaire » s’inscrit à cet égard également dans un narratif bien connu visant plus largement les institutions européennes et leur légitimité politique, soit le narratif du « déficit démocratique ». Contre une lecture libérale, qui saluerait dans le contrôle juridictionnel une protection supplémentaire des droits des individus, une lecture d’inspiration plus républicaine verrait dans l’activisme judiciaire une usurpation de pouvoir et une limitation indue non seulement de la souveraineté nationale, mais de la souveraineté populaire, la confiscation du débat public, en l’absence de droit de réponse politique aux décisions judiciaires</w:t>
      </w:r>
      <w:r>
        <w:rPr>
          <w:rStyle w:val="Marquenotebasdepage"/>
        </w:rPr>
        <w:footnoteReference w:id="21"/>
      </w:r>
      <w:r>
        <w:t>. Dans ce cadre d’analyse critique, repris non seulement par des historiens contemporains, mais aussi</w:t>
      </w:r>
      <w:r w:rsidRPr="00B76FC3">
        <w:t xml:space="preserve"> </w:t>
      </w:r>
      <w:r>
        <w:t xml:space="preserve">par certaines cours constitutionnelles nationales, le narratif de la constitutionnalisation heureuse, loin de devoir être accepté comme l’unique récit héroïque d’une intégration par le droit, est mis en cause et </w:t>
      </w:r>
      <w:r>
        <w:lastRenderedPageBreak/>
        <w:t>réduit à un sous-produit de l’activisme judiciaire, voire à une pure et simple stratégie d’autolégitimation de la Cour</w:t>
      </w:r>
      <w:r>
        <w:rPr>
          <w:rStyle w:val="Marquenotebasdepage"/>
        </w:rPr>
        <w:footnoteReference w:id="22"/>
      </w:r>
      <w:r>
        <w:t>.</w:t>
      </w:r>
    </w:p>
    <w:p w14:paraId="422370A6" w14:textId="1ECC68A8" w:rsidR="008764D3" w:rsidRDefault="008764D3" w:rsidP="003506B2">
      <w:pPr>
        <w:ind w:firstLine="426"/>
        <w:contextualSpacing/>
        <w:jc w:val="both"/>
      </w:pPr>
      <w:r>
        <w:t xml:space="preserve">À l’inverse, les acteurs de la Cour, bien conscients de ces critiques récurrentes, tentent d’y répondre en réintégrant à leur tour le motif de l’activisme judiciaire dans le cadre du narratif de l’ordre constitutionnel. Ainsi, dans un article publié en 1974, Pierre </w:t>
      </w:r>
      <w:proofErr w:type="spellStart"/>
      <w:r>
        <w:t>Pescatore</w:t>
      </w:r>
      <w:proofErr w:type="spellEnd"/>
      <w:r>
        <w:t xml:space="preserve"> considérait déjà que « la constitution communautaire » était et devait être le meilleur rempart contre le gouvernement des juges, par l’obligation</w:t>
      </w:r>
      <w:r w:rsidR="00905400">
        <w:t xml:space="preserve"> faite à la Cour</w:t>
      </w:r>
      <w:r>
        <w:t xml:space="preserve"> de motiver ses décisions et de s’exposer « au contrôle et aux critiques des gouvernants, des justiciables eux-mêmes et du public général »</w:t>
      </w:r>
      <w:r>
        <w:rPr>
          <w:rStyle w:val="Marquenotebasdepage"/>
        </w:rPr>
        <w:footnoteReference w:id="23"/>
      </w:r>
      <w:r>
        <w:t xml:space="preserve">. Plus proche de nous, et de manière aussi plus ciblée, l’ancien Avocat général </w:t>
      </w:r>
      <w:proofErr w:type="spellStart"/>
      <w:r>
        <w:t>Poiares</w:t>
      </w:r>
      <w:proofErr w:type="spellEnd"/>
      <w:r>
        <w:t xml:space="preserve"> </w:t>
      </w:r>
      <w:proofErr w:type="spellStart"/>
      <w:r>
        <w:t>Maduro</w:t>
      </w:r>
      <w:proofErr w:type="spellEnd"/>
      <w:r>
        <w:t xml:space="preserve"> fait valoir que l’activisme judiciaire n’est que l’effet de l’ambiguïté ou des lacunes des textes adoptés, une ambiguïté elle-même savamment cultivée pour permettre d’obtenir des consensus politiques entre les Etats membres</w:t>
      </w:r>
      <w:r>
        <w:rPr>
          <w:rStyle w:val="Marquenotebasdepage"/>
        </w:rPr>
        <w:footnoteReference w:id="24"/>
      </w:r>
      <w:r>
        <w:t xml:space="preserve">. On retrouve dans un discours récent du juge </w:t>
      </w:r>
      <w:proofErr w:type="spellStart"/>
      <w:r>
        <w:t>Lenaerts</w:t>
      </w:r>
      <w:proofErr w:type="spellEnd"/>
      <w:r>
        <w:t xml:space="preserve"> la même séquence narrative qui explique l’émergence inévitable du soi-disant activisme judiciaire de la Cour par le manque de clarté et de complétude de certains textes</w:t>
      </w:r>
      <w:r>
        <w:rPr>
          <w:rStyle w:val="Marquenotebasdepage"/>
        </w:rPr>
        <w:footnoteReference w:id="25"/>
      </w:r>
      <w:r>
        <w:t xml:space="preserve">, comme si, </w:t>
      </w:r>
      <w:r w:rsidRPr="008B689D">
        <w:rPr>
          <w:i/>
        </w:rPr>
        <w:t>de facto</w:t>
      </w:r>
      <w:r>
        <w:t>, le législateur laissait pour une part à l’instance juridictionnelle le soin de préciser et de compléter les accords qui n’ont pas pu être achevés au niveau politique</w:t>
      </w:r>
      <w:r>
        <w:rPr>
          <w:rStyle w:val="Marquenotebasdepage"/>
        </w:rPr>
        <w:footnoteReference w:id="26"/>
      </w:r>
      <w:r>
        <w:t>. Face à ces lacunes législatives, la méthode d’interprétation téléologique, marchant de pair avec les méthodes comparatistes, trouverait ainsi une justification systémique dans le contexte de pluralisme non seulement politique mais aussi juridique qui définit l’ordre constitutionnel de l’Union</w:t>
      </w:r>
      <w:r>
        <w:rPr>
          <w:rStyle w:val="Marquenotebasdepage"/>
        </w:rPr>
        <w:footnoteReference w:id="27"/>
      </w:r>
      <w:r>
        <w:t xml:space="preserve">. </w:t>
      </w:r>
    </w:p>
    <w:p w14:paraId="64A56D10" w14:textId="5918E1B0" w:rsidR="008764D3" w:rsidRDefault="008764D3" w:rsidP="003506B2">
      <w:pPr>
        <w:ind w:firstLine="426"/>
        <w:contextualSpacing/>
        <w:jc w:val="both"/>
      </w:pPr>
      <w:r>
        <w:t xml:space="preserve">Outre l’interprétation téléologique classique, visant à expliciter la finalité implicite d’une disposition légale particulière, Miguel </w:t>
      </w:r>
      <w:proofErr w:type="spellStart"/>
      <w:r>
        <w:t>Poiares</w:t>
      </w:r>
      <w:proofErr w:type="spellEnd"/>
      <w:r>
        <w:t xml:space="preserve"> </w:t>
      </w:r>
      <w:proofErr w:type="spellStart"/>
      <w:r>
        <w:t>Maduro</w:t>
      </w:r>
      <w:proofErr w:type="spellEnd"/>
      <w:r>
        <w:t xml:space="preserve"> considère qu’avec les principes généraux du droit européen, ainsi qu’avec d’autres principes dits « universels », qui portent en eux une légitimation rationnelle et une interprétation dynamique des Traités et de l’avenir de l’intégration, comme par exemple le principe de « l’Union toujours plus étroite », ce qui s’ouvre au raisonnement judiciaire de la Cour, c’est ce qu’il appelle un niveau « méta-téléologique » d’interprétation, soit l’horizon des finalités générales dans lesquelles s’inscrivent les finalités particulières des différentes dispositions normatives</w:t>
      </w:r>
      <w:r>
        <w:rPr>
          <w:rStyle w:val="Marquenotebasdepage"/>
        </w:rPr>
        <w:footnoteReference w:id="28"/>
      </w:r>
      <w:r>
        <w:t>. Suivant ce cadre d’analyse, le narratif du pluralisme constitutionnel opèrerait précisément à ce niveau « méta-téléologique », en ce qu’il explicite à la fois la finalité de l’Union comme « communauté de droit » se construisant par le « dialogue des juges »</w:t>
      </w:r>
      <w:r>
        <w:rPr>
          <w:rStyle w:val="Marquenotebasdepage"/>
        </w:rPr>
        <w:footnoteReference w:id="29"/>
      </w:r>
      <w:r>
        <w:t xml:space="preserve"> et la fonction spécifique de la Cour comme promotrice de la constitutionnalisation de cette communauté pluraliste. Par extrapolation, l’on pourrait d’ailleurs en tirer l’hypothèse de recherche plus générale selon laquelle l’une des fonctions systémiques des narratifs consisterait à structurer les orientations méta-téléologiques de la jurisprudence de la Cour, c’est-à-dire à élucider l’horizon normatif et axiologique des diverses interprétations téléologiques, qui l’amènent à donner la priorité dans tel ou tel contexte, à l’une ou l’autre finalité de l’intégration. À ce titre, les narratifs judiciaires, </w:t>
      </w:r>
      <w:r w:rsidR="00D746DA">
        <w:t>en ce qu’ils permettraient aux A</w:t>
      </w:r>
      <w:r>
        <w:t xml:space="preserve">vocats généraux ou à la Cour elle-même d’articuler les raisons de ses hiérarchies de priorités, joueraient la fonction d’une sorte </w:t>
      </w:r>
      <w:r>
        <w:lastRenderedPageBreak/>
        <w:t>de méta-justification</w:t>
      </w:r>
      <w:r w:rsidRPr="009F35B5">
        <w:t xml:space="preserve"> </w:t>
      </w:r>
      <w:r>
        <w:t>à destinati</w:t>
      </w:r>
      <w:r w:rsidR="00D746DA">
        <w:t>on du public, c’est-à-dire de</w:t>
      </w:r>
      <w:r>
        <w:t xml:space="preserve"> justification méta-judiciaire de la jurisprudence et du rôle du juge, notamment face aux critiques du type de celles mobilisées par le contre-narratif de l’activisme judiciaire. </w:t>
      </w:r>
    </w:p>
    <w:p w14:paraId="3955FA12" w14:textId="7E5A8CE2" w:rsidR="008764D3" w:rsidRDefault="008764D3" w:rsidP="003506B2">
      <w:pPr>
        <w:ind w:firstLine="426"/>
        <w:contextualSpacing/>
        <w:jc w:val="both"/>
      </w:pPr>
      <w:r>
        <w:t>C’est</w:t>
      </w:r>
      <w:r w:rsidR="00D746DA">
        <w:t>,</w:t>
      </w:r>
      <w:r>
        <w:t xml:space="preserve"> semble-t-il</w:t>
      </w:r>
      <w:r w:rsidR="00D746DA">
        <w:t>,</w:t>
      </w:r>
      <w:r>
        <w:t xml:space="preserve"> en vertu de cette fonction méta-téléologique des narratifs, en particulier du narratif du pluralisme constitutionnel, que le juge </w:t>
      </w:r>
      <w:proofErr w:type="spellStart"/>
      <w:r>
        <w:t>Lenaerts</w:t>
      </w:r>
      <w:proofErr w:type="spellEnd"/>
      <w:r>
        <w:t xml:space="preserve"> a interprété, dans un discours de 2016 et un article de 2017, le principe de la « confiance mutuelle entre Etats », posé par l’avis 2/13 du 18 décembre 2014</w:t>
      </w:r>
      <w:r>
        <w:rPr>
          <w:rStyle w:val="Marquenotebasdepage"/>
        </w:rPr>
        <w:footnoteReference w:id="30"/>
      </w:r>
      <w:r>
        <w:t xml:space="preserve">. Répondant aux critiques émises à l’encontre de cet avis, où la Cour considère que l’adhésion de l’UE à la CEDH exigerait au préalable, entre autres, la prise en compte du principe de reconnaissance et de confiance mutuelles entre Etats membres, Koen </w:t>
      </w:r>
      <w:proofErr w:type="spellStart"/>
      <w:r>
        <w:t>Lenaerts</w:t>
      </w:r>
      <w:proofErr w:type="spellEnd"/>
      <w:r>
        <w:t xml:space="preserve"> justifie cette confiance mutuelle comme fondée sur le « principe constitutionnel »</w:t>
      </w:r>
      <w:r>
        <w:rPr>
          <w:rStyle w:val="Marquenotebasdepage"/>
        </w:rPr>
        <w:footnoteReference w:id="31"/>
      </w:r>
      <w:r>
        <w:t xml:space="preserve"> de l’égalité des Etats devant la loi et devant leur engagement à garantir le respect des droits fondamentaux. En effet, selon la Cour, la construction juridique de l’UE repose certes sur la « prémisse » que les États partagent entre eux une série de valeurs fondamentales, mais cette prémisse « implique et justifie » aussi « l’existence de la confiance mutuelle entre les Etats membres » dans le respect de ces valeurs. L’</w:t>
      </w:r>
      <w:r w:rsidRPr="009679BE">
        <w:rPr>
          <w:i/>
        </w:rPr>
        <w:t>explicitation</w:t>
      </w:r>
      <w:r>
        <w:t xml:space="preserve"> de ce qui est </w:t>
      </w:r>
      <w:r w:rsidRPr="009679BE">
        <w:rPr>
          <w:i/>
        </w:rPr>
        <w:t>impliqué</w:t>
      </w:r>
      <w:r>
        <w:t xml:space="preserve"> dans la première prémisse se fait, selon </w:t>
      </w:r>
      <w:proofErr w:type="spellStart"/>
      <w:r>
        <w:t>Lenaerts</w:t>
      </w:r>
      <w:proofErr w:type="spellEnd"/>
      <w:r>
        <w:t>, à la lumière du pluralisme constitutionnel : l’Union européenne, poursuit-il en effet, n’est pas un Etat (comme c’est rappelé dans l’avis</w:t>
      </w:r>
      <w:r>
        <w:rPr>
          <w:rStyle w:val="Marquenotebasdepage"/>
        </w:rPr>
        <w:footnoteReference w:id="32"/>
      </w:r>
      <w:r>
        <w:t>), et n’est pas appelée à devenir un Etat ; elle est une entité politique et un « ordre juridique qui respecte l’identité nationale de ses Etats membres »</w:t>
      </w:r>
      <w:r>
        <w:rPr>
          <w:rStyle w:val="Marquenotebasdepage"/>
        </w:rPr>
        <w:footnoteReference w:id="33"/>
      </w:r>
      <w:r>
        <w:t xml:space="preserve">. Et, citant Mireille Delmas-Marty, le juge </w:t>
      </w:r>
      <w:proofErr w:type="spellStart"/>
      <w:r>
        <w:t>Lenaerts</w:t>
      </w:r>
      <w:proofErr w:type="spellEnd"/>
      <w:r>
        <w:t xml:space="preserve"> déclare que la « vraie valeur ajoutée de l’Union » – et ce « </w:t>
      </w:r>
      <w:proofErr w:type="spellStart"/>
      <w:r w:rsidRPr="00CC32E4">
        <w:rPr>
          <w:i/>
        </w:rPr>
        <w:t>increasingly</w:t>
      </w:r>
      <w:proofErr w:type="spellEnd"/>
      <w:r w:rsidRPr="00CC32E4">
        <w:rPr>
          <w:i/>
        </w:rPr>
        <w:t xml:space="preserve"> </w:t>
      </w:r>
      <w:proofErr w:type="spellStart"/>
      <w:r w:rsidRPr="00CC32E4">
        <w:rPr>
          <w:i/>
        </w:rPr>
        <w:t>so</w:t>
      </w:r>
      <w:proofErr w:type="spellEnd"/>
      <w:r w:rsidRPr="00CC32E4">
        <w:rPr>
          <w:i/>
        </w:rPr>
        <w:t> </w:t>
      </w:r>
      <w:r>
        <w:t>» – est « l’ordonnancement du pluralisme juridique ». La confiance mutuelle entre les Etats, c’est aussi, ajoute-t-il encore, ce en quoi le point de vue de l’ordre constitutionnel pluraliste qu’est l’Union se différencie du point de départ de la Convention européenne des droits de l’homme et de la Cour de Strasbourg, qui serait à l’inverse la méfiance mutuelle des Etats signataires. C’est à ce titre aussi, me semble-t-il, que le narratif du pluralisme constitutionnel de l’Union, en explicitant l’horizon méta-téléologique des Traités, permettrait d’articuler d’une certaine manière le respect des droits fondamentaux et la reconnaissance des souverainetés étatiques, et de concilier par là le narratif de l’Europe des valeurs et celui de l’Europe de la diversité des identités constitutionnelles, là même où ils auraient pu être perçus comme divergents.</w:t>
      </w:r>
    </w:p>
    <w:p w14:paraId="326756A9" w14:textId="2BC9CD30" w:rsidR="008764D3" w:rsidRDefault="008764D3" w:rsidP="003506B2">
      <w:pPr>
        <w:ind w:firstLine="426"/>
        <w:contextualSpacing/>
        <w:jc w:val="both"/>
      </w:pPr>
      <w:r>
        <w:t>À la lumière de ce narratif du pluralisme constitutionnel, la Cour apparaît comme l’institution communautaire qui incarne peut-être le mieux l’interprétation cosmopolitique d’inspiration kantienne du design institutionnel de l’Union et de son devenir historico-politique</w:t>
      </w:r>
      <w:r w:rsidR="00C66BC8">
        <w:rPr>
          <w:rStyle w:val="Marquenotebasdepage"/>
        </w:rPr>
        <w:footnoteReference w:id="34"/>
      </w:r>
      <w:r>
        <w:t xml:space="preserve">, plus que la Commission, au profil davantage supranationaliste, que le Conseil, typiquement intergouvernemental, ou même que le Parlement, qui est certes plus mixte, mais qui n’est pas encore structurellement relié aux assemblées nationales des Etats membres, alors que la Cour entretient avec les organes judiciaires nationaux des relations historiques, très régulières et substantielles, ainsi qu’avec la Cour européenne des droits de l’homme. Promotrice active du « dialogue des juges », la Cour de justice de l’Union européenne dessine autour d’elle non seulement une communauté épistémique hybride et complexe, mais un ordre juridictionnel transnational, dont la cohérence se construit non pas de manière simplement verticale et linéaire, mais à travers des échanges circulaires entre les trois grands pôles que forment Luxembourg, Strasbourg et les juges nationaux, notamment les cours </w:t>
      </w:r>
      <w:r>
        <w:lastRenderedPageBreak/>
        <w:t xml:space="preserve">constitutionnelles, soit les trois pôles de ce que </w:t>
      </w:r>
      <w:proofErr w:type="spellStart"/>
      <w:r>
        <w:t>Lenaerts</w:t>
      </w:r>
      <w:proofErr w:type="spellEnd"/>
      <w:r>
        <w:t xml:space="preserve"> appelle – de manière très allemande, et même très kantienne – un « </w:t>
      </w:r>
      <w:proofErr w:type="spellStart"/>
      <w:r w:rsidRPr="00206F96">
        <w:rPr>
          <w:i/>
        </w:rPr>
        <w:t>Verfassungsbund</w:t>
      </w:r>
      <w:proofErr w:type="spellEnd"/>
      <w:r>
        <w:t> » ou un « </w:t>
      </w:r>
      <w:proofErr w:type="spellStart"/>
      <w:r w:rsidRPr="00B93FD0">
        <w:rPr>
          <w:i/>
        </w:rPr>
        <w:t>europä</w:t>
      </w:r>
      <w:r>
        <w:rPr>
          <w:i/>
        </w:rPr>
        <w:t>ische</w:t>
      </w:r>
      <w:proofErr w:type="spellEnd"/>
      <w:r>
        <w:rPr>
          <w:i/>
        </w:rPr>
        <w:t xml:space="preserve"> </w:t>
      </w:r>
      <w:proofErr w:type="spellStart"/>
      <w:r>
        <w:rPr>
          <w:i/>
        </w:rPr>
        <w:t>Richter</w:t>
      </w:r>
      <w:r w:rsidRPr="00B93FD0">
        <w:rPr>
          <w:i/>
        </w:rPr>
        <w:t>sverbund</w:t>
      </w:r>
      <w:proofErr w:type="spellEnd"/>
      <w:r w:rsidRPr="00B93FD0">
        <w:rPr>
          <w:i/>
        </w:rPr>
        <w:t> </w:t>
      </w:r>
      <w:r>
        <w:t>»</w:t>
      </w:r>
      <w:r>
        <w:rPr>
          <w:rStyle w:val="Marquenotebasdepage"/>
        </w:rPr>
        <w:footnoteReference w:id="35"/>
      </w:r>
      <w:r>
        <w:t xml:space="preserve">. </w:t>
      </w:r>
    </w:p>
    <w:p w14:paraId="41746E3B" w14:textId="77777777" w:rsidR="008764D3" w:rsidRDefault="008764D3" w:rsidP="003506B2">
      <w:pPr>
        <w:ind w:firstLine="426"/>
        <w:contextualSpacing/>
        <w:jc w:val="both"/>
      </w:pPr>
    </w:p>
    <w:p w14:paraId="3A959539" w14:textId="77777777" w:rsidR="00231C31" w:rsidRPr="004636E6" w:rsidRDefault="00231C31" w:rsidP="003506B2">
      <w:pPr>
        <w:ind w:firstLine="426"/>
        <w:contextualSpacing/>
        <w:jc w:val="both"/>
      </w:pPr>
    </w:p>
    <w:p w14:paraId="2AB5A94C" w14:textId="51EF0686" w:rsidR="008764D3" w:rsidRPr="00FE15A9" w:rsidRDefault="00C66BC8" w:rsidP="003506B2">
      <w:pPr>
        <w:ind w:firstLine="426"/>
        <w:contextualSpacing/>
        <w:jc w:val="both"/>
        <w:rPr>
          <w:rFonts w:eastAsia="Times New Roman"/>
          <w:color w:val="000000" w:themeColor="text1"/>
        </w:rPr>
      </w:pPr>
      <w:r>
        <w:rPr>
          <w:rFonts w:eastAsia="Times New Roman"/>
          <w:color w:val="000000" w:themeColor="text1"/>
        </w:rPr>
        <w:t xml:space="preserve">3. </w:t>
      </w:r>
      <w:r w:rsidR="008764D3" w:rsidRPr="00FE15A9">
        <w:rPr>
          <w:rFonts w:eastAsia="Times New Roman"/>
          <w:color w:val="000000" w:themeColor="text1"/>
        </w:rPr>
        <w:t>Conclusion</w:t>
      </w:r>
    </w:p>
    <w:p w14:paraId="162C969D" w14:textId="6EA4B789" w:rsidR="008764D3" w:rsidRDefault="008764D3" w:rsidP="003506B2">
      <w:pPr>
        <w:ind w:firstLine="426"/>
        <w:contextualSpacing/>
        <w:jc w:val="both"/>
      </w:pPr>
      <w:r>
        <w:t>Dans un ordre constitutionnel en construction comme l’Union européen</w:t>
      </w:r>
      <w:r w:rsidR="00D91FE0">
        <w:t xml:space="preserve">ne, les </w:t>
      </w:r>
      <w:proofErr w:type="gramStart"/>
      <w:r w:rsidR="00D91FE0">
        <w:t>narratifs</w:t>
      </w:r>
      <w:proofErr w:type="gramEnd"/>
      <w:r w:rsidR="00D91FE0">
        <w:t xml:space="preserve"> judiciaires, en tant que</w:t>
      </w:r>
      <w:r>
        <w:t xml:space="preserve"> matrices des pratiques narratives de la Cour, se forment en un lieu stratégique de légitimation métajuridique de sa jurisprudence. Ils forment une espèce de halo émis c</w:t>
      </w:r>
      <w:r w:rsidR="009B4975">
        <w:t>omme un « supplément d’âme » à s</w:t>
      </w:r>
      <w:r>
        <w:t>a production jurisprudentielle. Précisément pour cette raison, ils se situent aussi au lieu où cette production s’expose davantage à la contestation politique par le public (y compris les académiques, mais pas seulement), c’est-à-dire à l’émergence de « contre-narratifs » qui entrent avec les narratifs de la Cour dans ce que Vauchez appelle la « lutte pour la définition »</w:t>
      </w:r>
      <w:r>
        <w:rPr>
          <w:rStyle w:val="Marquenotebasdepage"/>
        </w:rPr>
        <w:footnoteReference w:id="36"/>
      </w:r>
      <w:r>
        <w:t xml:space="preserve"> de l’Union européenne et de ses finalités, « lutte pour la définition » qui est comme la face conflictuelle des communautés narratives, qui accompagne immanquablement le visage plus harmonieux et collaboratif du « dialogue entre les juges ». </w:t>
      </w:r>
    </w:p>
    <w:p w14:paraId="2E3A8190" w14:textId="25621BD3" w:rsidR="009B4975" w:rsidRDefault="008764D3" w:rsidP="003506B2">
      <w:pPr>
        <w:ind w:firstLine="426"/>
        <w:contextualSpacing/>
        <w:jc w:val="both"/>
      </w:pPr>
      <w:r>
        <w:t>L’</w:t>
      </w:r>
      <w:r w:rsidR="00D91FE0">
        <w:t>exemple du narratif</w:t>
      </w:r>
      <w:r>
        <w:t xml:space="preserve"> de l’Europe comme </w:t>
      </w:r>
      <w:r w:rsidR="00A652D3">
        <w:t>« </w:t>
      </w:r>
      <w:r>
        <w:t>ordre constitutionnel</w:t>
      </w:r>
      <w:r w:rsidR="00A652D3">
        <w:t> »</w:t>
      </w:r>
      <w:r>
        <w:t xml:space="preserve"> illustre en tout cas le fait que l’émergence, l’élaboration et la diffusion d’un narratif judiciaire sont solidaires de la construction d’une communauté épistémique autour de la Cour, formée par des échanges cognitifs et des mouvements de légitimation croisée, mais traversée aussi par des lignes de fractures, des oppositions sur les termes et le sens à donner aux récits judiciaires de l’Europe. Parce que les pratiques narratives de la Cour – fragments, séquences et matrices – se situent également au niveau méta-jurisprudentiel où se joue cette « lutte pour la définition » de l’Union et de ses finalités, ils mettent </w:t>
      </w:r>
      <w:r w:rsidRPr="005B1152">
        <w:rPr>
          <w:i/>
        </w:rPr>
        <w:t>de facto</w:t>
      </w:r>
      <w:r>
        <w:t xml:space="preserve"> l’instance juridictionnelle suprême à l’</w:t>
      </w:r>
      <w:r w:rsidR="009B4975">
        <w:t>épreuve de la question kantienne</w:t>
      </w:r>
      <w:r>
        <w:t xml:space="preserve"> du maître, dans sa version judiciaire : « qui juge le juge ? »</w:t>
      </w:r>
      <w:r w:rsidR="009B4975">
        <w:t xml:space="preserve"> </w:t>
      </w:r>
    </w:p>
    <w:p w14:paraId="479ABBE2" w14:textId="08DBA4C0" w:rsidR="008764D3" w:rsidRDefault="009B4975" w:rsidP="003506B2">
      <w:pPr>
        <w:ind w:firstLine="426"/>
        <w:contextualSpacing/>
        <w:jc w:val="both"/>
      </w:pPr>
      <w:r>
        <w:t xml:space="preserve">Face à une telle question, les matrices narratives offrent à la Cour des ressources discursives non pas seulement pour </w:t>
      </w:r>
      <w:r w:rsidRPr="00471CF9">
        <w:rPr>
          <w:i/>
        </w:rPr>
        <w:t>raconter</w:t>
      </w:r>
      <w:r>
        <w:t xml:space="preserve"> l’Europe, mais également pour </w:t>
      </w:r>
      <w:r w:rsidRPr="00471CF9">
        <w:rPr>
          <w:i/>
        </w:rPr>
        <w:t>reconstruire</w:t>
      </w:r>
      <w:r>
        <w:t xml:space="preserve"> réflexivement l’espace d’interprétation et de justification où son autorité prend place. Pour cette raison aussi, ces narratifs présentent à la fois une face interne et une face externe et exigent, pour être bien restitués et compris, une alternance des points de vue disciplinaires, respectivement orientés plutôt vers la reconstruction herméneutique des pratiques narratives de la Cour ou au contraire plutôt vers leur déconstruction critique. </w:t>
      </w:r>
      <w:r w:rsidR="00F5014F">
        <w:t xml:space="preserve">Le narratif, loin de se voir limité à un rôle marginal ou cosmétique, apparaît </w:t>
      </w:r>
      <w:r w:rsidR="00151FEC">
        <w:t>à cet égard</w:t>
      </w:r>
      <w:r w:rsidR="00F5014F">
        <w:t xml:space="preserve"> comme un objet particulièrement illustratif d’un paradigme théorico-juridique qui pose</w:t>
      </w:r>
      <w:r w:rsidR="00A06B09">
        <w:t>rait</w:t>
      </w:r>
      <w:r w:rsidR="00F5014F">
        <w:t xml:space="preserve"> le droit comme un </w:t>
      </w:r>
      <w:r w:rsidR="00F5014F" w:rsidRPr="002D577C">
        <w:rPr>
          <w:i/>
        </w:rPr>
        <w:t>système de communication normative</w:t>
      </w:r>
      <w:r w:rsidR="00F5014F">
        <w:t xml:space="preserve"> (</w:t>
      </w:r>
      <w:r w:rsidR="00F5014F" w:rsidRPr="00151FEC">
        <w:rPr>
          <w:i/>
        </w:rPr>
        <w:t>i.e.</w:t>
      </w:r>
      <w:r w:rsidR="00F5014F">
        <w:t xml:space="preserve"> de communication </w:t>
      </w:r>
      <w:r w:rsidR="00F5014F" w:rsidRPr="001621AA">
        <w:rPr>
          <w:i/>
        </w:rPr>
        <w:t xml:space="preserve">par </w:t>
      </w:r>
      <w:r w:rsidR="00F5014F">
        <w:t xml:space="preserve">les normes, </w:t>
      </w:r>
      <w:r w:rsidR="00F5014F" w:rsidRPr="001621AA">
        <w:rPr>
          <w:i/>
        </w:rPr>
        <w:t>sur</w:t>
      </w:r>
      <w:r w:rsidR="00F5014F">
        <w:t xml:space="preserve"> les normes et </w:t>
      </w:r>
      <w:r w:rsidR="00F5014F" w:rsidRPr="001621AA">
        <w:rPr>
          <w:i/>
        </w:rPr>
        <w:t>entre</w:t>
      </w:r>
      <w:r w:rsidR="000522D6">
        <w:t xml:space="preserve"> les normes). En p</w:t>
      </w:r>
      <w:r>
        <w:t xml:space="preserve">roduisant ses narratifs, le juge assume la double face du droit – qui est toujours à la fois norme d’action et fait social – et assure la communication inter-systémique en opérant à la fois </w:t>
      </w:r>
      <w:r w:rsidRPr="009362F4">
        <w:rPr>
          <w:i/>
        </w:rPr>
        <w:t>dans</w:t>
      </w:r>
      <w:r>
        <w:t xml:space="preserve"> le sous-système juridique et </w:t>
      </w:r>
      <w:r w:rsidRPr="009362F4">
        <w:rPr>
          <w:i/>
        </w:rPr>
        <w:t>sur</w:t>
      </w:r>
      <w:r>
        <w:t xml:space="preserve"> lui, </w:t>
      </w:r>
      <w:r w:rsidR="00650F45">
        <w:t>ainsi qu’</w:t>
      </w:r>
      <w:r w:rsidR="00650F45" w:rsidRPr="00650F45">
        <w:rPr>
          <w:i/>
        </w:rPr>
        <w:t>avec</w:t>
      </w:r>
      <w:r w:rsidRPr="00650F45">
        <w:rPr>
          <w:i/>
        </w:rPr>
        <w:t xml:space="preserve"> </w:t>
      </w:r>
      <w:r>
        <w:t>d’autres sous-systèmes. La doctrine – elle aussi doublement constituée, puisqu’elle opère à la croisée des systèmes juridique et académique – doit pouvoir à son tour assumer réflexiveme</w:t>
      </w:r>
      <w:r w:rsidR="000522D6">
        <w:t>nt cette duplicité, en articulant les descriptions internes et externes du système juridique</w:t>
      </w:r>
      <w:r w:rsidR="00151FEC">
        <w:t xml:space="preserve"> et de la production jurisprudentielle</w:t>
      </w:r>
      <w:r>
        <w:t>. C’est dans ce contexte à la fois interdisciplinaire et inter-systémique qu’on peut mesurer l’importance, la fécondité, mais aussi la complexité d’une approche par les narratifs judiciaires d’un acteur aussi</w:t>
      </w:r>
      <w:r w:rsidR="00910626">
        <w:t xml:space="preserve"> central et</w:t>
      </w:r>
      <w:r>
        <w:t xml:space="preserve"> </w:t>
      </w:r>
      <w:r w:rsidR="007253EA">
        <w:t xml:space="preserve">aussi </w:t>
      </w:r>
      <w:r>
        <w:t>multi-facette que la Cour de justice de l’Union européenne.</w:t>
      </w:r>
      <w:r w:rsidR="008764D3">
        <w:t xml:space="preserve"> </w:t>
      </w:r>
    </w:p>
    <w:p w14:paraId="1626A572" w14:textId="77777777" w:rsidR="006E3457" w:rsidRDefault="006E3457" w:rsidP="003506B2">
      <w:pPr>
        <w:contextualSpacing/>
      </w:pPr>
    </w:p>
    <w:sectPr w:rsidR="006E3457" w:rsidSect="00F1510B">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8E43FD" w14:textId="77777777" w:rsidR="007F4C21" w:rsidRDefault="007F4C21" w:rsidP="008764D3">
      <w:r>
        <w:separator/>
      </w:r>
    </w:p>
  </w:endnote>
  <w:endnote w:type="continuationSeparator" w:id="0">
    <w:p w14:paraId="4CE6BBB6" w14:textId="77777777" w:rsidR="007F4C21" w:rsidRDefault="007F4C21" w:rsidP="00876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A5BFCF" w14:textId="77777777" w:rsidR="007F4C21" w:rsidRDefault="007F4C21" w:rsidP="008764D3">
      <w:r>
        <w:separator/>
      </w:r>
    </w:p>
  </w:footnote>
  <w:footnote w:type="continuationSeparator" w:id="0">
    <w:p w14:paraId="1A078241" w14:textId="77777777" w:rsidR="007F4C21" w:rsidRDefault="007F4C21" w:rsidP="008764D3">
      <w:r>
        <w:continuationSeparator/>
      </w:r>
    </w:p>
  </w:footnote>
  <w:footnote w:id="1">
    <w:p w14:paraId="6AA521BA" w14:textId="7172A2B2" w:rsidR="007F4C21" w:rsidRDefault="007F4C21">
      <w:pPr>
        <w:pStyle w:val="Notedebasdepage"/>
      </w:pPr>
      <w:r>
        <w:rPr>
          <w:rStyle w:val="Marquenotebasdepage"/>
        </w:rPr>
        <w:footnoteRef/>
      </w:r>
      <w:r>
        <w:t xml:space="preserve"> </w:t>
      </w:r>
      <w:r>
        <w:rPr>
          <w:szCs w:val="20"/>
        </w:rPr>
        <w:t>A. BAILLEUX</w:t>
      </w:r>
      <w:r w:rsidRPr="004F0CBC">
        <w:rPr>
          <w:szCs w:val="20"/>
        </w:rPr>
        <w:t xml:space="preserve">, « Les récits judiciaires de l’Europe », in </w:t>
      </w:r>
      <w:r w:rsidRPr="004F0CBC">
        <w:rPr>
          <w:i/>
          <w:szCs w:val="20"/>
        </w:rPr>
        <w:t>Revue de l’Union européenne</w:t>
      </w:r>
      <w:r w:rsidRPr="004F0CBC">
        <w:rPr>
          <w:szCs w:val="20"/>
        </w:rPr>
        <w:t>, n°614, janvier 2018, p</w:t>
      </w:r>
      <w:r>
        <w:rPr>
          <w:szCs w:val="20"/>
        </w:rPr>
        <w:t>p</w:t>
      </w:r>
      <w:r w:rsidRPr="004F0CBC">
        <w:rPr>
          <w:szCs w:val="20"/>
        </w:rPr>
        <w:t>. 5-17, p. 7.</w:t>
      </w:r>
    </w:p>
  </w:footnote>
  <w:footnote w:id="2">
    <w:p w14:paraId="388D8951" w14:textId="284C0195" w:rsidR="00C362C7" w:rsidRDefault="00C362C7">
      <w:pPr>
        <w:pStyle w:val="Notedebasdepage"/>
      </w:pPr>
      <w:r>
        <w:rPr>
          <w:rStyle w:val="Marquenotebasdepage"/>
        </w:rPr>
        <w:footnoteRef/>
      </w:r>
      <w:r>
        <w:t xml:space="preserve"> </w:t>
      </w:r>
      <w:r>
        <w:rPr>
          <w:szCs w:val="20"/>
        </w:rPr>
        <w:t>P. RICOEUR</w:t>
      </w:r>
      <w:r w:rsidRPr="004F0CBC">
        <w:rPr>
          <w:szCs w:val="20"/>
        </w:rPr>
        <w:t xml:space="preserve">, </w:t>
      </w:r>
      <w:r w:rsidRPr="004F0CBC">
        <w:rPr>
          <w:i/>
          <w:szCs w:val="20"/>
        </w:rPr>
        <w:t>Temps et récit, Tome I</w:t>
      </w:r>
      <w:r w:rsidRPr="004F0CBC">
        <w:rPr>
          <w:szCs w:val="20"/>
        </w:rPr>
        <w:t>, Paris, Seuil, 1983, pp. 55 et s</w:t>
      </w:r>
      <w:r>
        <w:rPr>
          <w:szCs w:val="20"/>
        </w:rPr>
        <w:t>.</w:t>
      </w:r>
    </w:p>
  </w:footnote>
  <w:footnote w:id="3">
    <w:p w14:paraId="251A1DAE" w14:textId="77777777" w:rsidR="007F4C21" w:rsidRPr="00236CC6" w:rsidRDefault="007F4C21" w:rsidP="00D91FE0">
      <w:pPr>
        <w:rPr>
          <w:rFonts w:eastAsia="Times New Roman"/>
          <w:color w:val="000000" w:themeColor="text1"/>
          <w:sz w:val="20"/>
          <w:szCs w:val="20"/>
        </w:rPr>
      </w:pPr>
      <w:r w:rsidRPr="00236CC6">
        <w:rPr>
          <w:rStyle w:val="Marquenotebasdepage"/>
          <w:color w:val="000000" w:themeColor="text1"/>
          <w:sz w:val="20"/>
          <w:szCs w:val="20"/>
        </w:rPr>
        <w:footnoteRef/>
      </w:r>
      <w:r w:rsidRPr="00236CC6">
        <w:rPr>
          <w:color w:val="000000" w:themeColor="text1"/>
          <w:sz w:val="20"/>
          <w:szCs w:val="20"/>
        </w:rPr>
        <w:t xml:space="preserve"> </w:t>
      </w:r>
      <w:r w:rsidRPr="00236CC6">
        <w:rPr>
          <w:rFonts w:eastAsia="Times New Roman"/>
          <w:color w:val="000000" w:themeColor="text1"/>
          <w:sz w:val="20"/>
          <w:szCs w:val="20"/>
          <w:shd w:val="clear" w:color="auto" w:fill="FFFFFF"/>
        </w:rPr>
        <w:t>ECLI:EU:C:2001:458</w:t>
      </w:r>
      <w:r>
        <w:rPr>
          <w:rFonts w:eastAsia="Times New Roman"/>
          <w:color w:val="000000" w:themeColor="text1"/>
          <w:sz w:val="20"/>
          <w:szCs w:val="20"/>
          <w:shd w:val="clear" w:color="auto" w:fill="FFFFFF"/>
        </w:rPr>
        <w:t>, pt. 31.</w:t>
      </w:r>
    </w:p>
  </w:footnote>
  <w:footnote w:id="4">
    <w:p w14:paraId="1884355F"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J.-M. FERRY, </w:t>
      </w:r>
      <w:r w:rsidRPr="004F0CBC">
        <w:rPr>
          <w:i/>
          <w:szCs w:val="20"/>
        </w:rPr>
        <w:t>Les puissances de l’expérience, Tome I</w:t>
      </w:r>
      <w:r w:rsidRPr="004F0CBC">
        <w:rPr>
          <w:szCs w:val="20"/>
        </w:rPr>
        <w:t>, Paris, Cerf, 1991, p. 135.</w:t>
      </w:r>
    </w:p>
  </w:footnote>
  <w:footnote w:id="5">
    <w:p w14:paraId="23003915" w14:textId="68CF6400"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A. BAILLEUX, « Les récits judiciaires de l’Europe », </w:t>
      </w:r>
      <w:r>
        <w:rPr>
          <w:i/>
          <w:szCs w:val="20"/>
        </w:rPr>
        <w:t>op.cit</w:t>
      </w:r>
      <w:r w:rsidRPr="004F0CBC">
        <w:rPr>
          <w:i/>
          <w:szCs w:val="20"/>
        </w:rPr>
        <w:t>.</w:t>
      </w:r>
      <w:r w:rsidRPr="004F0CBC">
        <w:rPr>
          <w:szCs w:val="20"/>
        </w:rPr>
        <w:t>, p. 8, note 18.</w:t>
      </w:r>
    </w:p>
  </w:footnote>
  <w:footnote w:id="6">
    <w:p w14:paraId="5A9A9D9D" w14:textId="65E5975A" w:rsidR="007F4C21" w:rsidRPr="004F0CBC" w:rsidRDefault="007F4C21" w:rsidP="004F0CBC">
      <w:pPr>
        <w:contextualSpacing/>
        <w:rPr>
          <w:rFonts w:eastAsia="Times New Roman"/>
          <w:sz w:val="20"/>
          <w:szCs w:val="20"/>
        </w:rPr>
      </w:pPr>
      <w:r w:rsidRPr="004F0CBC">
        <w:rPr>
          <w:rStyle w:val="Marquenotebasdepage"/>
          <w:sz w:val="20"/>
          <w:szCs w:val="20"/>
        </w:rPr>
        <w:footnoteRef/>
      </w:r>
      <w:r w:rsidRPr="004F0CBC">
        <w:rPr>
          <w:sz w:val="20"/>
          <w:szCs w:val="20"/>
        </w:rPr>
        <w:t xml:space="preserve"> Cf. par exemple </w:t>
      </w:r>
      <w:r>
        <w:rPr>
          <w:rFonts w:eastAsia="Times New Roman"/>
          <w:color w:val="000000"/>
          <w:sz w:val="20"/>
          <w:szCs w:val="20"/>
          <w:shd w:val="clear" w:color="auto" w:fill="FFFFFF"/>
        </w:rPr>
        <w:t>C.</w:t>
      </w:r>
      <w:r w:rsidRPr="004F0CBC">
        <w:rPr>
          <w:rFonts w:eastAsia="Times New Roman"/>
          <w:color w:val="000000"/>
          <w:sz w:val="20"/>
          <w:szCs w:val="20"/>
          <w:shd w:val="clear" w:color="auto" w:fill="FFFFFF"/>
        </w:rPr>
        <w:t> </w:t>
      </w:r>
      <w:r>
        <w:rPr>
          <w:rFonts w:eastAsia="Times New Roman"/>
          <w:color w:val="000000"/>
          <w:sz w:val="20"/>
          <w:szCs w:val="20"/>
        </w:rPr>
        <w:t>CANTAT</w:t>
      </w:r>
      <w:r w:rsidRPr="004F0CBC">
        <w:rPr>
          <w:rFonts w:eastAsia="Times New Roman"/>
          <w:color w:val="000000"/>
          <w:sz w:val="20"/>
          <w:szCs w:val="20"/>
          <w:shd w:val="clear" w:color="auto" w:fill="FFFFFF"/>
        </w:rPr>
        <w:t xml:space="preserve">, «Narratives and </w:t>
      </w:r>
      <w:proofErr w:type="spellStart"/>
      <w:r w:rsidRPr="004F0CBC">
        <w:rPr>
          <w:rFonts w:eastAsia="Times New Roman"/>
          <w:color w:val="000000"/>
          <w:sz w:val="20"/>
          <w:szCs w:val="20"/>
          <w:shd w:val="clear" w:color="auto" w:fill="FFFFFF"/>
        </w:rPr>
        <w:t>counter</w:t>
      </w:r>
      <w:proofErr w:type="spellEnd"/>
      <w:r w:rsidRPr="004F0CBC">
        <w:rPr>
          <w:rFonts w:eastAsia="Times New Roman"/>
          <w:color w:val="000000"/>
          <w:sz w:val="20"/>
          <w:szCs w:val="20"/>
          <w:shd w:val="clear" w:color="auto" w:fill="FFFFFF"/>
        </w:rPr>
        <w:t xml:space="preserve">-narratives of Europe. </w:t>
      </w:r>
      <w:proofErr w:type="spellStart"/>
      <w:r w:rsidRPr="004F0CBC">
        <w:rPr>
          <w:rFonts w:eastAsia="Times New Roman"/>
          <w:color w:val="000000"/>
          <w:sz w:val="20"/>
          <w:szCs w:val="20"/>
          <w:shd w:val="clear" w:color="auto" w:fill="FFFFFF"/>
        </w:rPr>
        <w:t>Constructing</w:t>
      </w:r>
      <w:proofErr w:type="spellEnd"/>
      <w:r w:rsidRPr="004F0CBC">
        <w:rPr>
          <w:rFonts w:eastAsia="Times New Roman"/>
          <w:color w:val="000000"/>
          <w:sz w:val="20"/>
          <w:szCs w:val="20"/>
          <w:shd w:val="clear" w:color="auto" w:fill="FFFFFF"/>
        </w:rPr>
        <w:t xml:space="preserve"> and </w:t>
      </w:r>
      <w:proofErr w:type="spellStart"/>
      <w:r w:rsidRPr="004F0CBC">
        <w:rPr>
          <w:rFonts w:eastAsia="Times New Roman"/>
          <w:color w:val="000000"/>
          <w:sz w:val="20"/>
          <w:szCs w:val="20"/>
          <w:shd w:val="clear" w:color="auto" w:fill="FFFFFF"/>
        </w:rPr>
        <w:t>contesting</w:t>
      </w:r>
      <w:proofErr w:type="spellEnd"/>
      <w:r w:rsidRPr="004F0CBC">
        <w:rPr>
          <w:rFonts w:eastAsia="Times New Roman"/>
          <w:color w:val="000000"/>
          <w:sz w:val="20"/>
          <w:szCs w:val="20"/>
          <w:shd w:val="clear" w:color="auto" w:fill="FFFFFF"/>
        </w:rPr>
        <w:t xml:space="preserve"> </w:t>
      </w:r>
      <w:proofErr w:type="spellStart"/>
      <w:r w:rsidRPr="004F0CBC">
        <w:rPr>
          <w:rFonts w:eastAsia="Times New Roman"/>
          <w:color w:val="000000"/>
          <w:sz w:val="20"/>
          <w:szCs w:val="20"/>
          <w:shd w:val="clear" w:color="auto" w:fill="FFFFFF"/>
        </w:rPr>
        <w:t>Europeanity</w:t>
      </w:r>
      <w:proofErr w:type="spellEnd"/>
      <w:r w:rsidRPr="004F0CBC">
        <w:rPr>
          <w:rFonts w:eastAsia="Times New Roman"/>
          <w:color w:val="000000"/>
          <w:sz w:val="20"/>
          <w:szCs w:val="20"/>
          <w:shd w:val="clear" w:color="auto" w:fill="FFFFFF"/>
        </w:rPr>
        <w:t>.», </w:t>
      </w:r>
      <w:r w:rsidRPr="004F0CBC">
        <w:rPr>
          <w:rFonts w:eastAsia="Times New Roman"/>
          <w:i/>
          <w:iCs/>
          <w:color w:val="000000"/>
          <w:sz w:val="20"/>
          <w:szCs w:val="20"/>
        </w:rPr>
        <w:t>Cahiers Mémoire et Politique</w:t>
      </w:r>
      <w:r w:rsidRPr="004F0CBC">
        <w:rPr>
          <w:rFonts w:eastAsia="Times New Roman"/>
          <w:color w:val="000000"/>
          <w:sz w:val="20"/>
          <w:szCs w:val="20"/>
          <w:shd w:val="clear" w:color="auto" w:fill="FFFFFF"/>
        </w:rPr>
        <w:t xml:space="preserve"> [En ligne], Cahier n°3. Varia, </w:t>
      </w:r>
      <w:r>
        <w:rPr>
          <w:rFonts w:eastAsia="Times New Roman"/>
          <w:color w:val="000000"/>
          <w:sz w:val="20"/>
          <w:szCs w:val="20"/>
          <w:shd w:val="clear" w:color="auto" w:fill="FFFFFF"/>
        </w:rPr>
        <w:t xml:space="preserve">pp. </w:t>
      </w:r>
      <w:r w:rsidRPr="004F0CBC">
        <w:rPr>
          <w:rFonts w:eastAsia="Times New Roman"/>
          <w:color w:val="000000"/>
          <w:sz w:val="20"/>
          <w:szCs w:val="20"/>
          <w:shd w:val="clear" w:color="auto" w:fill="FFFFFF"/>
        </w:rPr>
        <w:t>5-30 URL : https://popups.uliege.be:443/2295-0311/index.php?id=138</w:t>
      </w:r>
      <w:r w:rsidRPr="004F0CBC">
        <w:rPr>
          <w:sz w:val="20"/>
          <w:szCs w:val="20"/>
        </w:rPr>
        <w:t xml:space="preserve"> : « narratives are stories </w:t>
      </w:r>
      <w:proofErr w:type="spellStart"/>
      <w:r w:rsidRPr="004F0CBC">
        <w:rPr>
          <w:sz w:val="20"/>
          <w:szCs w:val="20"/>
        </w:rPr>
        <w:t>that</w:t>
      </w:r>
      <w:proofErr w:type="spellEnd"/>
      <w:r w:rsidRPr="004F0CBC">
        <w:rPr>
          <w:sz w:val="20"/>
          <w:szCs w:val="20"/>
        </w:rPr>
        <w:t xml:space="preserve"> </w:t>
      </w:r>
      <w:proofErr w:type="spellStart"/>
      <w:r w:rsidRPr="004F0CBC">
        <w:rPr>
          <w:sz w:val="20"/>
          <w:szCs w:val="20"/>
        </w:rPr>
        <w:t>individuals</w:t>
      </w:r>
      <w:proofErr w:type="spellEnd"/>
      <w:r w:rsidRPr="004F0CBC">
        <w:rPr>
          <w:sz w:val="20"/>
          <w:szCs w:val="20"/>
        </w:rPr>
        <w:t xml:space="preserve"> and institutions tell </w:t>
      </w:r>
      <w:proofErr w:type="spellStart"/>
      <w:r w:rsidRPr="004F0CBC">
        <w:rPr>
          <w:sz w:val="20"/>
          <w:szCs w:val="20"/>
        </w:rPr>
        <w:t>themselves</w:t>
      </w:r>
      <w:proofErr w:type="spellEnd"/>
      <w:r w:rsidRPr="004F0CBC">
        <w:rPr>
          <w:sz w:val="20"/>
          <w:szCs w:val="20"/>
        </w:rPr>
        <w:t xml:space="preserve"> and </w:t>
      </w:r>
      <w:proofErr w:type="spellStart"/>
      <w:r w:rsidRPr="004F0CBC">
        <w:rPr>
          <w:sz w:val="20"/>
          <w:szCs w:val="20"/>
        </w:rPr>
        <w:t>others</w:t>
      </w:r>
      <w:proofErr w:type="spellEnd"/>
      <w:r w:rsidRPr="004F0CBC">
        <w:rPr>
          <w:sz w:val="20"/>
          <w:szCs w:val="20"/>
        </w:rPr>
        <w:t xml:space="preserve"> about the world </w:t>
      </w:r>
      <w:proofErr w:type="spellStart"/>
      <w:r w:rsidRPr="004F0CBC">
        <w:rPr>
          <w:sz w:val="20"/>
          <w:szCs w:val="20"/>
        </w:rPr>
        <w:t>they</w:t>
      </w:r>
      <w:proofErr w:type="spellEnd"/>
      <w:r w:rsidRPr="004F0CBC">
        <w:rPr>
          <w:sz w:val="20"/>
          <w:szCs w:val="20"/>
        </w:rPr>
        <w:t xml:space="preserve"> live in and </w:t>
      </w:r>
      <w:proofErr w:type="spellStart"/>
      <w:r w:rsidRPr="004F0CBC">
        <w:rPr>
          <w:sz w:val="20"/>
          <w:szCs w:val="20"/>
        </w:rPr>
        <w:t>their</w:t>
      </w:r>
      <w:proofErr w:type="spellEnd"/>
      <w:r w:rsidRPr="004F0CBC">
        <w:rPr>
          <w:sz w:val="20"/>
          <w:szCs w:val="20"/>
        </w:rPr>
        <w:t xml:space="preserve"> place </w:t>
      </w:r>
      <w:proofErr w:type="spellStart"/>
      <w:r w:rsidRPr="004F0CBC">
        <w:rPr>
          <w:sz w:val="20"/>
          <w:szCs w:val="20"/>
        </w:rPr>
        <w:t>within</w:t>
      </w:r>
      <w:proofErr w:type="spellEnd"/>
      <w:r w:rsidRPr="004F0CBC">
        <w:rPr>
          <w:sz w:val="20"/>
          <w:szCs w:val="20"/>
        </w:rPr>
        <w:t xml:space="preserve"> </w:t>
      </w:r>
      <w:proofErr w:type="spellStart"/>
      <w:r w:rsidRPr="004F0CBC">
        <w:rPr>
          <w:sz w:val="20"/>
          <w:szCs w:val="20"/>
        </w:rPr>
        <w:t>it</w:t>
      </w:r>
      <w:proofErr w:type="spellEnd"/>
      <w:r w:rsidRPr="004F0CBC">
        <w:rPr>
          <w:sz w:val="20"/>
          <w:szCs w:val="20"/>
        </w:rPr>
        <w:t> »</w:t>
      </w:r>
      <w:r>
        <w:rPr>
          <w:sz w:val="20"/>
          <w:szCs w:val="20"/>
        </w:rPr>
        <w:t>.</w:t>
      </w:r>
    </w:p>
  </w:footnote>
  <w:footnote w:id="7">
    <w:p w14:paraId="789D78B5" w14:textId="5EF03226"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A. BAILLEUX,</w:t>
      </w:r>
      <w:r>
        <w:rPr>
          <w:szCs w:val="20"/>
        </w:rPr>
        <w:t xml:space="preserve"> </w:t>
      </w:r>
      <w:r w:rsidRPr="004F0CBC">
        <w:rPr>
          <w:szCs w:val="20"/>
        </w:rPr>
        <w:t xml:space="preserve">« Les récits judiciaires de l’Europe »,  </w:t>
      </w:r>
      <w:r>
        <w:rPr>
          <w:i/>
          <w:szCs w:val="20"/>
        </w:rPr>
        <w:t>op.cit.,</w:t>
      </w:r>
      <w:r w:rsidRPr="004F0CBC">
        <w:rPr>
          <w:szCs w:val="20"/>
        </w:rPr>
        <w:t xml:space="preserve"> p. 9.</w:t>
      </w:r>
    </w:p>
  </w:footnote>
  <w:footnote w:id="8">
    <w:p w14:paraId="4C2CAE71" w14:textId="3FC0CCB9"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A. BAILLEUX, « Les récits judiciaires de l’Europe », </w:t>
      </w:r>
      <w:r>
        <w:rPr>
          <w:i/>
          <w:szCs w:val="20"/>
        </w:rPr>
        <w:t>op.cit.</w:t>
      </w:r>
      <w:r w:rsidRPr="004F0CBC">
        <w:rPr>
          <w:szCs w:val="20"/>
        </w:rPr>
        <w:t xml:space="preserve">, </w:t>
      </w:r>
      <w:r>
        <w:rPr>
          <w:szCs w:val="20"/>
        </w:rPr>
        <w:t>p. 9. P.</w:t>
      </w:r>
      <w:r w:rsidRPr="004F0CBC">
        <w:rPr>
          <w:szCs w:val="20"/>
        </w:rPr>
        <w:t xml:space="preserve"> P</w:t>
      </w:r>
      <w:r>
        <w:rPr>
          <w:szCs w:val="20"/>
        </w:rPr>
        <w:t>ESCATORE</w:t>
      </w:r>
      <w:r w:rsidRPr="004F0CBC">
        <w:rPr>
          <w:szCs w:val="20"/>
        </w:rPr>
        <w:t xml:space="preserve">, « The doctrine of ‘direct </w:t>
      </w:r>
      <w:proofErr w:type="spellStart"/>
      <w:r w:rsidRPr="004F0CBC">
        <w:rPr>
          <w:szCs w:val="20"/>
        </w:rPr>
        <w:t>effect</w:t>
      </w:r>
      <w:proofErr w:type="spellEnd"/>
      <w:r w:rsidRPr="004F0CBC">
        <w:rPr>
          <w:szCs w:val="20"/>
        </w:rPr>
        <w:t xml:space="preserve">’ : an infant </w:t>
      </w:r>
      <w:proofErr w:type="spellStart"/>
      <w:r w:rsidRPr="004F0CBC">
        <w:rPr>
          <w:szCs w:val="20"/>
        </w:rPr>
        <w:t>desease</w:t>
      </w:r>
      <w:proofErr w:type="spellEnd"/>
      <w:r w:rsidRPr="004F0CBC">
        <w:rPr>
          <w:szCs w:val="20"/>
        </w:rPr>
        <w:t xml:space="preserve"> of </w:t>
      </w:r>
      <w:proofErr w:type="spellStart"/>
      <w:r w:rsidRPr="004F0CBC">
        <w:rPr>
          <w:szCs w:val="20"/>
        </w:rPr>
        <w:t>community</w:t>
      </w:r>
      <w:proofErr w:type="spellEnd"/>
      <w:r w:rsidRPr="004F0CBC">
        <w:rPr>
          <w:szCs w:val="20"/>
        </w:rPr>
        <w:t xml:space="preserve"> </w:t>
      </w:r>
      <w:proofErr w:type="spellStart"/>
      <w:r w:rsidRPr="004F0CBC">
        <w:rPr>
          <w:szCs w:val="20"/>
        </w:rPr>
        <w:t>law</w:t>
      </w:r>
      <w:proofErr w:type="spellEnd"/>
      <w:r w:rsidRPr="004F0CBC">
        <w:rPr>
          <w:szCs w:val="20"/>
        </w:rPr>
        <w:t xml:space="preserve"> », </w:t>
      </w:r>
      <w:proofErr w:type="spellStart"/>
      <w:r w:rsidRPr="004F0CBC">
        <w:rPr>
          <w:i/>
          <w:szCs w:val="20"/>
        </w:rPr>
        <w:t>European</w:t>
      </w:r>
      <w:proofErr w:type="spellEnd"/>
      <w:r w:rsidRPr="004F0CBC">
        <w:rPr>
          <w:i/>
          <w:szCs w:val="20"/>
        </w:rPr>
        <w:t xml:space="preserve"> </w:t>
      </w:r>
      <w:proofErr w:type="spellStart"/>
      <w:r w:rsidRPr="004F0CBC">
        <w:rPr>
          <w:i/>
          <w:szCs w:val="20"/>
        </w:rPr>
        <w:t>law</w:t>
      </w:r>
      <w:proofErr w:type="spellEnd"/>
      <w:r w:rsidRPr="004F0CBC">
        <w:rPr>
          <w:i/>
          <w:szCs w:val="20"/>
        </w:rPr>
        <w:t xml:space="preserve"> </w:t>
      </w:r>
      <w:proofErr w:type="spellStart"/>
      <w:r w:rsidRPr="004F0CBC">
        <w:rPr>
          <w:i/>
          <w:szCs w:val="20"/>
        </w:rPr>
        <w:t>review</w:t>
      </w:r>
      <w:proofErr w:type="spellEnd"/>
      <w:r w:rsidRPr="004F0CBC">
        <w:rPr>
          <w:szCs w:val="20"/>
        </w:rPr>
        <w:t>, 198</w:t>
      </w:r>
      <w:r>
        <w:rPr>
          <w:szCs w:val="20"/>
        </w:rPr>
        <w:t>3, vol. 8, pp. 155-177, pp. 155,</w:t>
      </w:r>
      <w:r w:rsidRPr="004F0CBC">
        <w:rPr>
          <w:szCs w:val="20"/>
        </w:rPr>
        <w:t xml:space="preserve"> 157.</w:t>
      </w:r>
    </w:p>
  </w:footnote>
  <w:footnote w:id="9">
    <w:p w14:paraId="692CF419" w14:textId="0DA92E4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A. BAILLEUX</w:t>
      </w:r>
      <w:r>
        <w:rPr>
          <w:szCs w:val="20"/>
        </w:rPr>
        <w:t>,</w:t>
      </w:r>
      <w:r>
        <w:rPr>
          <w:i/>
          <w:szCs w:val="20"/>
        </w:rPr>
        <w:t xml:space="preserve"> </w:t>
      </w:r>
      <w:r w:rsidRPr="004F0CBC">
        <w:rPr>
          <w:szCs w:val="20"/>
        </w:rPr>
        <w:t xml:space="preserve">« Les récits judiciaires de l’Europe », </w:t>
      </w:r>
      <w:r>
        <w:rPr>
          <w:i/>
          <w:szCs w:val="20"/>
        </w:rPr>
        <w:t>op.cit.</w:t>
      </w:r>
      <w:r w:rsidRPr="004F0CBC">
        <w:rPr>
          <w:szCs w:val="20"/>
        </w:rPr>
        <w:t>, p. 10.</w:t>
      </w:r>
    </w:p>
  </w:footnote>
  <w:footnote w:id="10">
    <w:p w14:paraId="7C9D551F" w14:textId="029E2A93" w:rsidR="007F4C21" w:rsidRPr="004F0CBC" w:rsidRDefault="007F4C21" w:rsidP="004F0CBC">
      <w:pPr>
        <w:contextualSpacing/>
        <w:rPr>
          <w:rFonts w:eastAsia="Times New Roman"/>
          <w:color w:val="000000" w:themeColor="text1"/>
          <w:sz w:val="20"/>
          <w:szCs w:val="20"/>
        </w:rPr>
      </w:pPr>
      <w:r w:rsidRPr="004F0CBC">
        <w:rPr>
          <w:rStyle w:val="Marquenotebasdepage"/>
          <w:sz w:val="20"/>
          <w:szCs w:val="20"/>
        </w:rPr>
        <w:footnoteRef/>
      </w:r>
      <w:r w:rsidRPr="004F0CBC">
        <w:rPr>
          <w:sz w:val="20"/>
          <w:szCs w:val="20"/>
        </w:rPr>
        <w:t xml:space="preserve"> </w:t>
      </w:r>
      <w:r w:rsidRPr="004F0CBC">
        <w:rPr>
          <w:color w:val="000000" w:themeColor="text1"/>
          <w:sz w:val="20"/>
          <w:szCs w:val="20"/>
        </w:rPr>
        <w:t>P. HAAS, « </w:t>
      </w:r>
      <w:proofErr w:type="spellStart"/>
      <w:r w:rsidRPr="004F0CBC">
        <w:rPr>
          <w:color w:val="000000" w:themeColor="text1"/>
          <w:sz w:val="20"/>
          <w:szCs w:val="20"/>
        </w:rPr>
        <w:t>Epistemic</w:t>
      </w:r>
      <w:proofErr w:type="spellEnd"/>
      <w:r w:rsidRPr="004F0CBC">
        <w:rPr>
          <w:color w:val="000000" w:themeColor="text1"/>
          <w:sz w:val="20"/>
          <w:szCs w:val="20"/>
        </w:rPr>
        <w:t xml:space="preserve"> </w:t>
      </w:r>
      <w:proofErr w:type="spellStart"/>
      <w:r w:rsidRPr="004F0CBC">
        <w:rPr>
          <w:color w:val="000000" w:themeColor="text1"/>
          <w:sz w:val="20"/>
          <w:szCs w:val="20"/>
        </w:rPr>
        <w:t>communities</w:t>
      </w:r>
      <w:proofErr w:type="spellEnd"/>
      <w:r w:rsidRPr="004F0CBC">
        <w:rPr>
          <w:color w:val="000000" w:themeColor="text1"/>
          <w:sz w:val="20"/>
          <w:szCs w:val="20"/>
        </w:rPr>
        <w:t xml:space="preserve"> international </w:t>
      </w:r>
      <w:proofErr w:type="spellStart"/>
      <w:r w:rsidRPr="004F0CBC">
        <w:rPr>
          <w:color w:val="000000" w:themeColor="text1"/>
          <w:sz w:val="20"/>
          <w:szCs w:val="20"/>
        </w:rPr>
        <w:t>policy</w:t>
      </w:r>
      <w:proofErr w:type="spellEnd"/>
      <w:r w:rsidRPr="004F0CBC">
        <w:rPr>
          <w:color w:val="000000" w:themeColor="text1"/>
          <w:sz w:val="20"/>
          <w:szCs w:val="20"/>
        </w:rPr>
        <w:t xml:space="preserve"> coordination », in</w:t>
      </w:r>
      <w:r w:rsidRPr="004F0CBC">
        <w:rPr>
          <w:i/>
          <w:color w:val="000000" w:themeColor="text1"/>
          <w:sz w:val="20"/>
          <w:szCs w:val="20"/>
        </w:rPr>
        <w:t xml:space="preserve"> International </w:t>
      </w:r>
      <w:proofErr w:type="spellStart"/>
      <w:r w:rsidRPr="004F0CBC">
        <w:rPr>
          <w:i/>
          <w:color w:val="000000" w:themeColor="text1"/>
          <w:sz w:val="20"/>
          <w:szCs w:val="20"/>
        </w:rPr>
        <w:t>organization</w:t>
      </w:r>
      <w:proofErr w:type="spellEnd"/>
      <w:r w:rsidRPr="004F0CBC">
        <w:rPr>
          <w:color w:val="000000" w:themeColor="text1"/>
          <w:sz w:val="20"/>
          <w:szCs w:val="20"/>
        </w:rPr>
        <w:t>, 1992, 46/1</w:t>
      </w:r>
      <w:r>
        <w:rPr>
          <w:color w:val="000000" w:themeColor="text1"/>
          <w:sz w:val="20"/>
          <w:szCs w:val="20"/>
        </w:rPr>
        <w:t>,</w:t>
      </w:r>
      <w:r w:rsidRPr="004F0CBC">
        <w:rPr>
          <w:color w:val="000000" w:themeColor="text1"/>
          <w:sz w:val="20"/>
          <w:szCs w:val="20"/>
        </w:rPr>
        <w:t xml:space="preserve"> pp. 1-35, p. 3. Cité et traduit par M.</w:t>
      </w:r>
      <w:r w:rsidRPr="004F0CBC">
        <w:rPr>
          <w:rFonts w:eastAsia="Times New Roman"/>
          <w:color w:val="000000" w:themeColor="text1"/>
          <w:sz w:val="20"/>
          <w:szCs w:val="20"/>
        </w:rPr>
        <w:t xml:space="preserve"> MEYER</w:t>
      </w:r>
      <w:r w:rsidRPr="004F0CBC">
        <w:rPr>
          <w:rFonts w:eastAsia="Times New Roman"/>
          <w:color w:val="000000" w:themeColor="text1"/>
          <w:sz w:val="20"/>
          <w:szCs w:val="20"/>
          <w:shd w:val="clear" w:color="auto" w:fill="FFFFFF"/>
        </w:rPr>
        <w:t xml:space="preserve"> et S. </w:t>
      </w:r>
      <w:r w:rsidRPr="004F0CBC">
        <w:rPr>
          <w:rFonts w:eastAsia="Times New Roman"/>
          <w:color w:val="000000" w:themeColor="text1"/>
          <w:sz w:val="20"/>
          <w:szCs w:val="20"/>
        </w:rPr>
        <w:t>MOLYNEUX-HOGSON</w:t>
      </w:r>
      <w:r>
        <w:rPr>
          <w:rFonts w:eastAsia="Times New Roman"/>
          <w:color w:val="000000" w:themeColor="text1"/>
          <w:sz w:val="20"/>
          <w:szCs w:val="20"/>
          <w:shd w:val="clear" w:color="auto" w:fill="FFFFFF"/>
        </w:rPr>
        <w:t>, « ‘Communautés épistémiques’</w:t>
      </w:r>
      <w:r w:rsidRPr="004F0CBC">
        <w:rPr>
          <w:rFonts w:eastAsia="Times New Roman"/>
          <w:color w:val="000000" w:themeColor="text1"/>
          <w:sz w:val="20"/>
          <w:szCs w:val="20"/>
          <w:shd w:val="clear" w:color="auto" w:fill="FFFFFF"/>
        </w:rPr>
        <w:t xml:space="preserve"> : une notion utile pour théoriser les collectifs en sciences ? », </w:t>
      </w:r>
      <w:r w:rsidRPr="004F0CBC">
        <w:rPr>
          <w:rFonts w:eastAsia="Times New Roman"/>
          <w:i/>
          <w:iCs/>
          <w:color w:val="000000" w:themeColor="text1"/>
          <w:sz w:val="20"/>
          <w:szCs w:val="20"/>
        </w:rPr>
        <w:t>Terrains &amp; travaux</w:t>
      </w:r>
      <w:r w:rsidRPr="004F0CBC">
        <w:rPr>
          <w:rFonts w:eastAsia="Times New Roman"/>
          <w:color w:val="000000" w:themeColor="text1"/>
          <w:sz w:val="20"/>
          <w:szCs w:val="20"/>
          <w:shd w:val="clear" w:color="auto" w:fill="FFFFFF"/>
        </w:rPr>
        <w:t xml:space="preserve">, vol. 18, no. 1, 2011, </w:t>
      </w:r>
      <w:r>
        <w:rPr>
          <w:rFonts w:eastAsia="Times New Roman"/>
          <w:color w:val="000000" w:themeColor="text1"/>
          <w:sz w:val="20"/>
          <w:szCs w:val="20"/>
          <w:shd w:val="clear" w:color="auto" w:fill="FFFFFF"/>
        </w:rPr>
        <w:t>p</w:t>
      </w:r>
      <w:r w:rsidRPr="004F0CBC">
        <w:rPr>
          <w:rFonts w:eastAsia="Times New Roman"/>
          <w:color w:val="000000" w:themeColor="text1"/>
          <w:sz w:val="20"/>
          <w:szCs w:val="20"/>
          <w:shd w:val="clear" w:color="auto" w:fill="FFFFFF"/>
        </w:rPr>
        <w:t>p. 141-154, p. 143.</w:t>
      </w:r>
    </w:p>
  </w:footnote>
  <w:footnote w:id="11">
    <w:p w14:paraId="3AD771A2"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sidRPr="004F0CBC">
        <w:rPr>
          <w:color w:val="000000" w:themeColor="text1"/>
          <w:szCs w:val="20"/>
        </w:rPr>
        <w:t>M.</w:t>
      </w:r>
      <w:r w:rsidRPr="004F0CBC">
        <w:rPr>
          <w:rFonts w:eastAsia="Times New Roman"/>
          <w:color w:val="000000" w:themeColor="text1"/>
          <w:szCs w:val="20"/>
        </w:rPr>
        <w:t xml:space="preserve"> MEYER</w:t>
      </w:r>
      <w:r w:rsidRPr="004F0CBC">
        <w:rPr>
          <w:rFonts w:eastAsia="Times New Roman"/>
          <w:color w:val="000000" w:themeColor="text1"/>
          <w:szCs w:val="20"/>
          <w:shd w:val="clear" w:color="auto" w:fill="FFFFFF"/>
        </w:rPr>
        <w:t xml:space="preserve"> et S. </w:t>
      </w:r>
      <w:r w:rsidRPr="004F0CBC">
        <w:rPr>
          <w:rFonts w:eastAsia="Times New Roman"/>
          <w:color w:val="000000" w:themeColor="text1"/>
          <w:szCs w:val="20"/>
        </w:rPr>
        <w:t>MOLYNEUX-HOGSON</w:t>
      </w:r>
      <w:r w:rsidRPr="004F0CBC">
        <w:rPr>
          <w:rFonts w:eastAsia="Times New Roman"/>
          <w:color w:val="000000" w:themeColor="text1"/>
          <w:szCs w:val="20"/>
          <w:shd w:val="clear" w:color="auto" w:fill="FFFFFF"/>
        </w:rPr>
        <w:t xml:space="preserve">, </w:t>
      </w:r>
      <w:r w:rsidRPr="004F0CBC">
        <w:rPr>
          <w:rFonts w:eastAsia="Times New Roman"/>
          <w:i/>
          <w:color w:val="000000" w:themeColor="text1"/>
          <w:szCs w:val="20"/>
          <w:shd w:val="clear" w:color="auto" w:fill="FFFFFF"/>
        </w:rPr>
        <w:t>op.cit.</w:t>
      </w:r>
      <w:r w:rsidRPr="004F0CBC">
        <w:rPr>
          <w:rFonts w:eastAsia="Times New Roman"/>
          <w:color w:val="000000" w:themeColor="text1"/>
          <w:szCs w:val="20"/>
          <w:shd w:val="clear" w:color="auto" w:fill="FFFFFF"/>
        </w:rPr>
        <w:t>, p. 141.</w:t>
      </w:r>
    </w:p>
  </w:footnote>
  <w:footnote w:id="12">
    <w:p w14:paraId="762F38ED" w14:textId="7B253689" w:rsidR="007F4C21" w:rsidRPr="004F0CBC" w:rsidRDefault="007F4C21" w:rsidP="004F0CBC">
      <w:pPr>
        <w:pStyle w:val="Notedebasdepage"/>
        <w:contextualSpacing/>
        <w:rPr>
          <w:szCs w:val="20"/>
        </w:rPr>
      </w:pPr>
      <w:r w:rsidRPr="004F0CBC">
        <w:rPr>
          <w:rStyle w:val="Marquenotebasdepage"/>
          <w:szCs w:val="20"/>
        </w:rPr>
        <w:footnoteRef/>
      </w:r>
      <w:r>
        <w:rPr>
          <w:szCs w:val="20"/>
        </w:rPr>
        <w:t xml:space="preserve"> A. VAUCHEZ et C. ROBERT</w:t>
      </w:r>
      <w:r w:rsidRPr="004F0CBC">
        <w:rPr>
          <w:szCs w:val="20"/>
        </w:rPr>
        <w:t>, « L’Académie européenne</w:t>
      </w:r>
      <w:r>
        <w:rPr>
          <w:szCs w:val="20"/>
        </w:rPr>
        <w:t>. Savoirs, experts et savants dans le gouvernement de l’Europe</w:t>
      </w:r>
      <w:r w:rsidRPr="004F0CBC">
        <w:rPr>
          <w:szCs w:val="20"/>
        </w:rPr>
        <w:t> »,</w:t>
      </w:r>
      <w:r>
        <w:rPr>
          <w:szCs w:val="20"/>
        </w:rPr>
        <w:t xml:space="preserve"> </w:t>
      </w:r>
      <w:proofErr w:type="spellStart"/>
      <w:r>
        <w:rPr>
          <w:i/>
          <w:szCs w:val="20"/>
        </w:rPr>
        <w:t>Politix</w:t>
      </w:r>
      <w:proofErr w:type="spellEnd"/>
      <w:r w:rsidRPr="00BA0BDE">
        <w:rPr>
          <w:szCs w:val="20"/>
        </w:rPr>
        <w:t>, 2010/1</w:t>
      </w:r>
      <w:r>
        <w:rPr>
          <w:i/>
          <w:szCs w:val="20"/>
        </w:rPr>
        <w:t>,</w:t>
      </w:r>
      <w:r w:rsidRPr="004F0CBC">
        <w:rPr>
          <w:szCs w:val="20"/>
        </w:rPr>
        <w:t xml:space="preserve"> </w:t>
      </w:r>
      <w:r>
        <w:rPr>
          <w:szCs w:val="20"/>
        </w:rPr>
        <w:t xml:space="preserve">n°89, pp. 9-34, </w:t>
      </w:r>
      <w:r w:rsidRPr="004F0CBC">
        <w:rPr>
          <w:szCs w:val="20"/>
        </w:rPr>
        <w:t>p</w:t>
      </w:r>
      <w:r>
        <w:rPr>
          <w:szCs w:val="20"/>
        </w:rPr>
        <w:t>p. 11, 12 et</w:t>
      </w:r>
      <w:r w:rsidRPr="004F0CBC">
        <w:rPr>
          <w:szCs w:val="20"/>
        </w:rPr>
        <w:t xml:space="preserve"> 18.</w:t>
      </w:r>
    </w:p>
  </w:footnote>
  <w:footnote w:id="13">
    <w:p w14:paraId="0CA7DD94" w14:textId="126E838C"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Pr>
          <w:szCs w:val="20"/>
        </w:rPr>
        <w:t>E. STEIN</w:t>
      </w:r>
      <w:r w:rsidRPr="004F0CBC">
        <w:rPr>
          <w:szCs w:val="20"/>
        </w:rPr>
        <w:t>, « </w:t>
      </w:r>
      <w:proofErr w:type="spellStart"/>
      <w:r w:rsidRPr="004F0CBC">
        <w:rPr>
          <w:szCs w:val="20"/>
        </w:rPr>
        <w:t>Lawyers</w:t>
      </w:r>
      <w:proofErr w:type="spellEnd"/>
      <w:r w:rsidRPr="004F0CBC">
        <w:rPr>
          <w:szCs w:val="20"/>
        </w:rPr>
        <w:t xml:space="preserve">, </w:t>
      </w:r>
      <w:proofErr w:type="spellStart"/>
      <w:r w:rsidRPr="004F0CBC">
        <w:rPr>
          <w:szCs w:val="20"/>
        </w:rPr>
        <w:t>judges</w:t>
      </w:r>
      <w:proofErr w:type="spellEnd"/>
      <w:r w:rsidRPr="004F0CBC">
        <w:rPr>
          <w:szCs w:val="20"/>
        </w:rPr>
        <w:t xml:space="preserve"> and the </w:t>
      </w:r>
      <w:proofErr w:type="spellStart"/>
      <w:r w:rsidRPr="004F0CBC">
        <w:rPr>
          <w:szCs w:val="20"/>
        </w:rPr>
        <w:t>making</w:t>
      </w:r>
      <w:proofErr w:type="spellEnd"/>
      <w:r w:rsidRPr="004F0CBC">
        <w:rPr>
          <w:szCs w:val="20"/>
        </w:rPr>
        <w:t xml:space="preserve"> of a transnational constitution », p</w:t>
      </w:r>
      <w:r>
        <w:rPr>
          <w:szCs w:val="20"/>
        </w:rPr>
        <w:t>p</w:t>
      </w:r>
      <w:r w:rsidRPr="004F0CBC">
        <w:rPr>
          <w:szCs w:val="20"/>
        </w:rPr>
        <w:t>. 1-27, p. 1.</w:t>
      </w:r>
    </w:p>
  </w:footnote>
  <w:footnote w:id="14">
    <w:p w14:paraId="1EEC2573"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https://curia.europa.eu/jcms/jcms/P_95693/fr/</w:t>
      </w:r>
    </w:p>
  </w:footnote>
  <w:footnote w:id="15">
    <w:p w14:paraId="64656678"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CJCE, 23 avril 1986, </w:t>
      </w:r>
      <w:proofErr w:type="spellStart"/>
      <w:r w:rsidRPr="004F0CBC">
        <w:rPr>
          <w:szCs w:val="20"/>
        </w:rPr>
        <w:t>aff.</w:t>
      </w:r>
      <w:proofErr w:type="spellEnd"/>
      <w:r w:rsidRPr="004F0CBC">
        <w:rPr>
          <w:szCs w:val="20"/>
        </w:rPr>
        <w:t xml:space="preserve"> C-294/83, Parti écologiste « Les Verts » c/ Parlement européen,  ECLI:EU:C:1986:166, pt. 23.</w:t>
      </w:r>
    </w:p>
  </w:footnote>
  <w:footnote w:id="16">
    <w:p w14:paraId="2119048E" w14:textId="0C77211A" w:rsidR="007F4C21" w:rsidRPr="004F0CBC" w:rsidRDefault="007F4C21" w:rsidP="004F0CBC">
      <w:pPr>
        <w:pStyle w:val="Notedebasdepage"/>
        <w:contextualSpacing/>
        <w:rPr>
          <w:szCs w:val="20"/>
        </w:rPr>
      </w:pPr>
      <w:r w:rsidRPr="004F0CBC">
        <w:rPr>
          <w:rStyle w:val="Marquenotebasdepage"/>
          <w:szCs w:val="20"/>
        </w:rPr>
        <w:footnoteRef/>
      </w:r>
      <w:r>
        <w:rPr>
          <w:szCs w:val="20"/>
        </w:rPr>
        <w:t xml:space="preserve"> J. H. H. WEILER</w:t>
      </w:r>
      <w:r w:rsidRPr="004F0CBC">
        <w:rPr>
          <w:szCs w:val="20"/>
        </w:rPr>
        <w:t xml:space="preserve">, « Transformation of Europe », </w:t>
      </w:r>
      <w:r w:rsidR="0045200C">
        <w:rPr>
          <w:i/>
          <w:szCs w:val="20"/>
        </w:rPr>
        <w:t xml:space="preserve">The Yale Law </w:t>
      </w:r>
      <w:r w:rsidR="0045200C">
        <w:rPr>
          <w:i/>
          <w:szCs w:val="20"/>
        </w:rPr>
        <w:t>J</w:t>
      </w:r>
      <w:bookmarkStart w:id="0" w:name="_GoBack"/>
      <w:bookmarkEnd w:id="0"/>
      <w:r>
        <w:rPr>
          <w:i/>
          <w:szCs w:val="20"/>
        </w:rPr>
        <w:t xml:space="preserve">ournal, </w:t>
      </w:r>
      <w:r>
        <w:rPr>
          <w:szCs w:val="20"/>
        </w:rPr>
        <w:t xml:space="preserve">vol. 100, n°8, </w:t>
      </w:r>
      <w:proofErr w:type="spellStart"/>
      <w:r>
        <w:rPr>
          <w:szCs w:val="20"/>
        </w:rPr>
        <w:t>jun</w:t>
      </w:r>
      <w:proofErr w:type="spellEnd"/>
      <w:r>
        <w:rPr>
          <w:szCs w:val="20"/>
        </w:rPr>
        <w:t xml:space="preserve">. 1991, pp. 2403-2483, </w:t>
      </w:r>
      <w:r w:rsidRPr="004F0CBC">
        <w:rPr>
          <w:szCs w:val="20"/>
        </w:rPr>
        <w:t>p. 2426.</w:t>
      </w:r>
    </w:p>
  </w:footnote>
  <w:footnote w:id="17">
    <w:p w14:paraId="57D071D5" w14:textId="360B9025"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Pr>
          <w:szCs w:val="20"/>
        </w:rPr>
        <w:t>P. PESCATORE</w:t>
      </w:r>
      <w:r w:rsidRPr="004F0CBC">
        <w:rPr>
          <w:szCs w:val="20"/>
        </w:rPr>
        <w:t xml:space="preserve">, « Rôle et chance du droit et des juges dans la construction de l’Europe », in </w:t>
      </w:r>
      <w:r w:rsidRPr="004F0CBC">
        <w:rPr>
          <w:i/>
          <w:szCs w:val="20"/>
        </w:rPr>
        <w:t>Revue internationale de droit comparée</w:t>
      </w:r>
      <w:r w:rsidRPr="004F0CBC">
        <w:rPr>
          <w:szCs w:val="20"/>
        </w:rPr>
        <w:t>, vol. 26, n°1, Janvier-mars 1974, p</w:t>
      </w:r>
      <w:r>
        <w:rPr>
          <w:szCs w:val="20"/>
        </w:rPr>
        <w:t>p</w:t>
      </w:r>
      <w:r w:rsidRPr="004F0CBC">
        <w:rPr>
          <w:szCs w:val="20"/>
        </w:rPr>
        <w:t>. 5-19, p</w:t>
      </w:r>
      <w:r>
        <w:rPr>
          <w:szCs w:val="20"/>
        </w:rPr>
        <w:t>p</w:t>
      </w:r>
      <w:r w:rsidRPr="004F0CBC">
        <w:rPr>
          <w:szCs w:val="20"/>
        </w:rPr>
        <w:t>. 8 et 12.</w:t>
      </w:r>
    </w:p>
  </w:footnote>
  <w:footnote w:id="18">
    <w:p w14:paraId="72ABE5B2" w14:textId="3EA2A9E0" w:rsidR="007F4C21" w:rsidRPr="004F0CBC" w:rsidRDefault="007F4C21" w:rsidP="004F0CBC">
      <w:pPr>
        <w:pStyle w:val="Notedebasdepage"/>
        <w:contextualSpacing/>
        <w:rPr>
          <w:color w:val="000000" w:themeColor="text1"/>
          <w:szCs w:val="20"/>
        </w:rPr>
      </w:pPr>
      <w:r w:rsidRPr="004F0CBC">
        <w:rPr>
          <w:rStyle w:val="Marquenotebasdepage"/>
          <w:szCs w:val="20"/>
        </w:rPr>
        <w:footnoteRef/>
      </w:r>
      <w:r w:rsidRPr="004F0CBC">
        <w:rPr>
          <w:szCs w:val="20"/>
        </w:rPr>
        <w:t xml:space="preserve"> </w:t>
      </w:r>
      <w:r>
        <w:rPr>
          <w:szCs w:val="20"/>
        </w:rPr>
        <w:t xml:space="preserve">K. LENAERTS, </w:t>
      </w:r>
      <w:r w:rsidRPr="004F0CBC">
        <w:rPr>
          <w:szCs w:val="20"/>
        </w:rPr>
        <w:t xml:space="preserve">Discours de rentrée à l’IEE de </w:t>
      </w:r>
      <w:r>
        <w:rPr>
          <w:color w:val="000000" w:themeColor="text1"/>
          <w:szCs w:val="20"/>
        </w:rPr>
        <w:t>l’Université libre de Bruxelles</w:t>
      </w:r>
      <w:r w:rsidRPr="004F0CBC">
        <w:rPr>
          <w:szCs w:val="20"/>
        </w:rPr>
        <w:t xml:space="preserve"> </w:t>
      </w:r>
      <w:r w:rsidRPr="004F0CBC">
        <w:rPr>
          <w:color w:val="000000" w:themeColor="text1"/>
          <w:szCs w:val="20"/>
        </w:rPr>
        <w:t>le 14 octobre 2016, https://www.youtube.com/watch?v=me2OrygtIWY</w:t>
      </w:r>
    </w:p>
  </w:footnote>
  <w:footnote w:id="19">
    <w:p w14:paraId="4797DE64" w14:textId="1B9777A8" w:rsidR="007F4C21" w:rsidRPr="004F0CBC" w:rsidRDefault="007F4C21" w:rsidP="00333CB5">
      <w:pPr>
        <w:pStyle w:val="Notedebasdepage"/>
        <w:contextualSpacing/>
        <w:rPr>
          <w:szCs w:val="20"/>
        </w:rPr>
      </w:pPr>
      <w:r w:rsidRPr="004F0CBC">
        <w:rPr>
          <w:rStyle w:val="Marquenotebasdepage"/>
          <w:szCs w:val="20"/>
        </w:rPr>
        <w:footnoteRef/>
      </w:r>
      <w:r>
        <w:rPr>
          <w:szCs w:val="20"/>
        </w:rPr>
        <w:t xml:space="preserve"> H. RASMUSSEN</w:t>
      </w:r>
      <w:r w:rsidRPr="004F0CBC">
        <w:rPr>
          <w:szCs w:val="20"/>
        </w:rPr>
        <w:t xml:space="preserve">, </w:t>
      </w:r>
      <w:r w:rsidR="00DF7124">
        <w:rPr>
          <w:i/>
          <w:szCs w:val="20"/>
        </w:rPr>
        <w:t xml:space="preserve">On Law and Policy in the </w:t>
      </w:r>
      <w:proofErr w:type="spellStart"/>
      <w:r w:rsidR="00DF7124">
        <w:rPr>
          <w:i/>
          <w:szCs w:val="20"/>
        </w:rPr>
        <w:t>European</w:t>
      </w:r>
      <w:proofErr w:type="spellEnd"/>
      <w:r w:rsidR="00DF7124">
        <w:rPr>
          <w:i/>
          <w:szCs w:val="20"/>
        </w:rPr>
        <w:t xml:space="preserve"> </w:t>
      </w:r>
      <w:proofErr w:type="spellStart"/>
      <w:r w:rsidR="00DF7124">
        <w:rPr>
          <w:i/>
          <w:szCs w:val="20"/>
        </w:rPr>
        <w:t>Eourt</w:t>
      </w:r>
      <w:proofErr w:type="spellEnd"/>
      <w:r w:rsidR="00DF7124">
        <w:rPr>
          <w:i/>
          <w:szCs w:val="20"/>
        </w:rPr>
        <w:t xml:space="preserve"> of J</w:t>
      </w:r>
      <w:r w:rsidRPr="004F0CBC">
        <w:rPr>
          <w:i/>
          <w:szCs w:val="20"/>
        </w:rPr>
        <w:t>ustice</w:t>
      </w:r>
      <w:r w:rsidRPr="004F0CBC">
        <w:rPr>
          <w:szCs w:val="20"/>
        </w:rPr>
        <w:t xml:space="preserve">, Dordrecht, </w:t>
      </w:r>
      <w:proofErr w:type="spellStart"/>
      <w:r w:rsidRPr="004F0CBC">
        <w:rPr>
          <w:szCs w:val="20"/>
        </w:rPr>
        <w:t>Martinus</w:t>
      </w:r>
      <w:proofErr w:type="spellEnd"/>
      <w:r w:rsidRPr="004F0CBC">
        <w:rPr>
          <w:szCs w:val="20"/>
        </w:rPr>
        <w:t xml:space="preserve"> </w:t>
      </w:r>
      <w:proofErr w:type="spellStart"/>
      <w:r w:rsidRPr="004F0CBC">
        <w:rPr>
          <w:szCs w:val="20"/>
        </w:rPr>
        <w:t>Nijhof</w:t>
      </w:r>
      <w:proofErr w:type="spellEnd"/>
      <w:r w:rsidRPr="004F0CBC">
        <w:rPr>
          <w:szCs w:val="20"/>
        </w:rPr>
        <w:t>, 1986, p</w:t>
      </w:r>
      <w:r>
        <w:rPr>
          <w:szCs w:val="20"/>
        </w:rPr>
        <w:t>p</w:t>
      </w:r>
      <w:r w:rsidRPr="004F0CBC">
        <w:rPr>
          <w:szCs w:val="20"/>
        </w:rPr>
        <w:t>. 147, 148.</w:t>
      </w:r>
    </w:p>
  </w:footnote>
  <w:footnote w:id="20">
    <w:p w14:paraId="0D734B28" w14:textId="1E89FE1C" w:rsidR="007F4C21" w:rsidRPr="004F0CBC" w:rsidRDefault="007F4C21" w:rsidP="00333CB5">
      <w:pPr>
        <w:pStyle w:val="Notedebasdepage"/>
        <w:contextualSpacing/>
        <w:rPr>
          <w:szCs w:val="20"/>
        </w:rPr>
      </w:pPr>
      <w:r w:rsidRPr="004F0CBC">
        <w:rPr>
          <w:rStyle w:val="Marquenotebasdepage"/>
          <w:szCs w:val="20"/>
        </w:rPr>
        <w:footnoteRef/>
      </w:r>
      <w:r>
        <w:rPr>
          <w:szCs w:val="20"/>
        </w:rPr>
        <w:t xml:space="preserve"> E. MUIR, M. DAWSON, B. DE WITTE</w:t>
      </w:r>
      <w:r w:rsidRPr="004F0CBC">
        <w:rPr>
          <w:szCs w:val="20"/>
        </w:rPr>
        <w:t xml:space="preserve">, « Introduction : the </w:t>
      </w:r>
      <w:proofErr w:type="spellStart"/>
      <w:r w:rsidRPr="004F0CBC">
        <w:rPr>
          <w:szCs w:val="20"/>
        </w:rPr>
        <w:t>European</w:t>
      </w:r>
      <w:proofErr w:type="spellEnd"/>
      <w:r w:rsidRPr="004F0CBC">
        <w:rPr>
          <w:szCs w:val="20"/>
        </w:rPr>
        <w:t xml:space="preserve"> Court of Justice as a </w:t>
      </w:r>
      <w:proofErr w:type="spellStart"/>
      <w:r w:rsidRPr="004F0CBC">
        <w:rPr>
          <w:szCs w:val="20"/>
        </w:rPr>
        <w:t>political</w:t>
      </w:r>
      <w:proofErr w:type="spellEnd"/>
      <w:r w:rsidRPr="004F0CBC">
        <w:rPr>
          <w:szCs w:val="20"/>
        </w:rPr>
        <w:t xml:space="preserve"> </w:t>
      </w:r>
      <w:proofErr w:type="spellStart"/>
      <w:r w:rsidRPr="004F0CBC">
        <w:rPr>
          <w:szCs w:val="20"/>
        </w:rPr>
        <w:t>actor</w:t>
      </w:r>
      <w:proofErr w:type="spellEnd"/>
      <w:r w:rsidRPr="004F0CBC">
        <w:rPr>
          <w:szCs w:val="20"/>
        </w:rPr>
        <w:t xml:space="preserve"> », in </w:t>
      </w:r>
      <w:r>
        <w:rPr>
          <w:szCs w:val="20"/>
        </w:rPr>
        <w:t>M. DAWSON, B. DE WITTE</w:t>
      </w:r>
      <w:r w:rsidRPr="004F0CBC">
        <w:rPr>
          <w:szCs w:val="20"/>
        </w:rPr>
        <w:t xml:space="preserve">, </w:t>
      </w:r>
      <w:r>
        <w:rPr>
          <w:szCs w:val="20"/>
        </w:rPr>
        <w:t xml:space="preserve">E. MUIR, </w:t>
      </w:r>
      <w:proofErr w:type="spellStart"/>
      <w:r w:rsidRPr="004F0CBC">
        <w:rPr>
          <w:i/>
          <w:szCs w:val="20"/>
        </w:rPr>
        <w:t>Judicial</w:t>
      </w:r>
      <w:proofErr w:type="spellEnd"/>
      <w:r w:rsidRPr="004F0CBC">
        <w:rPr>
          <w:i/>
          <w:szCs w:val="20"/>
        </w:rPr>
        <w:t xml:space="preserve"> </w:t>
      </w:r>
      <w:proofErr w:type="spellStart"/>
      <w:r w:rsidRPr="004F0CBC">
        <w:rPr>
          <w:i/>
          <w:szCs w:val="20"/>
        </w:rPr>
        <w:t>activism</w:t>
      </w:r>
      <w:proofErr w:type="spellEnd"/>
      <w:r w:rsidRPr="004F0CBC">
        <w:rPr>
          <w:i/>
          <w:szCs w:val="20"/>
        </w:rPr>
        <w:t xml:space="preserve"> </w:t>
      </w:r>
      <w:proofErr w:type="spellStart"/>
      <w:r w:rsidRPr="004F0CBC">
        <w:rPr>
          <w:i/>
          <w:szCs w:val="20"/>
        </w:rPr>
        <w:t>at</w:t>
      </w:r>
      <w:proofErr w:type="spellEnd"/>
      <w:r w:rsidRPr="004F0CBC">
        <w:rPr>
          <w:i/>
          <w:szCs w:val="20"/>
        </w:rPr>
        <w:t xml:space="preserve"> the </w:t>
      </w:r>
      <w:proofErr w:type="spellStart"/>
      <w:r w:rsidRPr="004F0CBC">
        <w:rPr>
          <w:i/>
          <w:szCs w:val="20"/>
        </w:rPr>
        <w:t>European</w:t>
      </w:r>
      <w:proofErr w:type="spellEnd"/>
      <w:r w:rsidRPr="004F0CBC">
        <w:rPr>
          <w:i/>
          <w:szCs w:val="20"/>
        </w:rPr>
        <w:t xml:space="preserve"> Court of Justice</w:t>
      </w:r>
      <w:r w:rsidRPr="004F0CBC">
        <w:rPr>
          <w:szCs w:val="20"/>
        </w:rPr>
        <w:t>, Cheltenham, Edward Elgar, 2013, p</w:t>
      </w:r>
      <w:r>
        <w:rPr>
          <w:szCs w:val="20"/>
        </w:rPr>
        <w:t>p</w:t>
      </w:r>
      <w:r w:rsidRPr="004F0CBC">
        <w:rPr>
          <w:szCs w:val="20"/>
        </w:rPr>
        <w:t>. 1-10, p. 1.</w:t>
      </w:r>
    </w:p>
  </w:footnote>
  <w:footnote w:id="21">
    <w:p w14:paraId="1B170624" w14:textId="0981AC6B" w:rsidR="007F4C21" w:rsidRPr="004F0CBC" w:rsidRDefault="007F4C21" w:rsidP="00333CB5">
      <w:pPr>
        <w:pStyle w:val="Notedebasdepage"/>
        <w:contextualSpacing/>
        <w:rPr>
          <w:szCs w:val="20"/>
        </w:rPr>
      </w:pPr>
      <w:r w:rsidRPr="004F0CBC">
        <w:rPr>
          <w:rStyle w:val="Marquenotebasdepage"/>
          <w:szCs w:val="20"/>
        </w:rPr>
        <w:footnoteRef/>
      </w:r>
      <w:r w:rsidRPr="004F0CBC">
        <w:rPr>
          <w:szCs w:val="20"/>
        </w:rPr>
        <w:t xml:space="preserve"> </w:t>
      </w:r>
      <w:r>
        <w:rPr>
          <w:szCs w:val="20"/>
        </w:rPr>
        <w:t>M. DAWSON</w:t>
      </w:r>
      <w:r w:rsidRPr="004F0CBC">
        <w:rPr>
          <w:szCs w:val="20"/>
        </w:rPr>
        <w:t xml:space="preserve"> « The </w:t>
      </w:r>
      <w:proofErr w:type="spellStart"/>
      <w:r w:rsidRPr="004F0CBC">
        <w:rPr>
          <w:szCs w:val="20"/>
        </w:rPr>
        <w:t>political</w:t>
      </w:r>
      <w:proofErr w:type="spellEnd"/>
      <w:r w:rsidRPr="004F0CBC">
        <w:rPr>
          <w:szCs w:val="20"/>
        </w:rPr>
        <w:t xml:space="preserve"> face of </w:t>
      </w:r>
      <w:proofErr w:type="spellStart"/>
      <w:r w:rsidRPr="004F0CBC">
        <w:rPr>
          <w:szCs w:val="20"/>
        </w:rPr>
        <w:t>judicial</w:t>
      </w:r>
      <w:proofErr w:type="spellEnd"/>
      <w:r w:rsidRPr="004F0CBC">
        <w:rPr>
          <w:szCs w:val="20"/>
        </w:rPr>
        <w:t xml:space="preserve"> </w:t>
      </w:r>
      <w:proofErr w:type="spellStart"/>
      <w:r w:rsidRPr="004F0CBC">
        <w:rPr>
          <w:szCs w:val="20"/>
        </w:rPr>
        <w:t>activism</w:t>
      </w:r>
      <w:proofErr w:type="spellEnd"/>
      <w:r w:rsidRPr="004F0CBC">
        <w:rPr>
          <w:szCs w:val="20"/>
        </w:rPr>
        <w:t xml:space="preserve"> : </w:t>
      </w:r>
      <w:proofErr w:type="spellStart"/>
      <w:r w:rsidRPr="004F0CBC">
        <w:rPr>
          <w:szCs w:val="20"/>
        </w:rPr>
        <w:t>Europe’s</w:t>
      </w:r>
      <w:proofErr w:type="spellEnd"/>
      <w:r w:rsidRPr="004F0CBC">
        <w:rPr>
          <w:szCs w:val="20"/>
        </w:rPr>
        <w:t xml:space="preserve"> </w:t>
      </w:r>
      <w:proofErr w:type="spellStart"/>
      <w:r w:rsidRPr="004F0CBC">
        <w:rPr>
          <w:szCs w:val="20"/>
        </w:rPr>
        <w:t>law-politics</w:t>
      </w:r>
      <w:proofErr w:type="spellEnd"/>
      <w:r w:rsidRPr="004F0CBC">
        <w:rPr>
          <w:szCs w:val="20"/>
        </w:rPr>
        <w:t xml:space="preserve"> </w:t>
      </w:r>
      <w:proofErr w:type="spellStart"/>
      <w:r w:rsidRPr="004F0CBC">
        <w:rPr>
          <w:szCs w:val="20"/>
        </w:rPr>
        <w:t>imbalance</w:t>
      </w:r>
      <w:proofErr w:type="spellEnd"/>
      <w:r w:rsidRPr="004F0CBC">
        <w:rPr>
          <w:szCs w:val="20"/>
        </w:rPr>
        <w:t xml:space="preserve"> », in </w:t>
      </w:r>
      <w:r>
        <w:rPr>
          <w:szCs w:val="20"/>
        </w:rPr>
        <w:t>M. DAWSON, B. DE WITTE</w:t>
      </w:r>
      <w:r w:rsidRPr="004F0CBC">
        <w:rPr>
          <w:szCs w:val="20"/>
        </w:rPr>
        <w:t xml:space="preserve">, </w:t>
      </w:r>
      <w:r>
        <w:rPr>
          <w:szCs w:val="20"/>
        </w:rPr>
        <w:t xml:space="preserve">E. MUIR, </w:t>
      </w:r>
      <w:r>
        <w:rPr>
          <w:i/>
          <w:szCs w:val="20"/>
        </w:rPr>
        <w:t xml:space="preserve">op. </w:t>
      </w:r>
      <w:proofErr w:type="spellStart"/>
      <w:proofErr w:type="gramStart"/>
      <w:r>
        <w:rPr>
          <w:i/>
          <w:szCs w:val="20"/>
        </w:rPr>
        <w:t>cit</w:t>
      </w:r>
      <w:proofErr w:type="spellEnd"/>
      <w:r>
        <w:rPr>
          <w:i/>
          <w:szCs w:val="20"/>
        </w:rPr>
        <w:t>.</w:t>
      </w:r>
      <w:r>
        <w:rPr>
          <w:szCs w:val="20"/>
        </w:rPr>
        <w:t>,</w:t>
      </w:r>
      <w:proofErr w:type="gramEnd"/>
      <w:r>
        <w:rPr>
          <w:i/>
          <w:szCs w:val="20"/>
        </w:rPr>
        <w:t xml:space="preserve"> </w:t>
      </w:r>
      <w:r w:rsidRPr="004F0CBC">
        <w:rPr>
          <w:szCs w:val="20"/>
        </w:rPr>
        <w:t>p</w:t>
      </w:r>
      <w:r>
        <w:rPr>
          <w:szCs w:val="20"/>
        </w:rPr>
        <w:t>p</w:t>
      </w:r>
      <w:r w:rsidRPr="004F0CBC">
        <w:rPr>
          <w:szCs w:val="20"/>
        </w:rPr>
        <w:t>. 11-31, p. 11, 12.</w:t>
      </w:r>
    </w:p>
  </w:footnote>
  <w:footnote w:id="22">
    <w:p w14:paraId="5D5346ED" w14:textId="513089F7" w:rsidR="007F4C21" w:rsidRPr="004F0CBC" w:rsidRDefault="007F4C21" w:rsidP="00333CB5">
      <w:pPr>
        <w:pStyle w:val="Notedebasdepage"/>
        <w:contextualSpacing/>
        <w:rPr>
          <w:color w:val="000000" w:themeColor="text1"/>
          <w:szCs w:val="20"/>
        </w:rPr>
      </w:pPr>
      <w:r w:rsidRPr="004F0CBC">
        <w:rPr>
          <w:rStyle w:val="Marquenotebasdepage"/>
          <w:szCs w:val="20"/>
        </w:rPr>
        <w:footnoteRef/>
      </w:r>
      <w:r w:rsidRPr="004F0CBC">
        <w:rPr>
          <w:szCs w:val="20"/>
        </w:rPr>
        <w:t xml:space="preserve"> B</w:t>
      </w:r>
      <w:r>
        <w:rPr>
          <w:szCs w:val="20"/>
        </w:rPr>
        <w:t xml:space="preserve">. DAVIES </w:t>
      </w:r>
      <w:r w:rsidRPr="004F0CBC">
        <w:rPr>
          <w:szCs w:val="20"/>
        </w:rPr>
        <w:t>et M</w:t>
      </w:r>
      <w:r>
        <w:rPr>
          <w:szCs w:val="20"/>
        </w:rPr>
        <w:t>. RASMUSSEN</w:t>
      </w:r>
      <w:r w:rsidRPr="004F0CBC">
        <w:rPr>
          <w:szCs w:val="20"/>
        </w:rPr>
        <w:t>, « </w:t>
      </w:r>
      <w:proofErr w:type="spellStart"/>
      <w:r w:rsidRPr="004F0CBC">
        <w:rPr>
          <w:szCs w:val="20"/>
        </w:rPr>
        <w:t>Towards</w:t>
      </w:r>
      <w:proofErr w:type="spellEnd"/>
      <w:r w:rsidRPr="004F0CBC">
        <w:rPr>
          <w:szCs w:val="20"/>
        </w:rPr>
        <w:t xml:space="preserve"> a new </w:t>
      </w:r>
      <w:proofErr w:type="spellStart"/>
      <w:r w:rsidRPr="004F0CBC">
        <w:rPr>
          <w:szCs w:val="20"/>
        </w:rPr>
        <w:t>history</w:t>
      </w:r>
      <w:proofErr w:type="spellEnd"/>
      <w:r w:rsidRPr="004F0CBC">
        <w:rPr>
          <w:szCs w:val="20"/>
        </w:rPr>
        <w:t xml:space="preserve"> of </w:t>
      </w:r>
      <w:proofErr w:type="spellStart"/>
      <w:r w:rsidRPr="004F0CBC">
        <w:rPr>
          <w:szCs w:val="20"/>
        </w:rPr>
        <w:t>European</w:t>
      </w:r>
      <w:proofErr w:type="spellEnd"/>
      <w:r w:rsidRPr="004F0CBC">
        <w:rPr>
          <w:szCs w:val="20"/>
        </w:rPr>
        <w:t xml:space="preserve"> Law », in </w:t>
      </w:r>
      <w:proofErr w:type="spellStart"/>
      <w:r w:rsidRPr="004F0CBC">
        <w:rPr>
          <w:i/>
          <w:iCs/>
          <w:color w:val="000000"/>
          <w:szCs w:val="20"/>
        </w:rPr>
        <w:t>Contemporary</w:t>
      </w:r>
      <w:proofErr w:type="spellEnd"/>
      <w:r w:rsidRPr="004F0CBC">
        <w:rPr>
          <w:i/>
          <w:iCs/>
          <w:color w:val="000000"/>
          <w:szCs w:val="20"/>
        </w:rPr>
        <w:t xml:space="preserve"> </w:t>
      </w:r>
      <w:proofErr w:type="spellStart"/>
      <w:r w:rsidRPr="004F0CBC">
        <w:rPr>
          <w:i/>
          <w:iCs/>
          <w:color w:val="000000"/>
          <w:szCs w:val="20"/>
        </w:rPr>
        <w:t>European</w:t>
      </w:r>
      <w:proofErr w:type="spellEnd"/>
      <w:r w:rsidRPr="004F0CBC">
        <w:rPr>
          <w:i/>
          <w:iCs/>
          <w:color w:val="000000"/>
          <w:szCs w:val="20"/>
        </w:rPr>
        <w:t xml:space="preserve"> </w:t>
      </w:r>
      <w:proofErr w:type="spellStart"/>
      <w:r w:rsidRPr="004F0CBC">
        <w:rPr>
          <w:i/>
          <w:iCs/>
          <w:color w:val="000000" w:themeColor="text1"/>
          <w:szCs w:val="20"/>
        </w:rPr>
        <w:t>History</w:t>
      </w:r>
      <w:proofErr w:type="spellEnd"/>
      <w:r w:rsidRPr="004F0CBC">
        <w:rPr>
          <w:color w:val="000000" w:themeColor="text1"/>
          <w:szCs w:val="20"/>
        </w:rPr>
        <w:t xml:space="preserve">, vol. </w:t>
      </w:r>
      <w:r w:rsidRPr="004F0CBC">
        <w:rPr>
          <w:bCs/>
          <w:color w:val="000000" w:themeColor="text1"/>
          <w:szCs w:val="20"/>
        </w:rPr>
        <w:t>21</w:t>
      </w:r>
      <w:r w:rsidRPr="004F0CBC">
        <w:rPr>
          <w:color w:val="000000" w:themeColor="text1"/>
          <w:szCs w:val="20"/>
        </w:rPr>
        <w:t>, n° 3 (2012), p</w:t>
      </w:r>
      <w:r>
        <w:rPr>
          <w:color w:val="000000" w:themeColor="text1"/>
          <w:szCs w:val="20"/>
        </w:rPr>
        <w:t>p</w:t>
      </w:r>
      <w:r w:rsidRPr="004F0CBC">
        <w:rPr>
          <w:color w:val="000000" w:themeColor="text1"/>
          <w:szCs w:val="20"/>
        </w:rPr>
        <w:t>. 305-318, p. 308.</w:t>
      </w:r>
    </w:p>
  </w:footnote>
  <w:footnote w:id="23">
    <w:p w14:paraId="5ED4E69C" w14:textId="7AB4DB5D" w:rsidR="007F4C21" w:rsidRPr="004F0CBC" w:rsidRDefault="007F4C21" w:rsidP="00333CB5">
      <w:pPr>
        <w:pStyle w:val="Notedebasdepage"/>
        <w:contextualSpacing/>
        <w:rPr>
          <w:color w:val="000000" w:themeColor="text1"/>
          <w:szCs w:val="20"/>
        </w:rPr>
      </w:pPr>
      <w:r w:rsidRPr="004F0CBC">
        <w:rPr>
          <w:rStyle w:val="Marquenotebasdepage"/>
          <w:color w:val="000000" w:themeColor="text1"/>
          <w:szCs w:val="20"/>
        </w:rPr>
        <w:footnoteRef/>
      </w:r>
      <w:r w:rsidRPr="004F0CBC">
        <w:rPr>
          <w:color w:val="000000" w:themeColor="text1"/>
          <w:szCs w:val="20"/>
        </w:rPr>
        <w:t xml:space="preserve"> P</w:t>
      </w:r>
      <w:r>
        <w:rPr>
          <w:color w:val="000000" w:themeColor="text1"/>
          <w:szCs w:val="20"/>
        </w:rPr>
        <w:t xml:space="preserve">. PESCATORE, </w:t>
      </w:r>
      <w:r w:rsidRPr="004F0CBC">
        <w:rPr>
          <w:color w:val="000000" w:themeColor="text1"/>
          <w:szCs w:val="20"/>
        </w:rPr>
        <w:t xml:space="preserve">« Rôle et chance du droit et des juges dans la construction de l’Europe », </w:t>
      </w:r>
      <w:r w:rsidRPr="004F0CBC">
        <w:rPr>
          <w:i/>
          <w:color w:val="000000" w:themeColor="text1"/>
          <w:szCs w:val="20"/>
        </w:rPr>
        <w:t>op.cit.</w:t>
      </w:r>
      <w:r w:rsidRPr="004F0CBC">
        <w:rPr>
          <w:color w:val="000000" w:themeColor="text1"/>
          <w:szCs w:val="20"/>
        </w:rPr>
        <w:t>, p. 12.</w:t>
      </w:r>
    </w:p>
  </w:footnote>
  <w:footnote w:id="24">
    <w:p w14:paraId="17741D64" w14:textId="4AE12E88" w:rsidR="007F4C21" w:rsidRPr="00333CB5" w:rsidRDefault="007F4C21" w:rsidP="00333CB5">
      <w:pPr>
        <w:contextualSpacing/>
        <w:rPr>
          <w:rFonts w:eastAsia="Times New Roman"/>
          <w:color w:val="000000" w:themeColor="text1"/>
          <w:sz w:val="20"/>
          <w:szCs w:val="20"/>
        </w:rPr>
      </w:pPr>
      <w:r w:rsidRPr="004F0CBC">
        <w:rPr>
          <w:rStyle w:val="Marquenotebasdepage"/>
          <w:color w:val="000000" w:themeColor="text1"/>
          <w:sz w:val="20"/>
          <w:szCs w:val="20"/>
        </w:rPr>
        <w:footnoteRef/>
      </w:r>
      <w:r w:rsidRPr="004F0CBC">
        <w:rPr>
          <w:color w:val="000000" w:themeColor="text1"/>
          <w:sz w:val="20"/>
          <w:szCs w:val="20"/>
        </w:rPr>
        <w:t xml:space="preserve"> </w:t>
      </w:r>
      <w:r>
        <w:rPr>
          <w:color w:val="000000" w:themeColor="text1"/>
          <w:sz w:val="20"/>
          <w:szCs w:val="20"/>
        </w:rPr>
        <w:t xml:space="preserve">M. POIARES MADURO, </w:t>
      </w:r>
      <w:r w:rsidRPr="004F0CBC">
        <w:rPr>
          <w:color w:val="000000" w:themeColor="text1"/>
          <w:sz w:val="20"/>
          <w:szCs w:val="20"/>
        </w:rPr>
        <w:t>« </w:t>
      </w:r>
      <w:proofErr w:type="spellStart"/>
      <w:r w:rsidRPr="004F0CBC">
        <w:rPr>
          <w:color w:val="000000" w:themeColor="text1"/>
          <w:sz w:val="20"/>
          <w:szCs w:val="20"/>
        </w:rPr>
        <w:t>Interpreting</w:t>
      </w:r>
      <w:proofErr w:type="spellEnd"/>
      <w:r w:rsidRPr="004F0CBC">
        <w:rPr>
          <w:color w:val="000000" w:themeColor="text1"/>
          <w:sz w:val="20"/>
          <w:szCs w:val="20"/>
        </w:rPr>
        <w:t xml:space="preserve"> </w:t>
      </w:r>
      <w:proofErr w:type="spellStart"/>
      <w:r w:rsidRPr="004F0CBC">
        <w:rPr>
          <w:color w:val="000000" w:themeColor="text1"/>
          <w:sz w:val="20"/>
          <w:szCs w:val="20"/>
        </w:rPr>
        <w:t>European</w:t>
      </w:r>
      <w:proofErr w:type="spellEnd"/>
      <w:r w:rsidRPr="004F0CBC">
        <w:rPr>
          <w:color w:val="000000" w:themeColor="text1"/>
          <w:sz w:val="20"/>
          <w:szCs w:val="20"/>
        </w:rPr>
        <w:t xml:space="preserve"> Law : </w:t>
      </w:r>
      <w:proofErr w:type="spellStart"/>
      <w:r>
        <w:rPr>
          <w:color w:val="000000" w:themeColor="text1"/>
          <w:sz w:val="20"/>
          <w:szCs w:val="20"/>
        </w:rPr>
        <w:t>judicial</w:t>
      </w:r>
      <w:proofErr w:type="spellEnd"/>
      <w:r>
        <w:rPr>
          <w:color w:val="000000" w:themeColor="text1"/>
          <w:sz w:val="20"/>
          <w:szCs w:val="20"/>
        </w:rPr>
        <w:t xml:space="preserve"> </w:t>
      </w:r>
      <w:proofErr w:type="spellStart"/>
      <w:r>
        <w:rPr>
          <w:color w:val="000000" w:themeColor="text1"/>
          <w:sz w:val="20"/>
          <w:szCs w:val="20"/>
        </w:rPr>
        <w:t>adjucivation</w:t>
      </w:r>
      <w:proofErr w:type="spellEnd"/>
      <w:r>
        <w:rPr>
          <w:color w:val="000000" w:themeColor="text1"/>
          <w:sz w:val="20"/>
          <w:szCs w:val="20"/>
        </w:rPr>
        <w:t xml:space="preserve"> in a </w:t>
      </w:r>
      <w:proofErr w:type="spellStart"/>
      <w:r>
        <w:rPr>
          <w:color w:val="000000" w:themeColor="text1"/>
          <w:sz w:val="20"/>
          <w:szCs w:val="20"/>
        </w:rPr>
        <w:t>context</w:t>
      </w:r>
      <w:proofErr w:type="spellEnd"/>
      <w:r>
        <w:rPr>
          <w:color w:val="000000" w:themeColor="text1"/>
          <w:sz w:val="20"/>
          <w:szCs w:val="20"/>
        </w:rPr>
        <w:t xml:space="preserve"> of </w:t>
      </w:r>
      <w:proofErr w:type="spellStart"/>
      <w:r>
        <w:rPr>
          <w:color w:val="000000" w:themeColor="text1"/>
          <w:sz w:val="20"/>
          <w:szCs w:val="20"/>
        </w:rPr>
        <w:t>constitutionnal</w:t>
      </w:r>
      <w:proofErr w:type="spellEnd"/>
      <w:r>
        <w:rPr>
          <w:color w:val="000000" w:themeColor="text1"/>
          <w:sz w:val="20"/>
          <w:szCs w:val="20"/>
        </w:rPr>
        <w:t xml:space="preserve"> </w:t>
      </w:r>
      <w:proofErr w:type="spellStart"/>
      <w:r>
        <w:rPr>
          <w:color w:val="000000" w:themeColor="text1"/>
          <w:sz w:val="20"/>
          <w:szCs w:val="20"/>
        </w:rPr>
        <w:t>pluralism</w:t>
      </w:r>
      <w:proofErr w:type="spellEnd"/>
      <w:r w:rsidRPr="004F0CBC">
        <w:rPr>
          <w:color w:val="000000" w:themeColor="text1"/>
          <w:sz w:val="20"/>
          <w:szCs w:val="20"/>
        </w:rPr>
        <w:t xml:space="preserve"> », </w:t>
      </w:r>
      <w:proofErr w:type="spellStart"/>
      <w:r w:rsidRPr="00333CB5">
        <w:rPr>
          <w:rFonts w:eastAsia="Times New Roman"/>
          <w:i/>
          <w:color w:val="000000" w:themeColor="text1"/>
          <w:sz w:val="20"/>
          <w:szCs w:val="20"/>
          <w:shd w:val="clear" w:color="auto" w:fill="FFFFFF"/>
        </w:rPr>
        <w:t>European</w:t>
      </w:r>
      <w:proofErr w:type="spellEnd"/>
      <w:r w:rsidRPr="00333CB5">
        <w:rPr>
          <w:rFonts w:eastAsia="Times New Roman"/>
          <w:i/>
          <w:color w:val="000000" w:themeColor="text1"/>
          <w:sz w:val="20"/>
          <w:szCs w:val="20"/>
          <w:shd w:val="clear" w:color="auto" w:fill="FFFFFF"/>
        </w:rPr>
        <w:t xml:space="preserve"> Journal of </w:t>
      </w:r>
      <w:proofErr w:type="spellStart"/>
      <w:r w:rsidRPr="00333CB5">
        <w:rPr>
          <w:rFonts w:eastAsia="Times New Roman"/>
          <w:i/>
          <w:color w:val="000000" w:themeColor="text1"/>
          <w:sz w:val="20"/>
          <w:szCs w:val="20"/>
          <w:shd w:val="clear" w:color="auto" w:fill="FFFFFF"/>
        </w:rPr>
        <w:t>Legal</w:t>
      </w:r>
      <w:proofErr w:type="spellEnd"/>
      <w:r w:rsidRPr="00333CB5">
        <w:rPr>
          <w:rFonts w:eastAsia="Times New Roman"/>
          <w:i/>
          <w:color w:val="000000" w:themeColor="text1"/>
          <w:sz w:val="20"/>
          <w:szCs w:val="20"/>
          <w:shd w:val="clear" w:color="auto" w:fill="FFFFFF"/>
        </w:rPr>
        <w:t xml:space="preserve"> </w:t>
      </w:r>
      <w:proofErr w:type="spellStart"/>
      <w:r w:rsidRPr="00333CB5">
        <w:rPr>
          <w:rFonts w:eastAsia="Times New Roman"/>
          <w:i/>
          <w:color w:val="000000" w:themeColor="text1"/>
          <w:sz w:val="20"/>
          <w:szCs w:val="20"/>
          <w:shd w:val="clear" w:color="auto" w:fill="FFFFFF"/>
        </w:rPr>
        <w:t>Studies</w:t>
      </w:r>
      <w:proofErr w:type="spellEnd"/>
      <w:r w:rsidRPr="004F0CBC">
        <w:rPr>
          <w:rFonts w:eastAsia="Times New Roman"/>
          <w:color w:val="000000" w:themeColor="text1"/>
          <w:sz w:val="20"/>
          <w:szCs w:val="20"/>
          <w:shd w:val="clear" w:color="auto" w:fill="FFFFFF"/>
        </w:rPr>
        <w:t xml:space="preserve">, 2007, </w:t>
      </w:r>
      <w:r>
        <w:rPr>
          <w:rFonts w:eastAsia="Times New Roman"/>
          <w:color w:val="000000" w:themeColor="text1"/>
          <w:sz w:val="20"/>
          <w:szCs w:val="20"/>
          <w:shd w:val="clear" w:color="auto" w:fill="FFFFFF"/>
        </w:rPr>
        <w:t xml:space="preserve">vol. </w:t>
      </w:r>
      <w:r w:rsidRPr="004F0CBC">
        <w:rPr>
          <w:rFonts w:eastAsia="Times New Roman"/>
          <w:color w:val="000000" w:themeColor="text1"/>
          <w:sz w:val="20"/>
          <w:szCs w:val="20"/>
          <w:shd w:val="clear" w:color="auto" w:fill="FFFFFF"/>
        </w:rPr>
        <w:t xml:space="preserve">1, </w:t>
      </w:r>
      <w:r>
        <w:rPr>
          <w:rFonts w:eastAsia="Times New Roman"/>
          <w:color w:val="000000" w:themeColor="text1"/>
          <w:sz w:val="20"/>
          <w:szCs w:val="20"/>
          <w:shd w:val="clear" w:color="auto" w:fill="FFFFFF"/>
        </w:rPr>
        <w:t>n°</w:t>
      </w:r>
      <w:r w:rsidRPr="00333CB5">
        <w:rPr>
          <w:rFonts w:eastAsia="Times New Roman"/>
          <w:color w:val="000000" w:themeColor="text1"/>
          <w:sz w:val="20"/>
          <w:szCs w:val="20"/>
          <w:shd w:val="clear" w:color="auto" w:fill="FFFFFF"/>
        </w:rPr>
        <w:t>2,</w:t>
      </w:r>
      <w:r>
        <w:rPr>
          <w:color w:val="000000" w:themeColor="text1"/>
          <w:sz w:val="20"/>
          <w:szCs w:val="20"/>
        </w:rPr>
        <w:t xml:space="preserve"> p. 143</w:t>
      </w:r>
      <w:r w:rsidRPr="00333CB5">
        <w:rPr>
          <w:color w:val="000000" w:themeColor="text1"/>
          <w:sz w:val="20"/>
          <w:szCs w:val="20"/>
        </w:rPr>
        <w:t>.</w:t>
      </w:r>
    </w:p>
  </w:footnote>
  <w:footnote w:id="25">
    <w:p w14:paraId="5C983F79" w14:textId="600B203E" w:rsidR="007F4C21" w:rsidRPr="004F0CBC" w:rsidRDefault="007F4C21" w:rsidP="004F0CBC">
      <w:pPr>
        <w:pStyle w:val="Notedebasdepage"/>
        <w:contextualSpacing/>
        <w:rPr>
          <w:color w:val="000000" w:themeColor="text1"/>
          <w:szCs w:val="20"/>
        </w:rPr>
      </w:pPr>
      <w:r w:rsidRPr="004F0CBC">
        <w:rPr>
          <w:rStyle w:val="Marquenotebasdepage"/>
          <w:color w:val="000000" w:themeColor="text1"/>
          <w:szCs w:val="20"/>
        </w:rPr>
        <w:footnoteRef/>
      </w:r>
      <w:r w:rsidRPr="004F0CBC">
        <w:rPr>
          <w:color w:val="000000" w:themeColor="text1"/>
          <w:szCs w:val="20"/>
        </w:rPr>
        <w:t xml:space="preserve"> K. L</w:t>
      </w:r>
      <w:r>
        <w:rPr>
          <w:color w:val="000000" w:themeColor="text1"/>
          <w:szCs w:val="20"/>
        </w:rPr>
        <w:t>ENAERTS</w:t>
      </w:r>
      <w:r w:rsidRPr="004F0CBC">
        <w:rPr>
          <w:color w:val="000000" w:themeColor="text1"/>
          <w:szCs w:val="20"/>
        </w:rPr>
        <w:t xml:space="preserve">, Discours de rentrée académique de l’IEE à </w:t>
      </w:r>
      <w:r>
        <w:rPr>
          <w:color w:val="000000" w:themeColor="text1"/>
          <w:szCs w:val="20"/>
        </w:rPr>
        <w:t>l’Université libre de Bruxelles</w:t>
      </w:r>
      <w:r w:rsidRPr="004F0CBC">
        <w:rPr>
          <w:color w:val="000000" w:themeColor="text1"/>
          <w:szCs w:val="20"/>
        </w:rPr>
        <w:t xml:space="preserve"> le 14 octobre 2016, https://www.youtube.com/watch?v=me2OrygtIWY</w:t>
      </w:r>
    </w:p>
  </w:footnote>
  <w:footnote w:id="26">
    <w:p w14:paraId="57C7DCFF" w14:textId="436F050A" w:rsidR="007F4C21" w:rsidRPr="004F0CBC" w:rsidRDefault="007F4C21" w:rsidP="004F0CBC">
      <w:pPr>
        <w:pStyle w:val="Notedebasdepage"/>
        <w:contextualSpacing/>
        <w:rPr>
          <w:color w:val="000000" w:themeColor="text1"/>
          <w:szCs w:val="20"/>
        </w:rPr>
      </w:pPr>
      <w:r w:rsidRPr="004F0CBC">
        <w:rPr>
          <w:rStyle w:val="Marquenotebasdepage"/>
          <w:color w:val="000000" w:themeColor="text1"/>
          <w:szCs w:val="20"/>
        </w:rPr>
        <w:footnoteRef/>
      </w:r>
      <w:r w:rsidRPr="004F0CBC">
        <w:rPr>
          <w:color w:val="000000" w:themeColor="text1"/>
          <w:szCs w:val="20"/>
        </w:rPr>
        <w:t xml:space="preserve"> </w:t>
      </w:r>
      <w:r>
        <w:rPr>
          <w:color w:val="000000" w:themeColor="text1"/>
          <w:szCs w:val="20"/>
        </w:rPr>
        <w:t xml:space="preserve">M. POIARES MADURO, </w:t>
      </w:r>
      <w:r w:rsidRPr="004F0CBC">
        <w:rPr>
          <w:color w:val="000000" w:themeColor="text1"/>
          <w:szCs w:val="20"/>
        </w:rPr>
        <w:t>« </w:t>
      </w:r>
      <w:proofErr w:type="spellStart"/>
      <w:r w:rsidRPr="004F0CBC">
        <w:rPr>
          <w:color w:val="000000" w:themeColor="text1"/>
          <w:szCs w:val="20"/>
        </w:rPr>
        <w:t>Interpreting</w:t>
      </w:r>
      <w:proofErr w:type="spellEnd"/>
      <w:r w:rsidRPr="004F0CBC">
        <w:rPr>
          <w:color w:val="000000" w:themeColor="text1"/>
          <w:szCs w:val="20"/>
        </w:rPr>
        <w:t xml:space="preserve"> </w:t>
      </w:r>
      <w:proofErr w:type="spellStart"/>
      <w:r w:rsidRPr="004F0CBC">
        <w:rPr>
          <w:color w:val="000000" w:themeColor="text1"/>
          <w:szCs w:val="20"/>
        </w:rPr>
        <w:t>European</w:t>
      </w:r>
      <w:proofErr w:type="spellEnd"/>
      <w:r w:rsidRPr="004F0CBC">
        <w:rPr>
          <w:color w:val="000000" w:themeColor="text1"/>
          <w:szCs w:val="20"/>
        </w:rPr>
        <w:t xml:space="preserve"> Law </w:t>
      </w:r>
      <w:r>
        <w:rPr>
          <w:color w:val="000000" w:themeColor="text1"/>
          <w:szCs w:val="20"/>
        </w:rPr>
        <w:t xml:space="preserve">… », </w:t>
      </w:r>
      <w:r w:rsidRPr="00333CB5">
        <w:rPr>
          <w:i/>
          <w:color w:val="000000" w:themeColor="text1"/>
          <w:szCs w:val="20"/>
        </w:rPr>
        <w:t>op.cit.</w:t>
      </w:r>
      <w:r>
        <w:rPr>
          <w:color w:val="000000" w:themeColor="text1"/>
          <w:szCs w:val="20"/>
        </w:rPr>
        <w:t>, p. 143</w:t>
      </w:r>
      <w:r w:rsidRPr="004F0CBC">
        <w:rPr>
          <w:color w:val="000000" w:themeColor="text1"/>
          <w:szCs w:val="20"/>
        </w:rPr>
        <w:t>.</w:t>
      </w:r>
    </w:p>
  </w:footnote>
  <w:footnote w:id="27">
    <w:p w14:paraId="29760CE3" w14:textId="2FF839C3" w:rsidR="007F4C21" w:rsidRPr="004F0CBC" w:rsidRDefault="007F4C21" w:rsidP="004F0CBC">
      <w:pPr>
        <w:pStyle w:val="Notedebasdepage"/>
        <w:contextualSpacing/>
        <w:rPr>
          <w:szCs w:val="20"/>
        </w:rPr>
      </w:pPr>
      <w:r w:rsidRPr="004F0CBC">
        <w:rPr>
          <w:rStyle w:val="Marquenotebasdepage"/>
          <w:color w:val="000000" w:themeColor="text1"/>
          <w:szCs w:val="20"/>
        </w:rPr>
        <w:footnoteRef/>
      </w:r>
      <w:r w:rsidRPr="004F0CBC">
        <w:rPr>
          <w:color w:val="000000" w:themeColor="text1"/>
          <w:szCs w:val="20"/>
        </w:rPr>
        <w:t xml:space="preserve"> </w:t>
      </w:r>
      <w:r>
        <w:rPr>
          <w:color w:val="000000" w:themeColor="text1"/>
          <w:szCs w:val="20"/>
        </w:rPr>
        <w:t xml:space="preserve">M. POIARES MADURO, </w:t>
      </w:r>
      <w:r w:rsidRPr="004F0CBC">
        <w:rPr>
          <w:color w:val="000000" w:themeColor="text1"/>
          <w:szCs w:val="20"/>
        </w:rPr>
        <w:t>« </w:t>
      </w:r>
      <w:proofErr w:type="spellStart"/>
      <w:r w:rsidRPr="004F0CBC">
        <w:rPr>
          <w:color w:val="000000" w:themeColor="text1"/>
          <w:szCs w:val="20"/>
        </w:rPr>
        <w:t>Interpreting</w:t>
      </w:r>
      <w:proofErr w:type="spellEnd"/>
      <w:r w:rsidRPr="004F0CBC">
        <w:rPr>
          <w:color w:val="000000" w:themeColor="text1"/>
          <w:szCs w:val="20"/>
        </w:rPr>
        <w:t xml:space="preserve"> </w:t>
      </w:r>
      <w:proofErr w:type="spellStart"/>
      <w:r w:rsidRPr="004F0CBC">
        <w:rPr>
          <w:color w:val="000000" w:themeColor="text1"/>
          <w:szCs w:val="20"/>
        </w:rPr>
        <w:t>European</w:t>
      </w:r>
      <w:proofErr w:type="spellEnd"/>
      <w:r w:rsidRPr="004F0CBC">
        <w:rPr>
          <w:color w:val="000000" w:themeColor="text1"/>
          <w:szCs w:val="20"/>
        </w:rPr>
        <w:t xml:space="preserve"> Law </w:t>
      </w:r>
      <w:r>
        <w:rPr>
          <w:color w:val="000000" w:themeColor="text1"/>
          <w:szCs w:val="20"/>
        </w:rPr>
        <w:t xml:space="preserve">… », </w:t>
      </w:r>
      <w:r w:rsidRPr="00333CB5">
        <w:rPr>
          <w:i/>
          <w:color w:val="000000" w:themeColor="text1"/>
          <w:szCs w:val="20"/>
        </w:rPr>
        <w:t>op.cit.</w:t>
      </w:r>
      <w:r>
        <w:rPr>
          <w:color w:val="000000" w:themeColor="text1"/>
          <w:szCs w:val="20"/>
        </w:rPr>
        <w:t xml:space="preserve">, </w:t>
      </w:r>
      <w:r>
        <w:rPr>
          <w:szCs w:val="20"/>
        </w:rPr>
        <w:t>pp. 142, 143</w:t>
      </w:r>
      <w:r w:rsidRPr="004F0CBC">
        <w:rPr>
          <w:szCs w:val="20"/>
        </w:rPr>
        <w:t>.</w:t>
      </w:r>
    </w:p>
  </w:footnote>
  <w:footnote w:id="28">
    <w:p w14:paraId="30D929AC" w14:textId="0E7D5AF5"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Pr>
          <w:color w:val="000000" w:themeColor="text1"/>
          <w:szCs w:val="20"/>
        </w:rPr>
        <w:t xml:space="preserve">M. POIARES MADURO, </w:t>
      </w:r>
      <w:r w:rsidRPr="004F0CBC">
        <w:rPr>
          <w:color w:val="000000" w:themeColor="text1"/>
          <w:szCs w:val="20"/>
        </w:rPr>
        <w:t>« </w:t>
      </w:r>
      <w:proofErr w:type="spellStart"/>
      <w:r w:rsidRPr="004F0CBC">
        <w:rPr>
          <w:color w:val="000000" w:themeColor="text1"/>
          <w:szCs w:val="20"/>
        </w:rPr>
        <w:t>Interpreting</w:t>
      </w:r>
      <w:proofErr w:type="spellEnd"/>
      <w:r w:rsidRPr="004F0CBC">
        <w:rPr>
          <w:color w:val="000000" w:themeColor="text1"/>
          <w:szCs w:val="20"/>
        </w:rPr>
        <w:t xml:space="preserve"> </w:t>
      </w:r>
      <w:proofErr w:type="spellStart"/>
      <w:r w:rsidRPr="004F0CBC">
        <w:rPr>
          <w:color w:val="000000" w:themeColor="text1"/>
          <w:szCs w:val="20"/>
        </w:rPr>
        <w:t>European</w:t>
      </w:r>
      <w:proofErr w:type="spellEnd"/>
      <w:r w:rsidRPr="004F0CBC">
        <w:rPr>
          <w:color w:val="000000" w:themeColor="text1"/>
          <w:szCs w:val="20"/>
        </w:rPr>
        <w:t xml:space="preserve"> Law </w:t>
      </w:r>
      <w:r>
        <w:rPr>
          <w:color w:val="000000" w:themeColor="text1"/>
          <w:szCs w:val="20"/>
        </w:rPr>
        <w:t xml:space="preserve">… », </w:t>
      </w:r>
      <w:r w:rsidRPr="00333CB5">
        <w:rPr>
          <w:i/>
          <w:color w:val="000000" w:themeColor="text1"/>
          <w:szCs w:val="20"/>
        </w:rPr>
        <w:t>op.cit.</w:t>
      </w:r>
      <w:r>
        <w:rPr>
          <w:szCs w:val="20"/>
        </w:rPr>
        <w:t>, pp. 145, 146</w:t>
      </w:r>
      <w:r w:rsidRPr="004F0CBC">
        <w:rPr>
          <w:szCs w:val="20"/>
        </w:rPr>
        <w:t>.</w:t>
      </w:r>
    </w:p>
  </w:footnote>
  <w:footnote w:id="29">
    <w:p w14:paraId="162070B9"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L’échange préjudiciel est « orchestré comme un véritable dialogue, une conversation dans laquelle les différents interlocuteurs font part de leur réflexion » (</w:t>
      </w:r>
      <w:r w:rsidRPr="004F0CBC">
        <w:rPr>
          <w:i/>
          <w:szCs w:val="20"/>
        </w:rPr>
        <w:t>Deutsche Telekom</w:t>
      </w:r>
      <w:r w:rsidRPr="004F0CBC">
        <w:rPr>
          <w:szCs w:val="20"/>
        </w:rPr>
        <w:t>, C-262/06, EU:C:2007:399, pt 28).</w:t>
      </w:r>
    </w:p>
  </w:footnote>
  <w:footnote w:id="30">
    <w:p w14:paraId="75911663"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sidRPr="004F0CBC">
        <w:rPr>
          <w:color w:val="000000"/>
          <w:szCs w:val="20"/>
        </w:rPr>
        <w:t>CJUE, Avis du 18 décembre 2014, EU:C:2014:2454, pt. 168, 191, 194.</w:t>
      </w:r>
    </w:p>
  </w:footnote>
  <w:footnote w:id="31">
    <w:p w14:paraId="5A14C21C" w14:textId="670339C2"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sidRPr="004F0CBC">
        <w:rPr>
          <w:color w:val="000000" w:themeColor="text1"/>
          <w:szCs w:val="20"/>
        </w:rPr>
        <w:t>K. L</w:t>
      </w:r>
      <w:r>
        <w:rPr>
          <w:color w:val="000000" w:themeColor="text1"/>
          <w:szCs w:val="20"/>
        </w:rPr>
        <w:t>ENAERTS</w:t>
      </w:r>
      <w:r w:rsidRPr="004F0CBC">
        <w:rPr>
          <w:color w:val="000000" w:themeColor="text1"/>
          <w:szCs w:val="20"/>
        </w:rPr>
        <w:t xml:space="preserve">, </w:t>
      </w:r>
      <w:r w:rsidRPr="004F0CBC">
        <w:rPr>
          <w:szCs w:val="20"/>
        </w:rPr>
        <w:t xml:space="preserve">« La vie après l’avis : </w:t>
      </w:r>
      <w:proofErr w:type="spellStart"/>
      <w:r w:rsidRPr="004F0CBC">
        <w:rPr>
          <w:szCs w:val="20"/>
        </w:rPr>
        <w:t>Exploring</w:t>
      </w:r>
      <w:proofErr w:type="spellEnd"/>
      <w:r w:rsidRPr="004F0CBC">
        <w:rPr>
          <w:szCs w:val="20"/>
        </w:rPr>
        <w:t xml:space="preserve"> the principe of </w:t>
      </w:r>
      <w:proofErr w:type="spellStart"/>
      <w:r w:rsidRPr="004F0CBC">
        <w:rPr>
          <w:szCs w:val="20"/>
        </w:rPr>
        <w:t>mutual</w:t>
      </w:r>
      <w:proofErr w:type="spellEnd"/>
      <w:r w:rsidRPr="004F0CBC">
        <w:rPr>
          <w:szCs w:val="20"/>
        </w:rPr>
        <w:t xml:space="preserve"> (</w:t>
      </w:r>
      <w:proofErr w:type="spellStart"/>
      <w:r w:rsidRPr="004F0CBC">
        <w:rPr>
          <w:szCs w:val="20"/>
        </w:rPr>
        <w:t>yet</w:t>
      </w:r>
      <w:proofErr w:type="spellEnd"/>
      <w:r w:rsidRPr="004F0CBC">
        <w:rPr>
          <w:szCs w:val="20"/>
        </w:rPr>
        <w:t xml:space="preserve"> not </w:t>
      </w:r>
      <w:proofErr w:type="spellStart"/>
      <w:r w:rsidRPr="004F0CBC">
        <w:rPr>
          <w:szCs w:val="20"/>
        </w:rPr>
        <w:t>blind</w:t>
      </w:r>
      <w:proofErr w:type="spellEnd"/>
      <w:r w:rsidRPr="004F0CBC">
        <w:rPr>
          <w:szCs w:val="20"/>
        </w:rPr>
        <w:t xml:space="preserve">) trust », </w:t>
      </w:r>
      <w:r w:rsidRPr="004F0CBC">
        <w:rPr>
          <w:i/>
          <w:iCs/>
          <w:color w:val="000000"/>
          <w:szCs w:val="20"/>
        </w:rPr>
        <w:t xml:space="preserve">Common </w:t>
      </w:r>
      <w:proofErr w:type="spellStart"/>
      <w:r w:rsidRPr="004F0CBC">
        <w:rPr>
          <w:i/>
          <w:iCs/>
          <w:color w:val="000000"/>
          <w:szCs w:val="20"/>
        </w:rPr>
        <w:t>Market</w:t>
      </w:r>
      <w:proofErr w:type="spellEnd"/>
      <w:r w:rsidRPr="004F0CBC">
        <w:rPr>
          <w:i/>
          <w:iCs/>
          <w:color w:val="000000"/>
          <w:szCs w:val="20"/>
        </w:rPr>
        <w:t xml:space="preserve"> Law </w:t>
      </w:r>
      <w:proofErr w:type="spellStart"/>
      <w:r w:rsidRPr="004F0CBC">
        <w:rPr>
          <w:i/>
          <w:iCs/>
          <w:color w:val="000000"/>
          <w:szCs w:val="20"/>
        </w:rPr>
        <w:t>Review</w:t>
      </w:r>
      <w:proofErr w:type="spellEnd"/>
      <w:r w:rsidRPr="004F0CBC">
        <w:rPr>
          <w:iCs/>
          <w:color w:val="000000"/>
          <w:szCs w:val="20"/>
        </w:rPr>
        <w:t>,</w:t>
      </w:r>
      <w:r w:rsidRPr="004F0CBC">
        <w:rPr>
          <w:i/>
          <w:iCs/>
          <w:color w:val="000000"/>
          <w:szCs w:val="20"/>
        </w:rPr>
        <w:t xml:space="preserve"> </w:t>
      </w:r>
      <w:r w:rsidRPr="004F0CBC">
        <w:rPr>
          <w:iCs/>
          <w:color w:val="000000"/>
          <w:szCs w:val="20"/>
        </w:rPr>
        <w:t xml:space="preserve">n° </w:t>
      </w:r>
      <w:r w:rsidRPr="004F0CBC">
        <w:rPr>
          <w:bCs/>
          <w:color w:val="000000"/>
          <w:szCs w:val="20"/>
        </w:rPr>
        <w:t>54</w:t>
      </w:r>
      <w:r w:rsidRPr="004F0CBC">
        <w:rPr>
          <w:color w:val="000000"/>
          <w:szCs w:val="20"/>
        </w:rPr>
        <w:t xml:space="preserve">, 2017, pp. 805-840, </w:t>
      </w:r>
      <w:r w:rsidRPr="004F0CBC">
        <w:rPr>
          <w:szCs w:val="20"/>
        </w:rPr>
        <w:t>p. 808.</w:t>
      </w:r>
    </w:p>
  </w:footnote>
  <w:footnote w:id="32">
    <w:p w14:paraId="6967869C" w14:textId="77777777"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sidRPr="004F0CBC">
        <w:rPr>
          <w:color w:val="000000"/>
          <w:szCs w:val="20"/>
        </w:rPr>
        <w:t>CJUE, Avis du 18 décembre 2014, EU:C:2014:2454, pt. 49.</w:t>
      </w:r>
    </w:p>
  </w:footnote>
  <w:footnote w:id="33">
    <w:p w14:paraId="43A3F1BA" w14:textId="7D917A98"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sidRPr="004F0CBC">
        <w:rPr>
          <w:color w:val="000000" w:themeColor="text1"/>
          <w:szCs w:val="20"/>
        </w:rPr>
        <w:t>K. L</w:t>
      </w:r>
      <w:r>
        <w:rPr>
          <w:color w:val="000000" w:themeColor="text1"/>
          <w:szCs w:val="20"/>
        </w:rPr>
        <w:t>ENAERTS</w:t>
      </w:r>
      <w:r w:rsidRPr="004F0CBC">
        <w:rPr>
          <w:color w:val="000000" w:themeColor="text1"/>
          <w:szCs w:val="20"/>
        </w:rPr>
        <w:t>, Discours de ren</w:t>
      </w:r>
      <w:r>
        <w:rPr>
          <w:color w:val="000000" w:themeColor="text1"/>
          <w:szCs w:val="20"/>
        </w:rPr>
        <w:t>trée académique de l’IEE à l’Université libre de Bruxelles</w:t>
      </w:r>
      <w:r w:rsidRPr="004F0CBC">
        <w:rPr>
          <w:color w:val="000000" w:themeColor="text1"/>
          <w:szCs w:val="20"/>
        </w:rPr>
        <w:t xml:space="preserve"> le 14 octobre 2016, https://www.youtube.com/watch?v=</w:t>
      </w:r>
      <w:proofErr w:type="gramStart"/>
      <w:r w:rsidRPr="004F0CBC">
        <w:rPr>
          <w:color w:val="000000" w:themeColor="text1"/>
          <w:szCs w:val="20"/>
        </w:rPr>
        <w:t>me2OrygtIWY ,</w:t>
      </w:r>
      <w:proofErr w:type="gramEnd"/>
      <w:r w:rsidRPr="004F0CBC">
        <w:rPr>
          <w:color w:val="000000" w:themeColor="text1"/>
          <w:szCs w:val="20"/>
        </w:rPr>
        <w:t xml:space="preserve"> minute</w:t>
      </w:r>
      <w:r>
        <w:rPr>
          <w:color w:val="000000" w:themeColor="text1"/>
          <w:szCs w:val="20"/>
        </w:rPr>
        <w:t>s</w:t>
      </w:r>
      <w:r w:rsidRPr="004F0CBC">
        <w:rPr>
          <w:color w:val="000000" w:themeColor="text1"/>
          <w:szCs w:val="20"/>
        </w:rPr>
        <w:t xml:space="preserve"> 58 et suivantes.</w:t>
      </w:r>
    </w:p>
  </w:footnote>
  <w:footnote w:id="34">
    <w:p w14:paraId="77D17C7B" w14:textId="27F08A1B" w:rsidR="007F4C21" w:rsidRPr="00C66BC8" w:rsidRDefault="007F4C21">
      <w:pPr>
        <w:pStyle w:val="Notedebasdepage"/>
        <w:rPr>
          <w:szCs w:val="20"/>
        </w:rPr>
      </w:pPr>
      <w:r w:rsidRPr="00C66BC8">
        <w:rPr>
          <w:rStyle w:val="Marquenotebasdepage"/>
          <w:szCs w:val="20"/>
        </w:rPr>
        <w:footnoteRef/>
      </w:r>
      <w:r w:rsidRPr="00C66BC8">
        <w:rPr>
          <w:szCs w:val="20"/>
        </w:rPr>
        <w:t xml:space="preserve"> J.-M. FERRY, </w:t>
      </w:r>
      <w:r>
        <w:rPr>
          <w:szCs w:val="20"/>
        </w:rPr>
        <w:t>« Comprendre l’</w:t>
      </w:r>
      <w:r w:rsidRPr="00C66BC8">
        <w:rPr>
          <w:szCs w:val="20"/>
        </w:rPr>
        <w:t xml:space="preserve">Union européenne en un sens cosmopolitique » Quelle participation civique </w:t>
      </w:r>
      <w:proofErr w:type="gramStart"/>
      <w:r w:rsidRPr="00C66BC8">
        <w:rPr>
          <w:szCs w:val="20"/>
        </w:rPr>
        <w:t>?,</w:t>
      </w:r>
      <w:proofErr w:type="gramEnd"/>
      <w:r w:rsidRPr="00C66BC8">
        <w:rPr>
          <w:szCs w:val="20"/>
        </w:rPr>
        <w:t xml:space="preserve"> </w:t>
      </w:r>
      <w:r w:rsidRPr="00C66BC8">
        <w:rPr>
          <w:i/>
          <w:iCs/>
          <w:szCs w:val="20"/>
        </w:rPr>
        <w:t>Archives de Philosophie</w:t>
      </w:r>
      <w:r w:rsidRPr="00C66BC8">
        <w:rPr>
          <w:szCs w:val="20"/>
        </w:rPr>
        <w:t>, 2012/3</w:t>
      </w:r>
      <w:r>
        <w:rPr>
          <w:szCs w:val="20"/>
        </w:rPr>
        <w:t>,</w:t>
      </w:r>
      <w:r w:rsidRPr="00C66BC8">
        <w:rPr>
          <w:szCs w:val="20"/>
        </w:rPr>
        <w:t xml:space="preserve"> Tome 75, p</w:t>
      </w:r>
      <w:r>
        <w:rPr>
          <w:szCs w:val="20"/>
        </w:rPr>
        <w:t>p</w:t>
      </w:r>
      <w:r w:rsidRPr="00C66BC8">
        <w:rPr>
          <w:szCs w:val="20"/>
        </w:rPr>
        <w:t>. 395-404.</w:t>
      </w:r>
    </w:p>
  </w:footnote>
  <w:footnote w:id="35">
    <w:p w14:paraId="037D4B5C" w14:textId="0C862EAB" w:rsidR="007F4C21" w:rsidRPr="004F0CBC" w:rsidRDefault="007F4C21" w:rsidP="004F0CBC">
      <w:pPr>
        <w:pStyle w:val="Notedebasdepage"/>
        <w:contextualSpacing/>
        <w:rPr>
          <w:szCs w:val="20"/>
        </w:rPr>
      </w:pPr>
      <w:r w:rsidRPr="00C66BC8">
        <w:rPr>
          <w:rStyle w:val="Marquenotebasdepage"/>
          <w:szCs w:val="20"/>
        </w:rPr>
        <w:footnoteRef/>
      </w:r>
      <w:r w:rsidRPr="00C66BC8">
        <w:rPr>
          <w:szCs w:val="20"/>
        </w:rPr>
        <w:t xml:space="preserve"> </w:t>
      </w:r>
      <w:r w:rsidRPr="004F0CBC">
        <w:rPr>
          <w:color w:val="000000" w:themeColor="text1"/>
          <w:szCs w:val="20"/>
        </w:rPr>
        <w:t>K. L</w:t>
      </w:r>
      <w:r>
        <w:rPr>
          <w:color w:val="000000" w:themeColor="text1"/>
          <w:szCs w:val="20"/>
        </w:rPr>
        <w:t>ENAERTS</w:t>
      </w:r>
      <w:r w:rsidRPr="004F0CBC">
        <w:rPr>
          <w:color w:val="000000" w:themeColor="text1"/>
          <w:szCs w:val="20"/>
        </w:rPr>
        <w:t xml:space="preserve">, </w:t>
      </w:r>
      <w:r w:rsidRPr="00C66BC8">
        <w:rPr>
          <w:color w:val="000000" w:themeColor="text1"/>
          <w:szCs w:val="20"/>
        </w:rPr>
        <w:t xml:space="preserve">Discours de rentrée académique de l’IEE à </w:t>
      </w:r>
      <w:r>
        <w:rPr>
          <w:color w:val="000000" w:themeColor="text1"/>
          <w:szCs w:val="20"/>
        </w:rPr>
        <w:t>l’Université libre de Bruxelles</w:t>
      </w:r>
      <w:r w:rsidRPr="00C66BC8">
        <w:rPr>
          <w:color w:val="000000" w:themeColor="text1"/>
          <w:szCs w:val="20"/>
        </w:rPr>
        <w:t xml:space="preserve"> le 14 octobre 2016,</w:t>
      </w:r>
      <w:r w:rsidRPr="004F0CBC">
        <w:rPr>
          <w:color w:val="000000" w:themeColor="text1"/>
          <w:szCs w:val="20"/>
        </w:rPr>
        <w:t xml:space="preserve"> https://www.youtube.com/watch?v=me2OrygtIWY</w:t>
      </w:r>
    </w:p>
  </w:footnote>
  <w:footnote w:id="36">
    <w:p w14:paraId="13AAA71A" w14:textId="3567D459" w:rsidR="007F4C21" w:rsidRPr="004F0CBC" w:rsidRDefault="007F4C21" w:rsidP="004F0CBC">
      <w:pPr>
        <w:pStyle w:val="Notedebasdepage"/>
        <w:contextualSpacing/>
        <w:rPr>
          <w:szCs w:val="20"/>
        </w:rPr>
      </w:pPr>
      <w:r w:rsidRPr="004F0CBC">
        <w:rPr>
          <w:rStyle w:val="Marquenotebasdepage"/>
          <w:szCs w:val="20"/>
        </w:rPr>
        <w:footnoteRef/>
      </w:r>
      <w:r w:rsidRPr="004F0CBC">
        <w:rPr>
          <w:szCs w:val="20"/>
        </w:rPr>
        <w:t xml:space="preserve"> </w:t>
      </w:r>
      <w:r>
        <w:rPr>
          <w:szCs w:val="20"/>
        </w:rPr>
        <w:t>A. VAUCHEZ et C. ROBERT</w:t>
      </w:r>
      <w:r w:rsidRPr="004F0CBC">
        <w:rPr>
          <w:szCs w:val="20"/>
        </w:rPr>
        <w:t xml:space="preserve">, </w:t>
      </w:r>
      <w:r>
        <w:rPr>
          <w:szCs w:val="20"/>
        </w:rPr>
        <w:t>« L</w:t>
      </w:r>
      <w:r w:rsidRPr="004F0CBC">
        <w:rPr>
          <w:szCs w:val="20"/>
        </w:rPr>
        <w:t>’Académie européenne</w:t>
      </w:r>
      <w:r>
        <w:rPr>
          <w:szCs w:val="20"/>
        </w:rPr>
        <w:t xml:space="preserve">… », </w:t>
      </w:r>
      <w:proofErr w:type="gramStart"/>
      <w:r w:rsidRPr="000E3BF3">
        <w:rPr>
          <w:i/>
          <w:szCs w:val="20"/>
        </w:rPr>
        <w:t>op.cit</w:t>
      </w:r>
      <w:proofErr w:type="gramEnd"/>
      <w:r w:rsidRPr="000E3BF3">
        <w:rPr>
          <w:i/>
          <w:szCs w:val="20"/>
        </w:rPr>
        <w:t>.</w:t>
      </w:r>
      <w:r w:rsidRPr="004F0CBC">
        <w:rPr>
          <w:szCs w:val="20"/>
        </w:rPr>
        <w:t>, p. 10.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4D3"/>
    <w:rsid w:val="00007CF4"/>
    <w:rsid w:val="000366A0"/>
    <w:rsid w:val="000522D6"/>
    <w:rsid w:val="00071C14"/>
    <w:rsid w:val="000E3BF3"/>
    <w:rsid w:val="00143B8D"/>
    <w:rsid w:val="00151FEC"/>
    <w:rsid w:val="00231C31"/>
    <w:rsid w:val="002651AB"/>
    <w:rsid w:val="00293202"/>
    <w:rsid w:val="003256F3"/>
    <w:rsid w:val="00333CB5"/>
    <w:rsid w:val="003506B2"/>
    <w:rsid w:val="003A66D1"/>
    <w:rsid w:val="003F492F"/>
    <w:rsid w:val="0045200C"/>
    <w:rsid w:val="004B25DF"/>
    <w:rsid w:val="004F0CBC"/>
    <w:rsid w:val="004F36AC"/>
    <w:rsid w:val="005618A0"/>
    <w:rsid w:val="005C5582"/>
    <w:rsid w:val="005D3766"/>
    <w:rsid w:val="00650F45"/>
    <w:rsid w:val="0069057D"/>
    <w:rsid w:val="006B41FA"/>
    <w:rsid w:val="006E3457"/>
    <w:rsid w:val="00703412"/>
    <w:rsid w:val="00710E26"/>
    <w:rsid w:val="007253EA"/>
    <w:rsid w:val="007F4C21"/>
    <w:rsid w:val="00875411"/>
    <w:rsid w:val="008764D3"/>
    <w:rsid w:val="008825CE"/>
    <w:rsid w:val="0090123D"/>
    <w:rsid w:val="00905400"/>
    <w:rsid w:val="00910626"/>
    <w:rsid w:val="00946212"/>
    <w:rsid w:val="009B36B0"/>
    <w:rsid w:val="009B4975"/>
    <w:rsid w:val="009E33EB"/>
    <w:rsid w:val="00A06B09"/>
    <w:rsid w:val="00A22175"/>
    <w:rsid w:val="00A652D3"/>
    <w:rsid w:val="00A803DB"/>
    <w:rsid w:val="00A94583"/>
    <w:rsid w:val="00BA0BDE"/>
    <w:rsid w:val="00BD0F05"/>
    <w:rsid w:val="00C362C7"/>
    <w:rsid w:val="00C66BC8"/>
    <w:rsid w:val="00CD70A6"/>
    <w:rsid w:val="00D43018"/>
    <w:rsid w:val="00D6511B"/>
    <w:rsid w:val="00D746DA"/>
    <w:rsid w:val="00D91FE0"/>
    <w:rsid w:val="00DF7124"/>
    <w:rsid w:val="00EA1B28"/>
    <w:rsid w:val="00EB2EBE"/>
    <w:rsid w:val="00F1510B"/>
    <w:rsid w:val="00F5014F"/>
    <w:rsid w:val="00F60021"/>
    <w:rsid w:val="00FE15A9"/>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50CE9E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4D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Footnote2 Car,Footnote2 Car Car Car,Footnote Car Car Car Car Car,Footnote,Footnote Car Car,Footnote Car Car Car Car Car Car Car Car Car Car,Footnote Car Car Car,Footnote Car,Footnote Car Car Car Car Car Car"/>
    <w:basedOn w:val="Normal"/>
    <w:link w:val="NotedebasdepageCar"/>
    <w:unhideWhenUsed/>
    <w:rsid w:val="00CD70A6"/>
    <w:rPr>
      <w:sz w:val="20"/>
    </w:rPr>
  </w:style>
  <w:style w:type="character" w:customStyle="1" w:styleId="NotedebasdepageCar">
    <w:name w:val="Note de bas de page Car"/>
    <w:aliases w:val="Footnotes Car,Footnote2 Car Car,Footnote2 Car Car Car Car,Footnote Car Car Car Car Car Car1,Footnote Car1,Footnote Car Car Car1,Footnote Car Car Car Car Car Car Car Car Car Car Car,Footnote Car Car Car Car,Footnote Car Car1"/>
    <w:basedOn w:val="Policepardfaut"/>
    <w:link w:val="Notedebasdepage"/>
    <w:rsid w:val="00CD70A6"/>
    <w:rPr>
      <w:sz w:val="20"/>
    </w:rPr>
  </w:style>
  <w:style w:type="character" w:styleId="Marquenotebasdepage">
    <w:name w:val="footnote reference"/>
    <w:aliases w:val="Appel note de bas de page"/>
    <w:basedOn w:val="Policepardfaut"/>
    <w:uiPriority w:val="99"/>
    <w:unhideWhenUsed/>
    <w:rsid w:val="008764D3"/>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4D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Footnote2 Car,Footnote2 Car Car Car,Footnote Car Car Car Car Car,Footnote,Footnote Car Car,Footnote Car Car Car Car Car Car Car Car Car Car,Footnote Car Car Car,Footnote Car,Footnote Car Car Car Car Car Car"/>
    <w:basedOn w:val="Normal"/>
    <w:link w:val="NotedebasdepageCar"/>
    <w:unhideWhenUsed/>
    <w:rsid w:val="00CD70A6"/>
    <w:rPr>
      <w:sz w:val="20"/>
    </w:rPr>
  </w:style>
  <w:style w:type="character" w:customStyle="1" w:styleId="NotedebasdepageCar">
    <w:name w:val="Note de bas de page Car"/>
    <w:aliases w:val="Footnotes Car,Footnote2 Car Car,Footnote2 Car Car Car Car,Footnote Car Car Car Car Car Car1,Footnote Car1,Footnote Car Car Car1,Footnote Car Car Car Car Car Car Car Car Car Car Car,Footnote Car Car Car Car,Footnote Car Car1"/>
    <w:basedOn w:val="Policepardfaut"/>
    <w:link w:val="Notedebasdepage"/>
    <w:rsid w:val="00CD70A6"/>
    <w:rPr>
      <w:sz w:val="20"/>
    </w:rPr>
  </w:style>
  <w:style w:type="character" w:styleId="Marquenotebasdepage">
    <w:name w:val="footnote reference"/>
    <w:aliases w:val="Appel note de bas de page"/>
    <w:basedOn w:val="Policepardfaut"/>
    <w:uiPriority w:val="99"/>
    <w:unhideWhenUsed/>
    <w:rsid w:val="008764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162</TotalTime>
  <Pages>10</Pages>
  <Words>5823</Words>
  <Characters>32436</Characters>
  <Application>Microsoft Macintosh Word</Application>
  <DocSecurity>0</DocSecurity>
  <Lines>444</Lines>
  <Paragraphs>40</Paragraphs>
  <ScaleCrop>false</ScaleCrop>
  <Company/>
  <LinksUpToDate>false</LinksUpToDate>
  <CharactersWithSpaces>38219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42</cp:revision>
  <dcterms:created xsi:type="dcterms:W3CDTF">2019-04-27T09:20:00Z</dcterms:created>
  <dcterms:modified xsi:type="dcterms:W3CDTF">2019-04-29T15:46:00Z</dcterms:modified>
</cp:coreProperties>
</file>