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C10A" w14:textId="2F0C99A3" w:rsidR="005B7CBF" w:rsidRPr="00315888" w:rsidRDefault="00B17F38" w:rsidP="00745353">
      <w:pPr>
        <w:spacing w:line="276" w:lineRule="auto"/>
        <w:rPr>
          <w:shd w:val="clear" w:color="auto" w:fill="FFFFFF"/>
        </w:rPr>
      </w:pPr>
      <w:r w:rsidRPr="00315888">
        <w:rPr>
          <w:rStyle w:val="Accentuation"/>
          <w:rFonts w:eastAsiaTheme="majorEastAsia"/>
          <w:color w:val="000000"/>
          <w:shd w:val="clear" w:color="auto" w:fill="FFFFFF"/>
        </w:rPr>
        <w:t>L’exception et la Règle. Les pratiques d’entrée et de sortie des couvents, de la fin du Moyen Âge au XIX</w:t>
      </w:r>
      <w:r w:rsidRPr="00315888">
        <w:rPr>
          <w:rStyle w:val="Accentuation"/>
          <w:rFonts w:eastAsiaTheme="majorEastAsia"/>
          <w:color w:val="000000"/>
          <w:shd w:val="clear" w:color="auto" w:fill="FFFFFF"/>
          <w:vertAlign w:val="superscript"/>
        </w:rPr>
        <w:t>e</w:t>
      </w:r>
      <w:r w:rsidRPr="00315888">
        <w:rPr>
          <w:rStyle w:val="Accentuation"/>
          <w:rFonts w:eastAsiaTheme="majorEastAsia"/>
          <w:color w:val="000000"/>
          <w:shd w:val="clear" w:color="auto" w:fill="FFFFFF"/>
        </w:rPr>
        <w:t> siècle</w:t>
      </w:r>
      <w:r w:rsidRPr="00315888">
        <w:rPr>
          <w:shd w:val="clear" w:color="auto" w:fill="FFFFFF"/>
        </w:rPr>
        <w:t>, éd. Albrecht </w:t>
      </w:r>
      <w:r w:rsidRPr="00315888">
        <w:rPr>
          <w:smallCaps/>
          <w:bdr w:val="none" w:sz="0" w:space="0" w:color="auto" w:frame="1"/>
          <w:shd w:val="clear" w:color="auto" w:fill="FFFFFF"/>
          <w:lang w:val="la-Latn"/>
        </w:rPr>
        <w:t>Burkardt</w:t>
      </w:r>
      <w:r w:rsidRPr="00315888">
        <w:rPr>
          <w:shd w:val="clear" w:color="auto" w:fill="FFFFFF"/>
        </w:rPr>
        <w:t>, Alexandra </w:t>
      </w:r>
      <w:r w:rsidRPr="00315888">
        <w:rPr>
          <w:smallCaps/>
          <w:bdr w:val="none" w:sz="0" w:space="0" w:color="auto" w:frame="1"/>
          <w:shd w:val="clear" w:color="auto" w:fill="FFFFFF"/>
        </w:rPr>
        <w:t>Roger</w:t>
      </w:r>
      <w:r w:rsidRPr="00315888">
        <w:rPr>
          <w:shd w:val="clear" w:color="auto" w:fill="FFFFFF"/>
        </w:rPr>
        <w:t>, Rennes, P.U. Rennes, 2022</w:t>
      </w:r>
      <w:r w:rsidR="00315888">
        <w:rPr>
          <w:shd w:val="clear" w:color="auto" w:fill="FFFFFF"/>
        </w:rPr>
        <w:t> </w:t>
      </w:r>
      <w:r w:rsidRPr="00315888">
        <w:rPr>
          <w:shd w:val="clear" w:color="auto" w:fill="FFFFFF"/>
        </w:rPr>
        <w:t>; 1</w:t>
      </w:r>
      <w:r w:rsidR="00315888">
        <w:rPr>
          <w:shd w:val="clear" w:color="auto" w:fill="FFFFFF"/>
        </w:rPr>
        <w:t> </w:t>
      </w:r>
      <w:r w:rsidRPr="00315888">
        <w:rPr>
          <w:shd w:val="clear" w:color="auto" w:fill="FFFFFF"/>
        </w:rPr>
        <w:t>vol., 346 p. (</w:t>
      </w:r>
      <w:r w:rsidRPr="00315888">
        <w:rPr>
          <w:i/>
          <w:iCs/>
          <w:shd w:val="clear" w:color="auto" w:fill="FFFFFF"/>
        </w:rPr>
        <w:t>Histoire</w:t>
      </w:r>
      <w:r w:rsidRPr="00315888">
        <w:rPr>
          <w:shd w:val="clear" w:color="auto" w:fill="FFFFFF"/>
        </w:rPr>
        <w:t>). ISBN</w:t>
      </w:r>
      <w:r w:rsidR="00315888">
        <w:rPr>
          <w:shd w:val="clear" w:color="auto" w:fill="FFFFFF"/>
        </w:rPr>
        <w:t> </w:t>
      </w:r>
      <w:r w:rsidRPr="00315888">
        <w:rPr>
          <w:shd w:val="clear" w:color="auto" w:fill="FFFFFF"/>
        </w:rPr>
        <w:t>: 978-2-7535-8652-9. Prix</w:t>
      </w:r>
      <w:r w:rsidR="00315888">
        <w:rPr>
          <w:shd w:val="clear" w:color="auto" w:fill="FFFFFF"/>
        </w:rPr>
        <w:t> </w:t>
      </w:r>
      <w:r w:rsidRPr="00315888">
        <w:rPr>
          <w:shd w:val="clear" w:color="auto" w:fill="FFFFFF"/>
        </w:rPr>
        <w:t>: € 30,00.</w:t>
      </w:r>
    </w:p>
    <w:p w14:paraId="194EB311" w14:textId="75DF1884" w:rsidR="00B17F38" w:rsidRDefault="00B17F38" w:rsidP="00745353">
      <w:pPr>
        <w:spacing w:line="276" w:lineRule="auto"/>
      </w:pPr>
    </w:p>
    <w:p w14:paraId="0ABC742C" w14:textId="17D72FB9" w:rsidR="00876AE4" w:rsidRDefault="00867393" w:rsidP="00745353">
      <w:pPr>
        <w:spacing w:line="276" w:lineRule="auto"/>
      </w:pPr>
      <w:r>
        <w:t xml:space="preserve">Corollaire de l’obéissance, la </w:t>
      </w:r>
      <w:r w:rsidRPr="00867393">
        <w:rPr>
          <w:i/>
          <w:iCs/>
          <w:lang w:val="la-Latn"/>
        </w:rPr>
        <w:t>stabilitas loci</w:t>
      </w:r>
      <w:r>
        <w:t xml:space="preserve"> s’est imposée dès les débuts du monachisme occidental</w:t>
      </w:r>
      <w:r w:rsidR="00E475BF">
        <w:t xml:space="preserve"> jusqu’à devenir constitutive de la vie régulière</w:t>
      </w:r>
      <w:r>
        <w:t xml:space="preserve">. </w:t>
      </w:r>
      <w:r w:rsidR="00394C93">
        <w:t>En principe, la personne</w:t>
      </w:r>
      <w:r w:rsidR="00E475BF">
        <w:t xml:space="preserve"> qui </w:t>
      </w:r>
      <w:r w:rsidR="00EE414C">
        <w:t xml:space="preserve">fait </w:t>
      </w:r>
      <w:r w:rsidR="00E475BF">
        <w:t>vœu d’entrer en religion est tenu</w:t>
      </w:r>
      <w:r w:rsidR="00394C93">
        <w:t>e</w:t>
      </w:r>
      <w:r w:rsidR="00E475BF">
        <w:t xml:space="preserve"> de demeurer dans son monastère. </w:t>
      </w:r>
      <w:r w:rsidR="00B825E3">
        <w:t>Jusqu’au XIII</w:t>
      </w:r>
      <w:r w:rsidR="00B825E3" w:rsidRPr="00B825E3">
        <w:rPr>
          <w:vertAlign w:val="superscript"/>
        </w:rPr>
        <w:t>e</w:t>
      </w:r>
      <w:r w:rsidR="00B825E3">
        <w:t xml:space="preserve"> siècle, l</w:t>
      </w:r>
      <w:r>
        <w:t xml:space="preserve">e moine gyrovague </w:t>
      </w:r>
      <w:r w:rsidR="00B825E3">
        <w:t>est vu comme un déviant</w:t>
      </w:r>
      <w:r w:rsidR="00B36081">
        <w:t>,</w:t>
      </w:r>
      <w:r w:rsidR="00B825E3">
        <w:t xml:space="preserve"> </w:t>
      </w:r>
      <w:r w:rsidR="00E5106A">
        <w:t xml:space="preserve">par la </w:t>
      </w:r>
      <w:r w:rsidR="00B825E3">
        <w:t>suite, comme un apostat</w:t>
      </w:r>
      <w:r w:rsidR="00C74866">
        <w:t xml:space="preserve">, un criminel. </w:t>
      </w:r>
      <w:r w:rsidR="00AA78BD">
        <w:t>Franchir la clôture</w:t>
      </w:r>
      <w:r w:rsidR="00E5106A">
        <w:t xml:space="preserve"> n’est pas anodin</w:t>
      </w:r>
      <w:r w:rsidR="00B36081">
        <w:t> :</w:t>
      </w:r>
      <w:r w:rsidR="00E5106A">
        <w:t xml:space="preserve"> </w:t>
      </w:r>
      <w:r w:rsidR="00B36081">
        <w:t>l</w:t>
      </w:r>
      <w:r w:rsidR="00E5106A">
        <w:t xml:space="preserve">es </w:t>
      </w:r>
      <w:r w:rsidR="00B36081">
        <w:t>déplacements</w:t>
      </w:r>
      <w:r w:rsidR="00E5106A">
        <w:t xml:space="preserve"> sont réglementés</w:t>
      </w:r>
      <w:r w:rsidR="00B36081">
        <w:t>, des dérogations prévues, des sanctions appliquées.</w:t>
      </w:r>
    </w:p>
    <w:p w14:paraId="1C59856C" w14:textId="6F45C15F" w:rsidR="00B36081" w:rsidRDefault="00B36081" w:rsidP="00745353">
      <w:pPr>
        <w:spacing w:line="276" w:lineRule="auto"/>
      </w:pPr>
      <w:r>
        <w:t xml:space="preserve">Cet ouvrage, dirigé par </w:t>
      </w:r>
      <w:r w:rsidR="00AA78BD">
        <w:t xml:space="preserve">Albrecht Burkardt et Alexandra Roger, </w:t>
      </w:r>
      <w:r w:rsidR="008104E5">
        <w:t xml:space="preserve">regroupe les communications actualisées d’un colloque tenu à Limoges, qui </w:t>
      </w:r>
      <w:r w:rsidR="00AA78BD">
        <w:t>s’attache</w:t>
      </w:r>
      <w:r w:rsidR="008104E5">
        <w:t>nt</w:t>
      </w:r>
      <w:r w:rsidR="00AA78BD">
        <w:t xml:space="preserve"> à étudier les pratiques d’entrée et de sortie des couvents sur une longue période moderne, de la fin du Moyen Âge </w:t>
      </w:r>
      <w:r w:rsidR="00F6197E">
        <w:t>au XIX</w:t>
      </w:r>
      <w:r w:rsidR="00F6197E" w:rsidRPr="00F6197E">
        <w:rPr>
          <w:vertAlign w:val="superscript"/>
        </w:rPr>
        <w:t>e</w:t>
      </w:r>
      <w:r w:rsidR="00F6197E">
        <w:t xml:space="preserve"> siècle</w:t>
      </w:r>
      <w:r w:rsidR="008104E5">
        <w:t>. Qua</w:t>
      </w:r>
      <w:r w:rsidR="00F6197E">
        <w:t xml:space="preserve">tre </w:t>
      </w:r>
      <w:r w:rsidR="005C4D85">
        <w:t>parties</w:t>
      </w:r>
      <w:r w:rsidR="008104E5">
        <w:t xml:space="preserve"> </w:t>
      </w:r>
      <w:r w:rsidR="005C4D85">
        <w:t>structurent le volume</w:t>
      </w:r>
      <w:r w:rsidR="00F6197E">
        <w:t> : « Réglementations et procédures</w:t>
      </w:r>
      <w:r w:rsidR="008104E5">
        <w:t>, du</w:t>
      </w:r>
      <w:r w:rsidR="008104E5" w:rsidRPr="008104E5">
        <w:t xml:space="preserve"> </w:t>
      </w:r>
      <w:r w:rsidR="008104E5">
        <w:t>Moyen Âge à l’époque moderne </w:t>
      </w:r>
      <w:r w:rsidR="00F6197E">
        <w:t> » (p.</w:t>
      </w:r>
      <w:r w:rsidR="007A4401">
        <w:t> </w:t>
      </w:r>
      <w:r w:rsidR="000A329F">
        <w:t>39</w:t>
      </w:r>
      <w:r w:rsidR="00F6197E">
        <w:t>-97.), « Pratiques de sélection, pratiques d’exclusion » (p.</w:t>
      </w:r>
      <w:r w:rsidR="007A4401">
        <w:t> </w:t>
      </w:r>
      <w:r w:rsidR="00F6197E">
        <w:t>99-190.), « Entrées hors norme, sorties temporaires, réintégrations »</w:t>
      </w:r>
      <w:r w:rsidR="000A329F">
        <w:t xml:space="preserve"> (p.</w:t>
      </w:r>
      <w:r w:rsidR="007A4401">
        <w:t> </w:t>
      </w:r>
      <w:r w:rsidR="000A329F">
        <w:t>191-249.)</w:t>
      </w:r>
      <w:r w:rsidR="00F6197E">
        <w:t>,</w:t>
      </w:r>
      <w:r w:rsidR="008104E5">
        <w:t xml:space="preserve"> </w:t>
      </w:r>
      <w:r w:rsidR="00F6197E">
        <w:t>« Entrées (forcées) – sorties (rêvées ?), pratiques et représentations de la clôture »</w:t>
      </w:r>
      <w:r w:rsidR="000A329F">
        <w:t xml:space="preserve"> (p.</w:t>
      </w:r>
      <w:r w:rsidR="007A4401">
        <w:t> </w:t>
      </w:r>
      <w:r w:rsidR="000A329F">
        <w:t>251-319.)</w:t>
      </w:r>
      <w:r w:rsidR="008104E5">
        <w:t> ;</w:t>
      </w:r>
      <w:r w:rsidR="005C4D85">
        <w:t xml:space="preserve"> deux contributions tirées de la première partie nous intéresseront plus particulièrement ici.</w:t>
      </w:r>
    </w:p>
    <w:p w14:paraId="119CE59A" w14:textId="570971ED" w:rsidR="00673A9D" w:rsidRDefault="00DA05B1" w:rsidP="00745353">
      <w:pPr>
        <w:spacing w:line="276" w:lineRule="auto"/>
      </w:pPr>
      <w:r>
        <w:t xml:space="preserve">Ninon Dubourg a choisi le prisme de l’incapacité physique afin d’évaluer la porosité de la clôture monastique. </w:t>
      </w:r>
      <w:r w:rsidR="00673A9D">
        <w:t xml:space="preserve">Sa contribution, </w:t>
      </w:r>
      <w:r>
        <w:t>« L’incapacité dans les lettres de dispenses pontificales. Aller à l’encontre de la réglementation ecclésiastique médiévale pour franchir la clôture » (p.</w:t>
      </w:r>
      <w:r w:rsidR="00673A9D">
        <w:t> </w:t>
      </w:r>
      <w:r>
        <w:t>41-54.)</w:t>
      </w:r>
      <w:r w:rsidR="00673A9D">
        <w:t xml:space="preserve">, examine les lettres de dispense qu’adresse la chancellerie pontificale aux personnes </w:t>
      </w:r>
      <w:r w:rsidR="009853B8">
        <w:t xml:space="preserve">en situation d’incapacité </w:t>
      </w:r>
      <w:r w:rsidR="00673A9D">
        <w:t>désireuses d’entrer ou de sortir d</w:t>
      </w:r>
      <w:r w:rsidR="009853B8">
        <w:t>’un</w:t>
      </w:r>
      <w:r w:rsidR="00673A9D">
        <w:t xml:space="preserve"> monastère.</w:t>
      </w:r>
      <w:r w:rsidR="009853B8">
        <w:t xml:space="preserve"> De fait, la faiblesse, la maladie, la vieillesse ou la mutilation </w:t>
      </w:r>
      <w:r w:rsidR="00ED2FB3">
        <w:t xml:space="preserve">peuvent pousser un clerc ou un laïc à choisir la vie monastique, ou, au contraire, elles peuvent être invoquées afin de quitter le monastère temporairement ou définitivement. </w:t>
      </w:r>
      <w:r w:rsidR="00B7437A">
        <w:t xml:space="preserve">Grâce au dépouillement des lettres </w:t>
      </w:r>
      <w:r w:rsidR="00692ED8">
        <w:t>pontificales</w:t>
      </w:r>
      <w:r w:rsidR="00B7437A">
        <w:t xml:space="preserve">, l’A. a richement </w:t>
      </w:r>
      <w:r w:rsidR="00692ED8">
        <w:t>exemplifié les dispenses octroyées sans « scandale », c’est</w:t>
      </w:r>
      <w:r w:rsidR="007215CF">
        <w:t>-à-dire pour une bonne raison.</w:t>
      </w:r>
    </w:p>
    <w:p w14:paraId="0E37AB09" w14:textId="6159FF73" w:rsidR="005B607C" w:rsidRDefault="00D57710" w:rsidP="00745353">
      <w:pPr>
        <w:spacing w:line="276" w:lineRule="auto"/>
      </w:pPr>
      <w:r>
        <w:t>C</w:t>
      </w:r>
      <w:r w:rsidR="00843409">
        <w:t>onservé</w:t>
      </w:r>
      <w:r>
        <w:t>s à partir de la deuxième moitié du XV</w:t>
      </w:r>
      <w:r w:rsidRPr="00D57710">
        <w:rPr>
          <w:vertAlign w:val="superscript"/>
        </w:rPr>
        <w:t>e</w:t>
      </w:r>
      <w:r>
        <w:t xml:space="preserve"> s., les registres de suppliques de la Pénitencerie apostolique détiennent de nombreux renseignements sur les infractions à la clôture. Ces sources inédites ont été étudiées par Élisabeth Lusset dans sa contribution « </w:t>
      </w:r>
      <w:r w:rsidRPr="00D57710">
        <w:rPr>
          <w:i/>
          <w:iCs/>
          <w:lang w:val="la-Latn"/>
        </w:rPr>
        <w:t>Licentia standi extra</w:t>
      </w:r>
      <w:r>
        <w:t>. La Pénitencerie apostolique, les vœux religieux et la clôture (fin XV</w:t>
      </w:r>
      <w:r w:rsidRPr="00356234">
        <w:rPr>
          <w:vertAlign w:val="superscript"/>
        </w:rPr>
        <w:t>e</w:t>
      </w:r>
      <w:r w:rsidR="00D120E1">
        <w:t> </w:t>
      </w:r>
      <w:r>
        <w:t>s.</w:t>
      </w:r>
      <w:r w:rsidR="00356234">
        <w:softHyphen/>
      </w:r>
      <w:r w:rsidR="00356234">
        <w:softHyphen/>
      </w:r>
      <w:r w:rsidR="00356234">
        <w:softHyphen/>
        <w:t>-</w:t>
      </w:r>
      <w:r>
        <w:t>début du XVI</w:t>
      </w:r>
      <w:r w:rsidRPr="00356234">
        <w:rPr>
          <w:vertAlign w:val="superscript"/>
        </w:rPr>
        <w:t>e</w:t>
      </w:r>
      <w:r w:rsidR="00356234">
        <w:t> </w:t>
      </w:r>
      <w:r>
        <w:t>s.) » (p. 55-69.)</w:t>
      </w:r>
      <w:r w:rsidR="00D120E1">
        <w:t>.</w:t>
      </w:r>
      <w:r w:rsidR="00F1460E">
        <w:t xml:space="preserve"> Des sondages effectués sur les suppliques enregistrées entre 1459 et 1510 provenant de France et des anciens Pays-Bas permettent de créer une typologie des grâces concédées et d’envisager les différentes manières de se soustraire à la clôture</w:t>
      </w:r>
      <w:r w:rsidR="00BC604B">
        <w:t xml:space="preserve">. Plus largement, l’A. fournit des données </w:t>
      </w:r>
      <w:r w:rsidR="009F2E8E">
        <w:t xml:space="preserve">précieuses </w:t>
      </w:r>
      <w:r w:rsidR="00BC604B">
        <w:t>sur la gestion de l’exception au droit canonique en cette période de réform</w:t>
      </w:r>
      <w:r w:rsidR="009F2E8E">
        <w:t>ation</w:t>
      </w:r>
      <w:r w:rsidR="00BC604B">
        <w:t xml:space="preserve"> de la vie religieuse.</w:t>
      </w:r>
    </w:p>
    <w:p w14:paraId="54A9D6A9" w14:textId="78ECFAD2" w:rsidR="00745353" w:rsidRDefault="00745353" w:rsidP="00745353">
      <w:pPr>
        <w:spacing w:line="276" w:lineRule="auto"/>
        <w:jc w:val="right"/>
      </w:pPr>
      <w:r>
        <w:t>Eléonore Venturelli</w:t>
      </w:r>
    </w:p>
    <w:sectPr w:rsidR="00745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38"/>
    <w:rsid w:val="000A329F"/>
    <w:rsid w:val="00315888"/>
    <w:rsid w:val="00356234"/>
    <w:rsid w:val="00394C93"/>
    <w:rsid w:val="003E0E8A"/>
    <w:rsid w:val="00487D83"/>
    <w:rsid w:val="004C2771"/>
    <w:rsid w:val="00531438"/>
    <w:rsid w:val="00597412"/>
    <w:rsid w:val="005B607C"/>
    <w:rsid w:val="005B7CBF"/>
    <w:rsid w:val="005C4D85"/>
    <w:rsid w:val="00673A9D"/>
    <w:rsid w:val="00692ED8"/>
    <w:rsid w:val="007215CF"/>
    <w:rsid w:val="00745353"/>
    <w:rsid w:val="00765563"/>
    <w:rsid w:val="007A4401"/>
    <w:rsid w:val="008104E5"/>
    <w:rsid w:val="00843409"/>
    <w:rsid w:val="00867393"/>
    <w:rsid w:val="00876AE4"/>
    <w:rsid w:val="009853B8"/>
    <w:rsid w:val="009F2E8E"/>
    <w:rsid w:val="00AA78BD"/>
    <w:rsid w:val="00B17F38"/>
    <w:rsid w:val="00B36081"/>
    <w:rsid w:val="00B7437A"/>
    <w:rsid w:val="00B825E3"/>
    <w:rsid w:val="00B84C26"/>
    <w:rsid w:val="00BC604B"/>
    <w:rsid w:val="00C74866"/>
    <w:rsid w:val="00D120E1"/>
    <w:rsid w:val="00D57710"/>
    <w:rsid w:val="00DA05B1"/>
    <w:rsid w:val="00E475BF"/>
    <w:rsid w:val="00E5106A"/>
    <w:rsid w:val="00E81D8F"/>
    <w:rsid w:val="00EA39C3"/>
    <w:rsid w:val="00ED2FB3"/>
    <w:rsid w:val="00EE414C"/>
    <w:rsid w:val="00F1460E"/>
    <w:rsid w:val="00F6197E"/>
    <w:rsid w:val="00FC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510F"/>
  <w15:chartTrackingRefBased/>
  <w15:docId w15:val="{4CC8BEF3-312D-45DC-968F-D5865C96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412"/>
    <w:pPr>
      <w:spacing w:after="120" w:line="360" w:lineRule="auto"/>
      <w:jc w:val="both"/>
    </w:pPr>
    <w:rPr>
      <w:rFonts w:ascii="Times New Roman" w:hAnsi="Times New Roman" w:cs="Times New Roman"/>
      <w:sz w:val="24"/>
      <w:szCs w:val="24"/>
      <w:lang w:eastAsia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765563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Titre2">
    <w:name w:val="heading 2"/>
    <w:basedOn w:val="Titre1"/>
    <w:next w:val="Normal"/>
    <w:link w:val="Titre2Car"/>
    <w:uiPriority w:val="9"/>
    <w:semiHidden/>
    <w:unhideWhenUsed/>
    <w:qFormat/>
    <w:rsid w:val="00765563"/>
    <w:pPr>
      <w:spacing w:after="160"/>
      <w:outlineLvl w:val="1"/>
    </w:pPr>
    <w:rPr>
      <w:i/>
      <w:sz w:val="24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765563"/>
    <w:pPr>
      <w:spacing w:before="120" w:after="120"/>
      <w:outlineLvl w:val="2"/>
    </w:pPr>
    <w:rPr>
      <w:b w:val="0"/>
      <w:i w:val="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65563"/>
    <w:rPr>
      <w:rFonts w:ascii="Times New Roman" w:eastAsiaTheme="majorEastAsia" w:hAnsi="Times New Roman" w:cstheme="majorBidi"/>
      <w:i/>
      <w:sz w:val="24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76556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765563"/>
    <w:rPr>
      <w:rFonts w:ascii="Times New Roman" w:eastAsiaTheme="majorEastAsia" w:hAnsi="Times New Roman" w:cstheme="majorBidi"/>
      <w:sz w:val="24"/>
      <w:szCs w:val="24"/>
    </w:rPr>
  </w:style>
  <w:style w:type="character" w:styleId="Accentuation">
    <w:name w:val="Emphasis"/>
    <w:basedOn w:val="Policepardfaut"/>
    <w:uiPriority w:val="20"/>
    <w:qFormat/>
    <w:rsid w:val="00B17F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483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Eléonore Venturelli</dc:creator>
  <cp:keywords/>
  <dc:description/>
  <cp:lastModifiedBy>Eléonore Venturelli</cp:lastModifiedBy>
  <cp:revision>7</cp:revision>
  <dcterms:created xsi:type="dcterms:W3CDTF">2022-08-04T11:59:00Z</dcterms:created>
  <dcterms:modified xsi:type="dcterms:W3CDTF">2022-08-11T15:42:00Z</dcterms:modified>
</cp:coreProperties>
</file>