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8EA877" w14:textId="235ABCCF" w:rsidR="000A3B0A" w:rsidRPr="00F00D7D" w:rsidRDefault="00F00D7D" w:rsidP="00F00D7D">
      <w:pPr>
        <w:ind w:right="74"/>
        <w:jc w:val="both"/>
        <w:rPr>
          <w:rFonts w:ascii="Times New Roman" w:hAnsi="Times New Roman" w:cs="Times New Roman"/>
          <w:b/>
          <w:bCs/>
          <w:i/>
          <w:iCs/>
          <w:sz w:val="24"/>
          <w:szCs w:val="24"/>
        </w:rPr>
      </w:pPr>
      <w:r w:rsidRPr="00F00D7D">
        <w:rPr>
          <w:rFonts w:ascii="Times New Roman" w:hAnsi="Times New Roman" w:cs="Times New Roman"/>
          <w:b/>
          <w:bCs/>
          <w:i/>
          <w:iCs/>
          <w:sz w:val="24"/>
          <w:szCs w:val="24"/>
        </w:rPr>
        <w:t xml:space="preserve">Note sous </w:t>
      </w:r>
      <w:r w:rsidRPr="00F00D7D">
        <w:rPr>
          <w:rFonts w:ascii="Times New Roman" w:hAnsi="Times New Roman" w:cs="Times New Roman"/>
          <w:b/>
          <w:bCs/>
          <w:i/>
          <w:iCs/>
          <w:sz w:val="24"/>
          <w:szCs w:val="24"/>
        </w:rPr>
        <w:t>Bruxelles (9e chambre), 26/05/2016</w:t>
      </w:r>
    </w:p>
    <w:p w14:paraId="435DC805" w14:textId="77777777" w:rsidR="00F00D7D" w:rsidRDefault="00F00D7D" w:rsidP="00F00D7D">
      <w:pPr>
        <w:pStyle w:val="Titre1"/>
        <w:spacing w:before="0"/>
        <w:ind w:left="0" w:right="74"/>
        <w:jc w:val="both"/>
        <w:rPr>
          <w:rFonts w:ascii="Times New Roman" w:hAnsi="Times New Roman" w:cs="Times New Roman"/>
        </w:rPr>
      </w:pPr>
    </w:p>
    <w:p w14:paraId="308EA879" w14:textId="549DF60E" w:rsidR="000A3B0A" w:rsidRPr="00F00D7D" w:rsidRDefault="00E82CBE" w:rsidP="00F00D7D">
      <w:pPr>
        <w:pStyle w:val="Titre1"/>
        <w:spacing w:before="0"/>
        <w:ind w:left="0" w:right="74"/>
        <w:jc w:val="both"/>
        <w:rPr>
          <w:rFonts w:ascii="Times New Roman" w:hAnsi="Times New Roman" w:cs="Times New Roman"/>
          <w:b w:val="0"/>
        </w:rPr>
      </w:pPr>
      <w:r w:rsidRPr="00F00D7D">
        <w:rPr>
          <w:rFonts w:ascii="Times New Roman" w:hAnsi="Times New Roman" w:cs="Times New Roman"/>
        </w:rPr>
        <w:t>Considérations générales sur les délais de prescription</w:t>
      </w:r>
      <w:r w:rsidR="00F00D7D">
        <w:rPr>
          <w:rFonts w:ascii="Times New Roman" w:hAnsi="Times New Roman" w:cs="Times New Roman"/>
        </w:rPr>
        <w:t xml:space="preserve"> </w:t>
      </w:r>
      <w:r w:rsidRPr="00F00D7D">
        <w:rPr>
          <w:rFonts w:ascii="Times New Roman" w:hAnsi="Times New Roman" w:cs="Times New Roman"/>
        </w:rPr>
        <w:t>prévus par les articles X.18 et X.24 du Code de droit éc</w:t>
      </w:r>
      <w:r w:rsidRPr="00F00D7D">
        <w:rPr>
          <w:rFonts w:ascii="Times New Roman" w:hAnsi="Times New Roman" w:cs="Times New Roman"/>
        </w:rPr>
        <w:t>o</w:t>
      </w:r>
      <w:r w:rsidRPr="00F00D7D">
        <w:rPr>
          <w:rFonts w:ascii="Times New Roman" w:hAnsi="Times New Roman" w:cs="Times New Roman"/>
        </w:rPr>
        <w:t>nomique</w:t>
      </w:r>
    </w:p>
    <w:p w14:paraId="08B3C6FF" w14:textId="77777777" w:rsidR="00F00D7D" w:rsidRPr="00F00D7D" w:rsidRDefault="00F00D7D" w:rsidP="00F00D7D">
      <w:pPr>
        <w:pStyle w:val="Corpsdetexte"/>
        <w:ind w:left="0" w:right="74"/>
        <w:rPr>
          <w:rFonts w:ascii="Times New Roman" w:hAnsi="Times New Roman" w:cs="Times New Roman"/>
          <w:sz w:val="24"/>
          <w:szCs w:val="24"/>
        </w:rPr>
      </w:pPr>
    </w:p>
    <w:p w14:paraId="308EA87A" w14:textId="4EA7DB6B" w:rsidR="000A3B0A" w:rsidRPr="00F00D7D" w:rsidRDefault="00E82CBE" w:rsidP="00F00D7D">
      <w:pPr>
        <w:pStyle w:val="Corpsdetexte"/>
        <w:ind w:left="0" w:right="74"/>
        <w:rPr>
          <w:rFonts w:ascii="Times New Roman" w:hAnsi="Times New Roman" w:cs="Times New Roman"/>
          <w:sz w:val="24"/>
          <w:szCs w:val="24"/>
        </w:rPr>
      </w:pPr>
      <w:r w:rsidRPr="00F00D7D">
        <w:rPr>
          <w:rFonts w:ascii="Times New Roman" w:hAnsi="Times New Roman" w:cs="Times New Roman"/>
          <w:sz w:val="24"/>
          <w:szCs w:val="24"/>
        </w:rPr>
        <w:t>L’arrêt ci-avant publié est intéressant à deux égards.</w:t>
      </w:r>
    </w:p>
    <w:p w14:paraId="18998352" w14:textId="77777777" w:rsidR="00F00D7D" w:rsidRPr="00F00D7D" w:rsidRDefault="00F00D7D" w:rsidP="00F00D7D">
      <w:pPr>
        <w:pStyle w:val="Corpsdetexte"/>
        <w:ind w:left="0" w:right="74"/>
        <w:rPr>
          <w:rFonts w:ascii="Times New Roman" w:hAnsi="Times New Roman" w:cs="Times New Roman"/>
          <w:sz w:val="24"/>
          <w:szCs w:val="24"/>
        </w:rPr>
      </w:pPr>
    </w:p>
    <w:p w14:paraId="308EA87B" w14:textId="73E5D4E3" w:rsidR="000A3B0A" w:rsidRPr="00F00D7D" w:rsidRDefault="00E82CBE" w:rsidP="00F00D7D">
      <w:pPr>
        <w:pStyle w:val="Corpsdetexte"/>
        <w:ind w:left="0" w:right="74"/>
        <w:rPr>
          <w:rFonts w:ascii="Times New Roman" w:hAnsi="Times New Roman" w:cs="Times New Roman"/>
          <w:sz w:val="24"/>
          <w:szCs w:val="24"/>
        </w:rPr>
      </w:pPr>
      <w:r w:rsidRPr="00F00D7D">
        <w:rPr>
          <w:rFonts w:ascii="Times New Roman" w:hAnsi="Times New Roman" w:cs="Times New Roman"/>
          <w:sz w:val="24"/>
          <w:szCs w:val="24"/>
        </w:rPr>
        <w:t>Premièrement,</w:t>
      </w:r>
      <w:r w:rsidRPr="00F00D7D">
        <w:rPr>
          <w:rFonts w:ascii="Times New Roman" w:hAnsi="Times New Roman" w:cs="Times New Roman"/>
          <w:sz w:val="24"/>
          <w:szCs w:val="24"/>
        </w:rPr>
        <w:t xml:space="preserve"> </w:t>
      </w:r>
      <w:r w:rsidRPr="00F00D7D">
        <w:rPr>
          <w:rFonts w:ascii="Times New Roman" w:hAnsi="Times New Roman" w:cs="Times New Roman"/>
          <w:sz w:val="24"/>
          <w:szCs w:val="24"/>
        </w:rPr>
        <w:t>il</w:t>
      </w:r>
      <w:r w:rsidRPr="00F00D7D">
        <w:rPr>
          <w:rFonts w:ascii="Times New Roman" w:hAnsi="Times New Roman" w:cs="Times New Roman"/>
          <w:sz w:val="24"/>
          <w:szCs w:val="24"/>
        </w:rPr>
        <w:t xml:space="preserve"> </w:t>
      </w:r>
      <w:r w:rsidRPr="00F00D7D">
        <w:rPr>
          <w:rFonts w:ascii="Times New Roman" w:hAnsi="Times New Roman" w:cs="Times New Roman"/>
          <w:sz w:val="24"/>
          <w:szCs w:val="24"/>
        </w:rPr>
        <w:t>se</w:t>
      </w:r>
      <w:r w:rsidRPr="00F00D7D">
        <w:rPr>
          <w:rFonts w:ascii="Times New Roman" w:hAnsi="Times New Roman" w:cs="Times New Roman"/>
          <w:sz w:val="24"/>
          <w:szCs w:val="24"/>
        </w:rPr>
        <w:t xml:space="preserve"> </w:t>
      </w:r>
      <w:r w:rsidRPr="00F00D7D">
        <w:rPr>
          <w:rFonts w:ascii="Times New Roman" w:hAnsi="Times New Roman" w:cs="Times New Roman"/>
          <w:sz w:val="24"/>
          <w:szCs w:val="24"/>
        </w:rPr>
        <w:t>prononce</w:t>
      </w:r>
      <w:r w:rsidRPr="00F00D7D">
        <w:rPr>
          <w:rFonts w:ascii="Times New Roman" w:hAnsi="Times New Roman" w:cs="Times New Roman"/>
          <w:sz w:val="24"/>
          <w:szCs w:val="24"/>
        </w:rPr>
        <w:t xml:space="preserve"> </w:t>
      </w:r>
      <w:r w:rsidRPr="00F00D7D">
        <w:rPr>
          <w:rFonts w:ascii="Times New Roman" w:hAnsi="Times New Roman" w:cs="Times New Roman"/>
          <w:sz w:val="24"/>
          <w:szCs w:val="24"/>
        </w:rPr>
        <w:t>sur</w:t>
      </w:r>
      <w:r w:rsidRPr="00F00D7D">
        <w:rPr>
          <w:rFonts w:ascii="Times New Roman" w:hAnsi="Times New Roman" w:cs="Times New Roman"/>
          <w:sz w:val="24"/>
          <w:szCs w:val="24"/>
        </w:rPr>
        <w:t xml:space="preserve"> </w:t>
      </w:r>
      <w:r w:rsidRPr="00F00D7D">
        <w:rPr>
          <w:rFonts w:ascii="Times New Roman" w:hAnsi="Times New Roman" w:cs="Times New Roman"/>
          <w:sz w:val="24"/>
          <w:szCs w:val="24"/>
        </w:rPr>
        <w:t>l’octroi</w:t>
      </w:r>
      <w:r w:rsidRPr="00F00D7D">
        <w:rPr>
          <w:rFonts w:ascii="Times New Roman" w:hAnsi="Times New Roman" w:cs="Times New Roman"/>
          <w:sz w:val="24"/>
          <w:szCs w:val="24"/>
        </w:rPr>
        <w:t xml:space="preserve"> </w:t>
      </w:r>
      <w:r w:rsidRPr="00F00D7D">
        <w:rPr>
          <w:rFonts w:ascii="Times New Roman" w:hAnsi="Times New Roman" w:cs="Times New Roman"/>
          <w:sz w:val="24"/>
          <w:szCs w:val="24"/>
        </w:rPr>
        <w:t>de</w:t>
      </w:r>
      <w:r w:rsidRPr="00F00D7D">
        <w:rPr>
          <w:rFonts w:ascii="Times New Roman" w:hAnsi="Times New Roman" w:cs="Times New Roman"/>
          <w:sz w:val="24"/>
          <w:szCs w:val="24"/>
        </w:rPr>
        <w:t xml:space="preserve"> </w:t>
      </w:r>
      <w:r w:rsidRPr="00F00D7D">
        <w:rPr>
          <w:rFonts w:ascii="Times New Roman" w:hAnsi="Times New Roman" w:cs="Times New Roman"/>
          <w:sz w:val="24"/>
          <w:szCs w:val="24"/>
        </w:rPr>
        <w:t>l’indemnité</w:t>
      </w:r>
      <w:r w:rsidRPr="00F00D7D">
        <w:rPr>
          <w:rFonts w:ascii="Times New Roman" w:hAnsi="Times New Roman" w:cs="Times New Roman"/>
          <w:sz w:val="24"/>
          <w:szCs w:val="24"/>
        </w:rPr>
        <w:t xml:space="preserve"> </w:t>
      </w:r>
      <w:r w:rsidRPr="00F00D7D">
        <w:rPr>
          <w:rFonts w:ascii="Times New Roman" w:hAnsi="Times New Roman" w:cs="Times New Roman"/>
          <w:sz w:val="24"/>
          <w:szCs w:val="24"/>
        </w:rPr>
        <w:t>complémentaire</w:t>
      </w:r>
      <w:r w:rsidRPr="00F00D7D">
        <w:rPr>
          <w:rFonts w:ascii="Times New Roman" w:hAnsi="Times New Roman" w:cs="Times New Roman"/>
          <w:sz w:val="24"/>
          <w:szCs w:val="24"/>
        </w:rPr>
        <w:t xml:space="preserve"> </w:t>
      </w:r>
      <w:r w:rsidRPr="00F00D7D">
        <w:rPr>
          <w:rFonts w:ascii="Times New Roman" w:hAnsi="Times New Roman" w:cs="Times New Roman"/>
          <w:sz w:val="24"/>
          <w:szCs w:val="24"/>
        </w:rPr>
        <w:t>prévue</w:t>
      </w:r>
      <w:r w:rsidRPr="00F00D7D">
        <w:rPr>
          <w:rFonts w:ascii="Times New Roman" w:hAnsi="Times New Roman" w:cs="Times New Roman"/>
          <w:sz w:val="24"/>
          <w:szCs w:val="24"/>
        </w:rPr>
        <w:t xml:space="preserve"> </w:t>
      </w:r>
      <w:r w:rsidRPr="00F00D7D">
        <w:rPr>
          <w:rFonts w:ascii="Times New Roman" w:hAnsi="Times New Roman" w:cs="Times New Roman"/>
          <w:sz w:val="24"/>
          <w:szCs w:val="24"/>
        </w:rPr>
        <w:t>par l’article X.19 du Code de droit</w:t>
      </w:r>
      <w:r w:rsidRPr="00F00D7D">
        <w:rPr>
          <w:rFonts w:ascii="Times New Roman" w:hAnsi="Times New Roman" w:cs="Times New Roman"/>
          <w:sz w:val="24"/>
          <w:szCs w:val="24"/>
        </w:rPr>
        <w:t xml:space="preserve"> </w:t>
      </w:r>
      <w:r w:rsidRPr="00F00D7D">
        <w:rPr>
          <w:rFonts w:ascii="Times New Roman" w:hAnsi="Times New Roman" w:cs="Times New Roman"/>
          <w:sz w:val="24"/>
          <w:szCs w:val="24"/>
        </w:rPr>
        <w:t>économique</w:t>
      </w:r>
      <w:r w:rsidR="00F00D7D" w:rsidRPr="00F00D7D">
        <w:rPr>
          <w:rStyle w:val="Appelnotedebasdep"/>
          <w:rFonts w:ascii="Times New Roman" w:hAnsi="Times New Roman" w:cs="Times New Roman"/>
          <w:sz w:val="24"/>
          <w:szCs w:val="24"/>
        </w:rPr>
        <w:footnoteReference w:id="1"/>
      </w:r>
      <w:r w:rsidRPr="00F00D7D">
        <w:rPr>
          <w:rFonts w:ascii="Times New Roman" w:hAnsi="Times New Roman" w:cs="Times New Roman"/>
          <w:sz w:val="24"/>
          <w:szCs w:val="24"/>
        </w:rPr>
        <w:t>.</w:t>
      </w:r>
    </w:p>
    <w:p w14:paraId="532507C4" w14:textId="77777777" w:rsidR="00F00D7D" w:rsidRPr="00F00D7D" w:rsidRDefault="00F00D7D" w:rsidP="00F00D7D">
      <w:pPr>
        <w:pStyle w:val="Corpsdetexte"/>
        <w:ind w:left="0" w:right="74"/>
        <w:rPr>
          <w:rFonts w:ascii="Times New Roman" w:hAnsi="Times New Roman" w:cs="Times New Roman"/>
          <w:sz w:val="24"/>
          <w:szCs w:val="24"/>
        </w:rPr>
      </w:pPr>
    </w:p>
    <w:p w14:paraId="308EA885" w14:textId="56D3270F" w:rsidR="000A3B0A" w:rsidRPr="00F00D7D" w:rsidRDefault="00E82CBE" w:rsidP="00F00D7D">
      <w:pPr>
        <w:ind w:right="74"/>
        <w:jc w:val="both"/>
        <w:rPr>
          <w:rFonts w:ascii="Times New Roman" w:hAnsi="Times New Roman" w:cs="Times New Roman"/>
          <w:sz w:val="24"/>
          <w:szCs w:val="24"/>
        </w:rPr>
      </w:pPr>
      <w:r w:rsidRPr="00F00D7D">
        <w:rPr>
          <w:rFonts w:ascii="Times New Roman" w:hAnsi="Times New Roman" w:cs="Times New Roman"/>
          <w:sz w:val="24"/>
          <w:szCs w:val="24"/>
        </w:rPr>
        <w:t>Deuxièmement, il examine la question de la prescription des actions naiss</w:t>
      </w:r>
      <w:r w:rsidRPr="00F00D7D">
        <w:rPr>
          <w:rFonts w:ascii="Times New Roman" w:hAnsi="Times New Roman" w:cs="Times New Roman"/>
          <w:sz w:val="24"/>
          <w:szCs w:val="24"/>
        </w:rPr>
        <w:t>ant du contrat d’agence, prévue par l’article X.24 du Code de droit économique. En vertu de</w:t>
      </w:r>
      <w:r w:rsidRPr="00F00D7D">
        <w:rPr>
          <w:rFonts w:ascii="Times New Roman" w:hAnsi="Times New Roman" w:cs="Times New Roman"/>
          <w:sz w:val="24"/>
          <w:szCs w:val="24"/>
        </w:rPr>
        <w:t xml:space="preserve"> </w:t>
      </w:r>
      <w:r w:rsidRPr="00F00D7D">
        <w:rPr>
          <w:rFonts w:ascii="Times New Roman" w:hAnsi="Times New Roman" w:cs="Times New Roman"/>
          <w:sz w:val="24"/>
          <w:szCs w:val="24"/>
        </w:rPr>
        <w:t>cette</w:t>
      </w:r>
      <w:r w:rsidRPr="00F00D7D">
        <w:rPr>
          <w:rFonts w:ascii="Times New Roman" w:hAnsi="Times New Roman" w:cs="Times New Roman"/>
          <w:sz w:val="24"/>
          <w:szCs w:val="24"/>
        </w:rPr>
        <w:t xml:space="preserve"> </w:t>
      </w:r>
      <w:r w:rsidRPr="00F00D7D">
        <w:rPr>
          <w:rFonts w:ascii="Times New Roman" w:hAnsi="Times New Roman" w:cs="Times New Roman"/>
          <w:sz w:val="24"/>
          <w:szCs w:val="24"/>
        </w:rPr>
        <w:t>disposition,</w:t>
      </w:r>
      <w:r w:rsidRPr="00F00D7D">
        <w:rPr>
          <w:rFonts w:ascii="Times New Roman" w:hAnsi="Times New Roman" w:cs="Times New Roman"/>
          <w:sz w:val="24"/>
          <w:szCs w:val="24"/>
        </w:rPr>
        <w:t xml:space="preserve"> </w:t>
      </w:r>
      <w:r w:rsidRPr="00F00D7D">
        <w:rPr>
          <w:rFonts w:ascii="Times New Roman" w:hAnsi="Times New Roman" w:cs="Times New Roman"/>
          <w:sz w:val="24"/>
          <w:szCs w:val="24"/>
        </w:rPr>
        <w:t>«</w:t>
      </w:r>
      <w:r w:rsidRPr="00F00D7D">
        <w:rPr>
          <w:rFonts w:ascii="Times New Roman" w:hAnsi="Times New Roman" w:cs="Times New Roman"/>
          <w:sz w:val="24"/>
          <w:szCs w:val="24"/>
        </w:rPr>
        <w:t xml:space="preserve"> </w:t>
      </w:r>
      <w:r w:rsidRPr="00F00D7D">
        <w:rPr>
          <w:rFonts w:ascii="Times New Roman" w:hAnsi="Times New Roman" w:cs="Times New Roman"/>
          <w:i/>
          <w:sz w:val="24"/>
          <w:szCs w:val="24"/>
        </w:rPr>
        <w:t>les</w:t>
      </w:r>
      <w:r w:rsidRPr="00F00D7D">
        <w:rPr>
          <w:rFonts w:ascii="Times New Roman" w:hAnsi="Times New Roman" w:cs="Times New Roman"/>
          <w:i/>
          <w:sz w:val="24"/>
          <w:szCs w:val="24"/>
        </w:rPr>
        <w:t xml:space="preserve"> </w:t>
      </w:r>
      <w:r w:rsidRPr="00F00D7D">
        <w:rPr>
          <w:rFonts w:ascii="Times New Roman" w:hAnsi="Times New Roman" w:cs="Times New Roman"/>
          <w:i/>
          <w:sz w:val="24"/>
          <w:szCs w:val="24"/>
        </w:rPr>
        <w:t>actions</w:t>
      </w:r>
      <w:r w:rsidRPr="00F00D7D">
        <w:rPr>
          <w:rFonts w:ascii="Times New Roman" w:hAnsi="Times New Roman" w:cs="Times New Roman"/>
          <w:i/>
          <w:sz w:val="24"/>
          <w:szCs w:val="24"/>
        </w:rPr>
        <w:t xml:space="preserve"> </w:t>
      </w:r>
      <w:r w:rsidRPr="00F00D7D">
        <w:rPr>
          <w:rFonts w:ascii="Times New Roman" w:hAnsi="Times New Roman" w:cs="Times New Roman"/>
          <w:i/>
          <w:sz w:val="24"/>
          <w:szCs w:val="24"/>
        </w:rPr>
        <w:t>naissant</w:t>
      </w:r>
      <w:r w:rsidRPr="00F00D7D">
        <w:rPr>
          <w:rFonts w:ascii="Times New Roman" w:hAnsi="Times New Roman" w:cs="Times New Roman"/>
          <w:i/>
          <w:sz w:val="24"/>
          <w:szCs w:val="24"/>
        </w:rPr>
        <w:t xml:space="preserve"> </w:t>
      </w:r>
      <w:r w:rsidRPr="00F00D7D">
        <w:rPr>
          <w:rFonts w:ascii="Times New Roman" w:hAnsi="Times New Roman" w:cs="Times New Roman"/>
          <w:i/>
          <w:sz w:val="24"/>
          <w:szCs w:val="24"/>
        </w:rPr>
        <w:t>du</w:t>
      </w:r>
      <w:r w:rsidRPr="00F00D7D">
        <w:rPr>
          <w:rFonts w:ascii="Times New Roman" w:hAnsi="Times New Roman" w:cs="Times New Roman"/>
          <w:i/>
          <w:sz w:val="24"/>
          <w:szCs w:val="24"/>
        </w:rPr>
        <w:t xml:space="preserve"> </w:t>
      </w:r>
      <w:r w:rsidRPr="00F00D7D">
        <w:rPr>
          <w:rFonts w:ascii="Times New Roman" w:hAnsi="Times New Roman" w:cs="Times New Roman"/>
          <w:i/>
          <w:sz w:val="24"/>
          <w:szCs w:val="24"/>
        </w:rPr>
        <w:t>[contrat</w:t>
      </w:r>
      <w:r w:rsidRPr="00F00D7D">
        <w:rPr>
          <w:rFonts w:ascii="Times New Roman" w:hAnsi="Times New Roman" w:cs="Times New Roman"/>
          <w:i/>
          <w:sz w:val="24"/>
          <w:szCs w:val="24"/>
        </w:rPr>
        <w:t xml:space="preserve"> </w:t>
      </w:r>
      <w:r w:rsidRPr="00F00D7D">
        <w:rPr>
          <w:rFonts w:ascii="Times New Roman" w:hAnsi="Times New Roman" w:cs="Times New Roman"/>
          <w:i/>
          <w:sz w:val="24"/>
          <w:szCs w:val="24"/>
        </w:rPr>
        <w:t>d’agence</w:t>
      </w:r>
      <w:r w:rsidRPr="00F00D7D">
        <w:rPr>
          <w:rFonts w:ascii="Times New Roman" w:hAnsi="Times New Roman" w:cs="Times New Roman"/>
          <w:i/>
          <w:sz w:val="24"/>
          <w:szCs w:val="24"/>
        </w:rPr>
        <w:t xml:space="preserve"> </w:t>
      </w:r>
      <w:r w:rsidRPr="00F00D7D">
        <w:rPr>
          <w:rFonts w:ascii="Times New Roman" w:hAnsi="Times New Roman" w:cs="Times New Roman"/>
          <w:i/>
          <w:sz w:val="24"/>
          <w:szCs w:val="24"/>
        </w:rPr>
        <w:t>commerciale]</w:t>
      </w:r>
      <w:r w:rsidRPr="00F00D7D">
        <w:rPr>
          <w:rFonts w:ascii="Times New Roman" w:hAnsi="Times New Roman" w:cs="Times New Roman"/>
          <w:i/>
          <w:sz w:val="24"/>
          <w:szCs w:val="24"/>
        </w:rPr>
        <w:t xml:space="preserve"> </w:t>
      </w:r>
      <w:r w:rsidRPr="00F00D7D">
        <w:rPr>
          <w:rFonts w:ascii="Times New Roman" w:hAnsi="Times New Roman" w:cs="Times New Roman"/>
          <w:i/>
          <w:sz w:val="24"/>
          <w:szCs w:val="24"/>
        </w:rPr>
        <w:t>son</w:t>
      </w:r>
      <w:r w:rsidR="00F00D7D" w:rsidRPr="00F00D7D">
        <w:rPr>
          <w:rFonts w:ascii="Times New Roman" w:hAnsi="Times New Roman" w:cs="Times New Roman"/>
          <w:i/>
          <w:sz w:val="24"/>
          <w:szCs w:val="24"/>
        </w:rPr>
        <w:t>t p</w:t>
      </w:r>
      <w:r w:rsidRPr="00F00D7D">
        <w:rPr>
          <w:rFonts w:ascii="Times New Roman" w:hAnsi="Times New Roman" w:cs="Times New Roman"/>
          <w:i/>
          <w:sz w:val="24"/>
          <w:szCs w:val="24"/>
        </w:rPr>
        <w:t>rescrites un an après la cessation de celui-ci ou cinq ans après le fait qui a donné naissance à l’action, sans que ce dernier délai puisse excéder un an après la cessa</w:t>
      </w:r>
      <w:r w:rsidRPr="00F00D7D">
        <w:rPr>
          <w:rFonts w:ascii="Times New Roman" w:hAnsi="Times New Roman" w:cs="Times New Roman"/>
          <w:i/>
          <w:sz w:val="24"/>
          <w:szCs w:val="24"/>
        </w:rPr>
        <w:t xml:space="preserve">tion du contrat </w:t>
      </w:r>
      <w:r w:rsidRPr="00F00D7D">
        <w:rPr>
          <w:rFonts w:ascii="Times New Roman" w:hAnsi="Times New Roman" w:cs="Times New Roman"/>
          <w:sz w:val="24"/>
          <w:szCs w:val="24"/>
        </w:rPr>
        <w:t>».</w:t>
      </w:r>
    </w:p>
    <w:p w14:paraId="0EAF6715" w14:textId="77777777" w:rsidR="00F00D7D" w:rsidRPr="00F00D7D" w:rsidRDefault="00F00D7D" w:rsidP="00F00D7D">
      <w:pPr>
        <w:ind w:right="74"/>
        <w:jc w:val="both"/>
        <w:rPr>
          <w:rFonts w:ascii="Times New Roman" w:hAnsi="Times New Roman" w:cs="Times New Roman"/>
          <w:i/>
          <w:sz w:val="24"/>
          <w:szCs w:val="24"/>
        </w:rPr>
      </w:pPr>
    </w:p>
    <w:p w14:paraId="308EA886" w14:textId="7A1243CD" w:rsidR="000A3B0A" w:rsidRPr="00F00D7D" w:rsidRDefault="00E82CBE" w:rsidP="00F00D7D">
      <w:pPr>
        <w:pStyle w:val="Corpsdetexte"/>
        <w:ind w:left="0" w:right="74"/>
        <w:rPr>
          <w:rFonts w:ascii="Times New Roman" w:hAnsi="Times New Roman" w:cs="Times New Roman"/>
          <w:sz w:val="24"/>
          <w:szCs w:val="24"/>
        </w:rPr>
      </w:pPr>
      <w:r w:rsidRPr="00F00D7D">
        <w:rPr>
          <w:rFonts w:ascii="Times New Roman" w:hAnsi="Times New Roman" w:cs="Times New Roman"/>
          <w:sz w:val="24"/>
          <w:szCs w:val="24"/>
        </w:rPr>
        <w:t xml:space="preserve">Selon </w:t>
      </w:r>
      <w:r w:rsidRPr="00F00D7D">
        <w:rPr>
          <w:rFonts w:ascii="Times New Roman" w:hAnsi="Times New Roman" w:cs="Times New Roman"/>
          <w:sz w:val="24"/>
          <w:szCs w:val="24"/>
        </w:rPr>
        <w:t xml:space="preserve">la cour </w:t>
      </w:r>
      <w:r w:rsidRPr="00F00D7D">
        <w:rPr>
          <w:rFonts w:ascii="Times New Roman" w:hAnsi="Times New Roman" w:cs="Times New Roman"/>
          <w:sz w:val="24"/>
          <w:szCs w:val="24"/>
        </w:rPr>
        <w:t xml:space="preserve">d’appel, </w:t>
      </w:r>
      <w:r w:rsidRPr="00F00D7D">
        <w:rPr>
          <w:rFonts w:ascii="Times New Roman" w:hAnsi="Times New Roman" w:cs="Times New Roman"/>
          <w:sz w:val="24"/>
          <w:szCs w:val="24"/>
        </w:rPr>
        <w:t xml:space="preserve">citant </w:t>
      </w:r>
      <w:r w:rsidRPr="00F00D7D">
        <w:rPr>
          <w:rFonts w:ascii="Times New Roman" w:hAnsi="Times New Roman" w:cs="Times New Roman"/>
          <w:sz w:val="24"/>
          <w:szCs w:val="24"/>
        </w:rPr>
        <w:t xml:space="preserve">C. </w:t>
      </w:r>
      <w:r w:rsidRPr="00F00D7D">
        <w:rPr>
          <w:rFonts w:ascii="Times New Roman" w:hAnsi="Times New Roman" w:cs="Times New Roman"/>
          <w:sz w:val="24"/>
          <w:szCs w:val="24"/>
        </w:rPr>
        <w:t xml:space="preserve">Daniels </w:t>
      </w:r>
      <w:r w:rsidRPr="00F00D7D">
        <w:rPr>
          <w:rFonts w:ascii="Times New Roman" w:hAnsi="Times New Roman" w:cs="Times New Roman"/>
          <w:sz w:val="24"/>
          <w:szCs w:val="24"/>
        </w:rPr>
        <w:t xml:space="preserve">et K. Van </w:t>
      </w:r>
      <w:r w:rsidRPr="00F00D7D">
        <w:rPr>
          <w:rFonts w:ascii="Times New Roman" w:hAnsi="Times New Roman" w:cs="Times New Roman"/>
          <w:sz w:val="24"/>
          <w:szCs w:val="24"/>
        </w:rPr>
        <w:t>Den Broeck</w:t>
      </w:r>
      <w:r w:rsidR="00F00D7D" w:rsidRPr="00F00D7D">
        <w:rPr>
          <w:rStyle w:val="Appelnotedebasdep"/>
          <w:rFonts w:ascii="Times New Roman" w:hAnsi="Times New Roman" w:cs="Times New Roman"/>
          <w:sz w:val="24"/>
          <w:szCs w:val="24"/>
        </w:rPr>
        <w:footnoteReference w:id="2"/>
      </w:r>
      <w:r w:rsidRPr="00F00D7D">
        <w:rPr>
          <w:rFonts w:ascii="Times New Roman" w:hAnsi="Times New Roman" w:cs="Times New Roman"/>
          <w:sz w:val="24"/>
          <w:szCs w:val="24"/>
        </w:rPr>
        <w:t xml:space="preserve">, </w:t>
      </w:r>
      <w:r w:rsidRPr="00F00D7D">
        <w:rPr>
          <w:rFonts w:ascii="Times New Roman" w:hAnsi="Times New Roman" w:cs="Times New Roman"/>
          <w:sz w:val="24"/>
          <w:szCs w:val="24"/>
        </w:rPr>
        <w:t xml:space="preserve">« </w:t>
      </w:r>
      <w:r w:rsidRPr="00F00D7D">
        <w:rPr>
          <w:rFonts w:ascii="Times New Roman" w:hAnsi="Times New Roman" w:cs="Times New Roman"/>
          <w:sz w:val="24"/>
          <w:szCs w:val="24"/>
        </w:rPr>
        <w:t xml:space="preserve">ces </w:t>
      </w:r>
      <w:r w:rsidRPr="00F00D7D">
        <w:rPr>
          <w:rFonts w:ascii="Times New Roman" w:hAnsi="Times New Roman" w:cs="Times New Roman"/>
          <w:sz w:val="24"/>
          <w:szCs w:val="24"/>
        </w:rPr>
        <w:t xml:space="preserve">deux </w:t>
      </w:r>
      <w:r w:rsidRPr="00F00D7D">
        <w:rPr>
          <w:rFonts w:ascii="Times New Roman" w:hAnsi="Times New Roman" w:cs="Times New Roman"/>
          <w:sz w:val="24"/>
          <w:szCs w:val="24"/>
        </w:rPr>
        <w:t xml:space="preserve">délais doivent être appliqués cumulativement </w:t>
      </w:r>
      <w:r w:rsidRPr="00F00D7D">
        <w:rPr>
          <w:rFonts w:ascii="Times New Roman" w:hAnsi="Times New Roman" w:cs="Times New Roman"/>
          <w:sz w:val="24"/>
          <w:szCs w:val="24"/>
        </w:rPr>
        <w:t xml:space="preserve">en </w:t>
      </w:r>
      <w:r w:rsidRPr="00F00D7D">
        <w:rPr>
          <w:rFonts w:ascii="Times New Roman" w:hAnsi="Times New Roman" w:cs="Times New Roman"/>
          <w:sz w:val="24"/>
          <w:szCs w:val="24"/>
        </w:rPr>
        <w:t xml:space="preserve">sorte </w:t>
      </w:r>
      <w:r w:rsidRPr="00F00D7D">
        <w:rPr>
          <w:rFonts w:ascii="Times New Roman" w:hAnsi="Times New Roman" w:cs="Times New Roman"/>
          <w:sz w:val="24"/>
          <w:szCs w:val="24"/>
        </w:rPr>
        <w:t xml:space="preserve">que la </w:t>
      </w:r>
      <w:r w:rsidRPr="00F00D7D">
        <w:rPr>
          <w:rFonts w:ascii="Times New Roman" w:hAnsi="Times New Roman" w:cs="Times New Roman"/>
          <w:sz w:val="24"/>
          <w:szCs w:val="24"/>
        </w:rPr>
        <w:t xml:space="preserve">prescription est acquise </w:t>
      </w:r>
      <w:r w:rsidRPr="00F00D7D">
        <w:rPr>
          <w:rFonts w:ascii="Times New Roman" w:hAnsi="Times New Roman" w:cs="Times New Roman"/>
          <w:sz w:val="24"/>
          <w:szCs w:val="24"/>
        </w:rPr>
        <w:t xml:space="preserve">dès </w:t>
      </w:r>
      <w:r w:rsidRPr="00F00D7D">
        <w:rPr>
          <w:rFonts w:ascii="Times New Roman" w:hAnsi="Times New Roman" w:cs="Times New Roman"/>
          <w:sz w:val="24"/>
          <w:szCs w:val="24"/>
        </w:rPr>
        <w:t xml:space="preserve">que l’un </w:t>
      </w:r>
      <w:r w:rsidRPr="00F00D7D">
        <w:rPr>
          <w:rFonts w:ascii="Times New Roman" w:hAnsi="Times New Roman" w:cs="Times New Roman"/>
          <w:sz w:val="24"/>
          <w:szCs w:val="24"/>
        </w:rPr>
        <w:t xml:space="preserve">des </w:t>
      </w:r>
      <w:r w:rsidRPr="00F00D7D">
        <w:rPr>
          <w:rFonts w:ascii="Times New Roman" w:hAnsi="Times New Roman" w:cs="Times New Roman"/>
          <w:sz w:val="24"/>
          <w:szCs w:val="24"/>
        </w:rPr>
        <w:t xml:space="preserve">deux </w:t>
      </w:r>
      <w:r w:rsidRPr="00F00D7D">
        <w:rPr>
          <w:rFonts w:ascii="Times New Roman" w:hAnsi="Times New Roman" w:cs="Times New Roman"/>
          <w:sz w:val="24"/>
          <w:szCs w:val="24"/>
        </w:rPr>
        <w:t xml:space="preserve">délais est expiré </w:t>
      </w:r>
      <w:r w:rsidRPr="00F00D7D">
        <w:rPr>
          <w:rFonts w:ascii="Times New Roman" w:hAnsi="Times New Roman" w:cs="Times New Roman"/>
          <w:sz w:val="24"/>
          <w:szCs w:val="24"/>
        </w:rPr>
        <w:t xml:space="preserve">». À la </w:t>
      </w:r>
      <w:r w:rsidRPr="00F00D7D">
        <w:rPr>
          <w:rFonts w:ascii="Times New Roman" w:hAnsi="Times New Roman" w:cs="Times New Roman"/>
          <w:sz w:val="24"/>
          <w:szCs w:val="24"/>
        </w:rPr>
        <w:t xml:space="preserve">suite </w:t>
      </w:r>
      <w:r w:rsidRPr="00F00D7D">
        <w:rPr>
          <w:rFonts w:ascii="Times New Roman" w:hAnsi="Times New Roman" w:cs="Times New Roman"/>
          <w:sz w:val="24"/>
          <w:szCs w:val="24"/>
        </w:rPr>
        <w:t xml:space="preserve">de </w:t>
      </w:r>
      <w:r w:rsidRPr="00F00D7D">
        <w:rPr>
          <w:rFonts w:ascii="Times New Roman" w:hAnsi="Times New Roman" w:cs="Times New Roman"/>
          <w:sz w:val="24"/>
          <w:szCs w:val="24"/>
        </w:rPr>
        <w:t xml:space="preserve">son </w:t>
      </w:r>
      <w:r w:rsidRPr="00F00D7D">
        <w:rPr>
          <w:rFonts w:ascii="Times New Roman" w:hAnsi="Times New Roman" w:cs="Times New Roman"/>
          <w:sz w:val="24"/>
          <w:szCs w:val="24"/>
        </w:rPr>
        <w:t xml:space="preserve">appréciation </w:t>
      </w:r>
      <w:r w:rsidRPr="00F00D7D">
        <w:rPr>
          <w:rFonts w:ascii="Times New Roman" w:hAnsi="Times New Roman" w:cs="Times New Roman"/>
          <w:sz w:val="24"/>
          <w:szCs w:val="24"/>
        </w:rPr>
        <w:t xml:space="preserve">du cas </w:t>
      </w:r>
      <w:r w:rsidRPr="00F00D7D">
        <w:rPr>
          <w:rFonts w:ascii="Times New Roman" w:hAnsi="Times New Roman" w:cs="Times New Roman"/>
          <w:sz w:val="24"/>
          <w:szCs w:val="24"/>
        </w:rPr>
        <w:t xml:space="preserve">d’espèce, </w:t>
      </w:r>
      <w:r w:rsidRPr="00F00D7D">
        <w:rPr>
          <w:rFonts w:ascii="Times New Roman" w:hAnsi="Times New Roman" w:cs="Times New Roman"/>
          <w:sz w:val="24"/>
          <w:szCs w:val="24"/>
        </w:rPr>
        <w:t xml:space="preserve">la cour </w:t>
      </w:r>
      <w:r w:rsidRPr="00F00D7D">
        <w:rPr>
          <w:rFonts w:ascii="Times New Roman" w:hAnsi="Times New Roman" w:cs="Times New Roman"/>
          <w:sz w:val="24"/>
          <w:szCs w:val="24"/>
        </w:rPr>
        <w:t xml:space="preserve">conclut </w:t>
      </w:r>
      <w:r w:rsidRPr="00F00D7D">
        <w:rPr>
          <w:rFonts w:ascii="Times New Roman" w:hAnsi="Times New Roman" w:cs="Times New Roman"/>
          <w:sz w:val="24"/>
          <w:szCs w:val="24"/>
        </w:rPr>
        <w:t xml:space="preserve">que ce </w:t>
      </w:r>
      <w:r w:rsidRPr="00F00D7D">
        <w:rPr>
          <w:rFonts w:ascii="Times New Roman" w:hAnsi="Times New Roman" w:cs="Times New Roman"/>
          <w:sz w:val="24"/>
          <w:szCs w:val="24"/>
        </w:rPr>
        <w:t xml:space="preserve">délai </w:t>
      </w:r>
      <w:r w:rsidRPr="00F00D7D">
        <w:rPr>
          <w:rFonts w:ascii="Times New Roman" w:hAnsi="Times New Roman" w:cs="Times New Roman"/>
          <w:sz w:val="24"/>
          <w:szCs w:val="24"/>
        </w:rPr>
        <w:t xml:space="preserve">étant </w:t>
      </w:r>
      <w:r w:rsidRPr="00F00D7D">
        <w:rPr>
          <w:rFonts w:ascii="Times New Roman" w:hAnsi="Times New Roman" w:cs="Times New Roman"/>
          <w:sz w:val="24"/>
          <w:szCs w:val="24"/>
        </w:rPr>
        <w:t xml:space="preserve">dépassé, </w:t>
      </w:r>
      <w:r w:rsidRPr="00F00D7D">
        <w:rPr>
          <w:rFonts w:ascii="Times New Roman" w:hAnsi="Times New Roman" w:cs="Times New Roman"/>
          <w:sz w:val="24"/>
          <w:szCs w:val="24"/>
        </w:rPr>
        <w:t xml:space="preserve">la </w:t>
      </w:r>
      <w:r w:rsidRPr="00F00D7D">
        <w:rPr>
          <w:rFonts w:ascii="Times New Roman" w:hAnsi="Times New Roman" w:cs="Times New Roman"/>
          <w:sz w:val="24"/>
          <w:szCs w:val="24"/>
        </w:rPr>
        <w:t xml:space="preserve">demande </w:t>
      </w:r>
      <w:r w:rsidRPr="00F00D7D">
        <w:rPr>
          <w:rFonts w:ascii="Times New Roman" w:hAnsi="Times New Roman" w:cs="Times New Roman"/>
          <w:sz w:val="24"/>
          <w:szCs w:val="24"/>
        </w:rPr>
        <w:t xml:space="preserve">de </w:t>
      </w:r>
      <w:r w:rsidRPr="00F00D7D">
        <w:rPr>
          <w:rFonts w:ascii="Times New Roman" w:hAnsi="Times New Roman" w:cs="Times New Roman"/>
          <w:sz w:val="24"/>
          <w:szCs w:val="24"/>
        </w:rPr>
        <w:t xml:space="preserve">dommages </w:t>
      </w:r>
      <w:r w:rsidRPr="00F00D7D">
        <w:rPr>
          <w:rFonts w:ascii="Times New Roman" w:hAnsi="Times New Roman" w:cs="Times New Roman"/>
          <w:sz w:val="24"/>
          <w:szCs w:val="24"/>
        </w:rPr>
        <w:t xml:space="preserve">et </w:t>
      </w:r>
      <w:r w:rsidRPr="00F00D7D">
        <w:rPr>
          <w:rFonts w:ascii="Times New Roman" w:hAnsi="Times New Roman" w:cs="Times New Roman"/>
          <w:sz w:val="24"/>
          <w:szCs w:val="24"/>
        </w:rPr>
        <w:t xml:space="preserve">intérêts </w:t>
      </w:r>
      <w:r w:rsidRPr="00F00D7D">
        <w:rPr>
          <w:rFonts w:ascii="Times New Roman" w:hAnsi="Times New Roman" w:cs="Times New Roman"/>
          <w:sz w:val="24"/>
          <w:szCs w:val="24"/>
        </w:rPr>
        <w:t xml:space="preserve">introduite par </w:t>
      </w:r>
      <w:r w:rsidRPr="00F00D7D">
        <w:rPr>
          <w:rFonts w:ascii="Times New Roman" w:hAnsi="Times New Roman" w:cs="Times New Roman"/>
          <w:sz w:val="24"/>
          <w:szCs w:val="24"/>
        </w:rPr>
        <w:t xml:space="preserve">l’agent </w:t>
      </w:r>
      <w:r w:rsidRPr="00F00D7D">
        <w:rPr>
          <w:rFonts w:ascii="Times New Roman" w:hAnsi="Times New Roman" w:cs="Times New Roman"/>
          <w:sz w:val="24"/>
          <w:szCs w:val="24"/>
        </w:rPr>
        <w:t xml:space="preserve">en </w:t>
      </w:r>
      <w:r w:rsidRPr="00F00D7D">
        <w:rPr>
          <w:rFonts w:ascii="Times New Roman" w:hAnsi="Times New Roman" w:cs="Times New Roman"/>
          <w:sz w:val="24"/>
          <w:szCs w:val="24"/>
        </w:rPr>
        <w:t xml:space="preserve">raison </w:t>
      </w:r>
      <w:r w:rsidRPr="00F00D7D">
        <w:rPr>
          <w:rFonts w:ascii="Times New Roman" w:hAnsi="Times New Roman" w:cs="Times New Roman"/>
          <w:sz w:val="24"/>
          <w:szCs w:val="24"/>
        </w:rPr>
        <w:t xml:space="preserve">de la </w:t>
      </w:r>
      <w:r w:rsidRPr="00F00D7D">
        <w:rPr>
          <w:rFonts w:ascii="Times New Roman" w:hAnsi="Times New Roman" w:cs="Times New Roman"/>
          <w:sz w:val="24"/>
          <w:szCs w:val="24"/>
        </w:rPr>
        <w:t xml:space="preserve">longueur </w:t>
      </w:r>
      <w:r w:rsidRPr="00F00D7D">
        <w:rPr>
          <w:rFonts w:ascii="Times New Roman" w:hAnsi="Times New Roman" w:cs="Times New Roman"/>
          <w:sz w:val="24"/>
          <w:szCs w:val="24"/>
        </w:rPr>
        <w:t xml:space="preserve">des </w:t>
      </w:r>
      <w:r w:rsidRPr="00F00D7D">
        <w:rPr>
          <w:rFonts w:ascii="Times New Roman" w:hAnsi="Times New Roman" w:cs="Times New Roman"/>
          <w:sz w:val="24"/>
          <w:szCs w:val="24"/>
        </w:rPr>
        <w:t xml:space="preserve">travaux effectués </w:t>
      </w:r>
      <w:r w:rsidRPr="00F00D7D">
        <w:rPr>
          <w:rFonts w:ascii="Times New Roman" w:hAnsi="Times New Roman" w:cs="Times New Roman"/>
          <w:sz w:val="24"/>
          <w:szCs w:val="24"/>
        </w:rPr>
        <w:t xml:space="preserve">par le commettant dans </w:t>
      </w:r>
      <w:r w:rsidRPr="00F00D7D">
        <w:rPr>
          <w:rFonts w:ascii="Times New Roman" w:hAnsi="Times New Roman" w:cs="Times New Roman"/>
          <w:sz w:val="24"/>
          <w:szCs w:val="24"/>
        </w:rPr>
        <w:t xml:space="preserve">l’agence, </w:t>
      </w:r>
      <w:r w:rsidRPr="00F00D7D">
        <w:rPr>
          <w:rFonts w:ascii="Times New Roman" w:hAnsi="Times New Roman" w:cs="Times New Roman"/>
          <w:sz w:val="24"/>
          <w:szCs w:val="24"/>
        </w:rPr>
        <w:t xml:space="preserve">dont il aurait </w:t>
      </w:r>
      <w:r w:rsidRPr="00F00D7D">
        <w:rPr>
          <w:rFonts w:ascii="Times New Roman" w:hAnsi="Times New Roman" w:cs="Times New Roman"/>
          <w:sz w:val="24"/>
          <w:szCs w:val="24"/>
        </w:rPr>
        <w:t xml:space="preserve">résulté </w:t>
      </w:r>
      <w:r w:rsidRPr="00F00D7D">
        <w:rPr>
          <w:rFonts w:ascii="Times New Roman" w:hAnsi="Times New Roman" w:cs="Times New Roman"/>
          <w:sz w:val="24"/>
          <w:szCs w:val="24"/>
        </w:rPr>
        <w:t xml:space="preserve">pour lui une </w:t>
      </w:r>
      <w:r w:rsidRPr="00F00D7D">
        <w:rPr>
          <w:rFonts w:ascii="Times New Roman" w:hAnsi="Times New Roman" w:cs="Times New Roman"/>
          <w:sz w:val="24"/>
          <w:szCs w:val="24"/>
        </w:rPr>
        <w:t xml:space="preserve">perte </w:t>
      </w:r>
      <w:r w:rsidRPr="00F00D7D">
        <w:rPr>
          <w:rFonts w:ascii="Times New Roman" w:hAnsi="Times New Roman" w:cs="Times New Roman"/>
          <w:sz w:val="24"/>
          <w:szCs w:val="24"/>
        </w:rPr>
        <w:t xml:space="preserve">de </w:t>
      </w:r>
      <w:r w:rsidRPr="00F00D7D">
        <w:rPr>
          <w:rFonts w:ascii="Times New Roman" w:hAnsi="Times New Roman" w:cs="Times New Roman"/>
          <w:sz w:val="24"/>
          <w:szCs w:val="24"/>
        </w:rPr>
        <w:t xml:space="preserve">clientèle </w:t>
      </w:r>
      <w:r w:rsidRPr="00F00D7D">
        <w:rPr>
          <w:rFonts w:ascii="Times New Roman" w:hAnsi="Times New Roman" w:cs="Times New Roman"/>
          <w:sz w:val="24"/>
          <w:szCs w:val="24"/>
        </w:rPr>
        <w:t xml:space="preserve">et </w:t>
      </w:r>
      <w:r w:rsidRPr="00F00D7D">
        <w:rPr>
          <w:rFonts w:ascii="Times New Roman" w:hAnsi="Times New Roman" w:cs="Times New Roman"/>
          <w:sz w:val="24"/>
          <w:szCs w:val="24"/>
        </w:rPr>
        <w:t xml:space="preserve">l’impossibilité </w:t>
      </w:r>
      <w:r w:rsidRPr="00F00D7D">
        <w:rPr>
          <w:rFonts w:ascii="Times New Roman" w:hAnsi="Times New Roman" w:cs="Times New Roman"/>
          <w:sz w:val="24"/>
          <w:szCs w:val="24"/>
        </w:rPr>
        <w:t xml:space="preserve">d’en </w:t>
      </w:r>
      <w:r w:rsidRPr="00F00D7D">
        <w:rPr>
          <w:rFonts w:ascii="Times New Roman" w:hAnsi="Times New Roman" w:cs="Times New Roman"/>
          <w:sz w:val="24"/>
          <w:szCs w:val="24"/>
        </w:rPr>
        <w:t xml:space="preserve">développer </w:t>
      </w:r>
      <w:r w:rsidRPr="00F00D7D">
        <w:rPr>
          <w:rFonts w:ascii="Times New Roman" w:hAnsi="Times New Roman" w:cs="Times New Roman"/>
          <w:sz w:val="24"/>
          <w:szCs w:val="24"/>
        </w:rPr>
        <w:t xml:space="preserve">une </w:t>
      </w:r>
      <w:r w:rsidRPr="00F00D7D">
        <w:rPr>
          <w:rFonts w:ascii="Times New Roman" w:hAnsi="Times New Roman" w:cs="Times New Roman"/>
          <w:sz w:val="24"/>
          <w:szCs w:val="24"/>
        </w:rPr>
        <w:t>nouvelle, était prescrite.</w:t>
      </w:r>
    </w:p>
    <w:p w14:paraId="29C01200" w14:textId="77777777" w:rsidR="00F00D7D" w:rsidRPr="00F00D7D" w:rsidRDefault="00F00D7D" w:rsidP="00F00D7D">
      <w:pPr>
        <w:pStyle w:val="Corpsdetexte"/>
        <w:ind w:left="0" w:right="74"/>
        <w:rPr>
          <w:rFonts w:ascii="Times New Roman" w:hAnsi="Times New Roman" w:cs="Times New Roman"/>
          <w:sz w:val="24"/>
          <w:szCs w:val="24"/>
        </w:rPr>
      </w:pPr>
    </w:p>
    <w:p w14:paraId="308EA887" w14:textId="7D8E3C0B" w:rsidR="000A3B0A" w:rsidRPr="00F00D7D" w:rsidRDefault="00E82CBE" w:rsidP="00F00D7D">
      <w:pPr>
        <w:pStyle w:val="Corpsdetexte"/>
        <w:ind w:left="0" w:right="74"/>
        <w:rPr>
          <w:rFonts w:ascii="Times New Roman" w:hAnsi="Times New Roman" w:cs="Times New Roman"/>
          <w:sz w:val="24"/>
          <w:szCs w:val="24"/>
        </w:rPr>
      </w:pPr>
      <w:r w:rsidRPr="00F00D7D">
        <w:rPr>
          <w:rFonts w:ascii="Times New Roman" w:hAnsi="Times New Roman" w:cs="Times New Roman"/>
          <w:sz w:val="24"/>
          <w:szCs w:val="24"/>
        </w:rPr>
        <w:t>En outre, c</w:t>
      </w:r>
      <w:r w:rsidRPr="00F00D7D">
        <w:rPr>
          <w:rFonts w:ascii="Times New Roman" w:hAnsi="Times New Roman" w:cs="Times New Roman"/>
          <w:sz w:val="24"/>
          <w:szCs w:val="24"/>
        </w:rPr>
        <w:t>et arrêt est l’occasion de rappeler que la prescription prévue à l’article X.24, dont il est question en l’espèce, est bien différente</w:t>
      </w:r>
      <w:r w:rsidRPr="00F00D7D">
        <w:rPr>
          <w:rFonts w:ascii="Times New Roman" w:hAnsi="Times New Roman" w:cs="Times New Roman"/>
          <w:sz w:val="24"/>
          <w:szCs w:val="24"/>
          <w:vertAlign w:val="superscript"/>
        </w:rPr>
        <w:t>3</w:t>
      </w:r>
      <w:r w:rsidRPr="00F00D7D">
        <w:rPr>
          <w:rFonts w:ascii="Times New Roman" w:hAnsi="Times New Roman" w:cs="Times New Roman"/>
          <w:sz w:val="24"/>
          <w:szCs w:val="24"/>
        </w:rPr>
        <w:t xml:space="preserve"> de celle instaurée par l’article X.18 du Code de droit économique : alors que l’article X.18, </w:t>
      </w:r>
      <w:r w:rsidRPr="00F00D7D">
        <w:rPr>
          <w:rFonts w:ascii="Times New Roman" w:hAnsi="Times New Roman" w:cs="Times New Roman"/>
          <w:i/>
          <w:sz w:val="24"/>
          <w:szCs w:val="24"/>
        </w:rPr>
        <w:t>in fine</w:t>
      </w:r>
      <w:r w:rsidRPr="00F00D7D">
        <w:rPr>
          <w:rFonts w:ascii="Times New Roman" w:hAnsi="Times New Roman" w:cs="Times New Roman"/>
          <w:sz w:val="24"/>
          <w:szCs w:val="24"/>
        </w:rPr>
        <w:t>, vise le droit à l</w:t>
      </w:r>
      <w:r w:rsidRPr="00F00D7D">
        <w:rPr>
          <w:rFonts w:ascii="Times New Roman" w:hAnsi="Times New Roman" w:cs="Times New Roman"/>
          <w:sz w:val="24"/>
          <w:szCs w:val="24"/>
        </w:rPr>
        <w:t>’indemnité d’éviction ne s’ouvrant qu’à la cessation du contrat d’agence, l’article X.24 couvre quant à lui toutes les actions pouvant découler du contrat</w:t>
      </w:r>
      <w:r w:rsidR="00F00D7D" w:rsidRPr="00F00D7D">
        <w:rPr>
          <w:rStyle w:val="Appelnotedebasdep"/>
          <w:rFonts w:ascii="Times New Roman" w:hAnsi="Times New Roman" w:cs="Times New Roman"/>
          <w:sz w:val="24"/>
          <w:szCs w:val="24"/>
        </w:rPr>
        <w:footnoteReference w:id="3"/>
      </w:r>
      <w:r w:rsidRPr="00F00D7D">
        <w:rPr>
          <w:rFonts w:ascii="Times New Roman" w:hAnsi="Times New Roman" w:cs="Times New Roman"/>
          <w:sz w:val="24"/>
          <w:szCs w:val="24"/>
        </w:rPr>
        <w:t>.</w:t>
      </w:r>
    </w:p>
    <w:p w14:paraId="54A26AC8" w14:textId="77777777" w:rsidR="00F00D7D" w:rsidRPr="00F00D7D" w:rsidRDefault="00F00D7D" w:rsidP="00F00D7D">
      <w:pPr>
        <w:pStyle w:val="Corpsdetexte"/>
        <w:ind w:left="0" w:right="74"/>
        <w:rPr>
          <w:rFonts w:ascii="Times New Roman" w:hAnsi="Times New Roman" w:cs="Times New Roman"/>
          <w:sz w:val="24"/>
          <w:szCs w:val="24"/>
        </w:rPr>
      </w:pPr>
    </w:p>
    <w:p w14:paraId="308EA888" w14:textId="614DB6D0" w:rsidR="000A3B0A" w:rsidRPr="00F00D7D" w:rsidRDefault="00E82CBE" w:rsidP="00F00D7D">
      <w:pPr>
        <w:ind w:right="74"/>
        <w:jc w:val="both"/>
        <w:rPr>
          <w:rFonts w:ascii="Times New Roman" w:hAnsi="Times New Roman" w:cs="Times New Roman"/>
          <w:sz w:val="24"/>
          <w:szCs w:val="24"/>
        </w:rPr>
      </w:pPr>
      <w:r w:rsidRPr="00F00D7D">
        <w:rPr>
          <w:rFonts w:ascii="Times New Roman" w:hAnsi="Times New Roman" w:cs="Times New Roman"/>
          <w:sz w:val="24"/>
          <w:szCs w:val="24"/>
        </w:rPr>
        <w:t>Puisque la loi belge doit s’interpréter à la lumière de la directive du 18 décembre 1986 relative a</w:t>
      </w:r>
      <w:r w:rsidRPr="00F00D7D">
        <w:rPr>
          <w:rFonts w:ascii="Times New Roman" w:hAnsi="Times New Roman" w:cs="Times New Roman"/>
          <w:sz w:val="24"/>
          <w:szCs w:val="24"/>
        </w:rPr>
        <w:t>ux agents commerciaux</w:t>
      </w:r>
      <w:r w:rsidR="00F00D7D" w:rsidRPr="00F00D7D">
        <w:rPr>
          <w:rStyle w:val="Appelnotedebasdep"/>
          <w:rFonts w:ascii="Times New Roman" w:hAnsi="Times New Roman" w:cs="Times New Roman"/>
          <w:sz w:val="24"/>
          <w:szCs w:val="24"/>
        </w:rPr>
        <w:footnoteReference w:id="4"/>
      </w:r>
      <w:r w:rsidRPr="00F00D7D">
        <w:rPr>
          <w:rFonts w:ascii="Times New Roman" w:hAnsi="Times New Roman" w:cs="Times New Roman"/>
          <w:sz w:val="24"/>
          <w:szCs w:val="24"/>
        </w:rPr>
        <w:t>, la doctrine considère que « l’agent ne perd pas son droit à indemnité d’éviction, même s’il n’a pas introduit en justice dans le délai d’un an de l’article X.24, à condition qu’il ait notifié, dans ce délai, son inten</w:t>
      </w:r>
      <w:r w:rsidRPr="00F00D7D">
        <w:rPr>
          <w:rFonts w:ascii="Times New Roman" w:hAnsi="Times New Roman" w:cs="Times New Roman"/>
          <w:sz w:val="24"/>
          <w:szCs w:val="24"/>
        </w:rPr>
        <w:t>tion d’obteni</w:t>
      </w:r>
      <w:r w:rsidRPr="00F00D7D">
        <w:rPr>
          <w:rFonts w:ascii="Times New Roman" w:hAnsi="Times New Roman" w:cs="Times New Roman"/>
          <w:sz w:val="24"/>
          <w:szCs w:val="24"/>
        </w:rPr>
        <w:t>r l’indemnité d’éviction, même si les formalités prévues par les articles 2242 et suivants du Code civil n’ont pas été respectées »</w:t>
      </w:r>
      <w:r w:rsidR="00F00D7D" w:rsidRPr="00F00D7D">
        <w:rPr>
          <w:rFonts w:ascii="Times New Roman" w:hAnsi="Times New Roman" w:cs="Times New Roman"/>
          <w:sz w:val="24"/>
          <w:szCs w:val="24"/>
        </w:rPr>
        <w:t xml:space="preserve"> </w:t>
      </w:r>
      <w:r w:rsidR="00F00D7D" w:rsidRPr="00F00D7D">
        <w:rPr>
          <w:rFonts w:ascii="Times New Roman" w:hAnsi="Times New Roman" w:cs="Times New Roman"/>
          <w:sz w:val="24"/>
          <w:szCs w:val="24"/>
        </w:rPr>
        <w:t xml:space="preserve">P. DEMOLIN, </w:t>
      </w:r>
      <w:r w:rsidR="00F00D7D" w:rsidRPr="00F00D7D">
        <w:rPr>
          <w:rFonts w:ascii="Times New Roman" w:hAnsi="Times New Roman" w:cs="Times New Roman"/>
          <w:i/>
          <w:sz w:val="24"/>
          <w:szCs w:val="24"/>
        </w:rPr>
        <w:t>Le contrat d’agence. Droits et obligations</w:t>
      </w:r>
      <w:r w:rsidR="00F00D7D" w:rsidRPr="00F00D7D">
        <w:rPr>
          <w:rFonts w:ascii="Times New Roman" w:hAnsi="Times New Roman" w:cs="Times New Roman"/>
          <w:sz w:val="24"/>
          <w:szCs w:val="24"/>
        </w:rPr>
        <w:t>, Waterloo, Wolters Kluwer, 2014, p. 135 et références citées</w:t>
      </w:r>
      <w:r w:rsidRPr="00F00D7D">
        <w:rPr>
          <w:rFonts w:ascii="Times New Roman" w:hAnsi="Times New Roman" w:cs="Times New Roman"/>
          <w:sz w:val="24"/>
          <w:szCs w:val="24"/>
        </w:rPr>
        <w:t>.</w:t>
      </w:r>
    </w:p>
    <w:p w14:paraId="4581EABE" w14:textId="77777777" w:rsidR="00F00D7D" w:rsidRPr="00F00D7D" w:rsidRDefault="00F00D7D" w:rsidP="00F00D7D">
      <w:pPr>
        <w:ind w:right="74"/>
        <w:jc w:val="both"/>
        <w:rPr>
          <w:rFonts w:ascii="Times New Roman" w:hAnsi="Times New Roman" w:cs="Times New Roman"/>
          <w:sz w:val="24"/>
          <w:szCs w:val="24"/>
        </w:rPr>
      </w:pPr>
    </w:p>
    <w:p w14:paraId="308EA889" w14:textId="24174AAD" w:rsidR="000A3B0A" w:rsidRPr="00F00D7D" w:rsidRDefault="00E82CBE" w:rsidP="00F00D7D">
      <w:pPr>
        <w:pStyle w:val="Corpsdetexte"/>
        <w:ind w:left="0" w:right="74"/>
        <w:rPr>
          <w:rFonts w:ascii="Times New Roman" w:hAnsi="Times New Roman" w:cs="Times New Roman"/>
          <w:sz w:val="24"/>
          <w:szCs w:val="24"/>
        </w:rPr>
      </w:pPr>
      <w:r w:rsidRPr="00F00D7D">
        <w:rPr>
          <w:rFonts w:ascii="Times New Roman" w:hAnsi="Times New Roman" w:cs="Times New Roman"/>
          <w:sz w:val="24"/>
          <w:szCs w:val="24"/>
        </w:rPr>
        <w:t>Les deux délais de prescription prévus respectivement par les articles X.18 et X.24 du Code de droit économique sont donc</w:t>
      </w:r>
      <w:r w:rsidRPr="00F00D7D">
        <w:rPr>
          <w:rFonts w:ascii="Times New Roman" w:hAnsi="Times New Roman" w:cs="Times New Roman"/>
          <w:sz w:val="24"/>
          <w:szCs w:val="24"/>
        </w:rPr>
        <w:t xml:space="preserve"> </w:t>
      </w:r>
      <w:r w:rsidRPr="00F00D7D">
        <w:rPr>
          <w:rFonts w:ascii="Times New Roman" w:hAnsi="Times New Roman" w:cs="Times New Roman"/>
          <w:sz w:val="24"/>
          <w:szCs w:val="24"/>
        </w:rPr>
        <w:t>indépendants.</w:t>
      </w:r>
    </w:p>
    <w:p w14:paraId="2C98858C" w14:textId="77777777" w:rsidR="00F00D7D" w:rsidRPr="00F00D7D" w:rsidRDefault="00F00D7D" w:rsidP="00F00D7D">
      <w:pPr>
        <w:pStyle w:val="Corpsdetexte"/>
        <w:ind w:left="0" w:right="74"/>
        <w:rPr>
          <w:rFonts w:ascii="Times New Roman" w:hAnsi="Times New Roman" w:cs="Times New Roman"/>
          <w:sz w:val="24"/>
          <w:szCs w:val="24"/>
        </w:rPr>
      </w:pPr>
    </w:p>
    <w:p w14:paraId="308EA88A" w14:textId="3E2A4654" w:rsidR="000A3B0A" w:rsidRPr="00F00D7D" w:rsidRDefault="00E82CBE" w:rsidP="00F00D7D">
      <w:pPr>
        <w:pStyle w:val="Corpsdetexte"/>
        <w:ind w:left="0" w:right="74"/>
        <w:rPr>
          <w:rFonts w:ascii="Times New Roman" w:hAnsi="Times New Roman" w:cs="Times New Roman"/>
          <w:sz w:val="24"/>
          <w:szCs w:val="24"/>
        </w:rPr>
      </w:pPr>
      <w:r w:rsidRPr="00F00D7D">
        <w:rPr>
          <w:rFonts w:ascii="Times New Roman" w:hAnsi="Times New Roman" w:cs="Times New Roman"/>
          <w:sz w:val="24"/>
          <w:szCs w:val="24"/>
        </w:rPr>
        <w:t>Par ailleurs, aucune condition de forme n’est requise afin d’interrompre le délai de prescription prévu par l’article X.18 du Code de droit économique. Une simple noti</w:t>
      </w:r>
      <w:r w:rsidRPr="00F00D7D">
        <w:rPr>
          <w:rFonts w:ascii="Times New Roman" w:hAnsi="Times New Roman" w:cs="Times New Roman"/>
          <w:sz w:val="24"/>
          <w:szCs w:val="24"/>
        </w:rPr>
        <w:t>fication de l’agent au commettant, contenant une demande de paiement d’un</w:t>
      </w:r>
      <w:r w:rsidRPr="00F00D7D">
        <w:rPr>
          <w:rFonts w:ascii="Times New Roman" w:hAnsi="Times New Roman" w:cs="Times New Roman"/>
          <w:sz w:val="24"/>
          <w:szCs w:val="24"/>
        </w:rPr>
        <w:t>e indemnité de clientèle, suffit, tant qu’elle manifeste, de manière suffisamment clai</w:t>
      </w:r>
      <w:r w:rsidRPr="00F00D7D">
        <w:rPr>
          <w:rFonts w:ascii="Times New Roman" w:hAnsi="Times New Roman" w:cs="Times New Roman"/>
          <w:sz w:val="24"/>
          <w:szCs w:val="24"/>
        </w:rPr>
        <w:t>re, la volonté de l’agent de faire valoir son droit à l’indemnité</w:t>
      </w:r>
      <w:r w:rsidR="00F00D7D" w:rsidRPr="00F00D7D">
        <w:rPr>
          <w:rStyle w:val="Appelnotedebasdep"/>
          <w:rFonts w:ascii="Times New Roman" w:hAnsi="Times New Roman" w:cs="Times New Roman"/>
          <w:sz w:val="24"/>
          <w:szCs w:val="24"/>
        </w:rPr>
        <w:footnoteReference w:id="5"/>
      </w:r>
      <w:r w:rsidRPr="00F00D7D">
        <w:rPr>
          <w:rFonts w:ascii="Times New Roman" w:hAnsi="Times New Roman" w:cs="Times New Roman"/>
          <w:sz w:val="24"/>
          <w:szCs w:val="24"/>
        </w:rPr>
        <w:t xml:space="preserve">. De cette manière, en effet, le délai d’un an de l’article X.18, </w:t>
      </w:r>
      <w:r w:rsidRPr="00F00D7D">
        <w:rPr>
          <w:rFonts w:ascii="Times New Roman" w:hAnsi="Times New Roman" w:cs="Times New Roman"/>
          <w:i/>
          <w:sz w:val="24"/>
          <w:szCs w:val="24"/>
        </w:rPr>
        <w:t>in fine</w:t>
      </w:r>
      <w:r w:rsidRPr="00F00D7D">
        <w:rPr>
          <w:rFonts w:ascii="Times New Roman" w:hAnsi="Times New Roman" w:cs="Times New Roman"/>
          <w:sz w:val="24"/>
          <w:szCs w:val="24"/>
        </w:rPr>
        <w:t>, commence à courir non pas à</w:t>
      </w:r>
      <w:r w:rsidRPr="00F00D7D">
        <w:rPr>
          <w:rFonts w:ascii="Times New Roman" w:hAnsi="Times New Roman" w:cs="Times New Roman"/>
          <w:sz w:val="24"/>
          <w:szCs w:val="24"/>
        </w:rPr>
        <w:t xml:space="preserve"> partir de la cessation du contrat, mais bien à partir de cette notification</w:t>
      </w:r>
      <w:r w:rsidR="00F00D7D" w:rsidRPr="00F00D7D">
        <w:rPr>
          <w:rStyle w:val="Appelnotedebasdep"/>
          <w:rFonts w:ascii="Times New Roman" w:hAnsi="Times New Roman" w:cs="Times New Roman"/>
          <w:sz w:val="24"/>
          <w:szCs w:val="24"/>
        </w:rPr>
        <w:footnoteReference w:id="6"/>
      </w:r>
      <w:r w:rsidRPr="00F00D7D">
        <w:rPr>
          <w:rFonts w:ascii="Times New Roman" w:hAnsi="Times New Roman" w:cs="Times New Roman"/>
          <w:sz w:val="24"/>
          <w:szCs w:val="24"/>
        </w:rPr>
        <w:t>.</w:t>
      </w:r>
    </w:p>
    <w:p w14:paraId="40440EED" w14:textId="76D8CCD2" w:rsidR="00F00D7D" w:rsidRPr="00F00D7D" w:rsidRDefault="00F00D7D" w:rsidP="00F00D7D">
      <w:pPr>
        <w:pStyle w:val="Corpsdetexte"/>
        <w:ind w:left="0" w:right="74"/>
        <w:rPr>
          <w:rFonts w:ascii="Times New Roman" w:hAnsi="Times New Roman" w:cs="Times New Roman"/>
          <w:sz w:val="24"/>
          <w:szCs w:val="24"/>
        </w:rPr>
      </w:pPr>
    </w:p>
    <w:p w14:paraId="763678FD" w14:textId="77777777" w:rsidR="00F00D7D" w:rsidRPr="00F00D7D" w:rsidRDefault="00F00D7D" w:rsidP="00F00D7D">
      <w:pPr>
        <w:pStyle w:val="Corpsdetexte"/>
        <w:ind w:left="0" w:right="74"/>
        <w:rPr>
          <w:rFonts w:ascii="Times New Roman" w:hAnsi="Times New Roman" w:cs="Times New Roman"/>
          <w:sz w:val="24"/>
          <w:szCs w:val="24"/>
        </w:rPr>
      </w:pPr>
    </w:p>
    <w:p w14:paraId="11D80FBC" w14:textId="77777777" w:rsidR="00F00D7D" w:rsidRPr="00F00D7D" w:rsidRDefault="00E82CBE" w:rsidP="00F00D7D">
      <w:pPr>
        <w:tabs>
          <w:tab w:val="left" w:pos="5854"/>
        </w:tabs>
        <w:ind w:right="74"/>
        <w:jc w:val="right"/>
        <w:rPr>
          <w:rFonts w:ascii="Times New Roman" w:hAnsi="Times New Roman" w:cs="Times New Roman"/>
          <w:i/>
          <w:iCs/>
          <w:sz w:val="24"/>
          <w:szCs w:val="24"/>
        </w:rPr>
      </w:pPr>
      <w:r w:rsidRPr="00F00D7D">
        <w:rPr>
          <w:rFonts w:ascii="Times New Roman" w:hAnsi="Times New Roman" w:cs="Times New Roman"/>
          <w:i/>
          <w:iCs/>
          <w:sz w:val="24"/>
          <w:szCs w:val="24"/>
        </w:rPr>
        <w:t>Alice</w:t>
      </w:r>
      <w:r w:rsidRPr="00F00D7D">
        <w:rPr>
          <w:rFonts w:ascii="Times New Roman" w:hAnsi="Times New Roman" w:cs="Times New Roman"/>
          <w:i/>
          <w:iCs/>
          <w:sz w:val="24"/>
          <w:szCs w:val="24"/>
        </w:rPr>
        <w:t xml:space="preserve"> </w:t>
      </w:r>
      <w:r w:rsidRPr="00F00D7D">
        <w:rPr>
          <w:rFonts w:ascii="Times New Roman" w:hAnsi="Times New Roman" w:cs="Times New Roman"/>
          <w:i/>
          <w:iCs/>
          <w:sz w:val="24"/>
          <w:szCs w:val="24"/>
        </w:rPr>
        <w:t>D</w:t>
      </w:r>
      <w:r w:rsidRPr="00F00D7D">
        <w:rPr>
          <w:rFonts w:ascii="Times New Roman" w:hAnsi="Times New Roman" w:cs="Times New Roman"/>
          <w:i/>
          <w:iCs/>
          <w:sz w:val="24"/>
          <w:szCs w:val="24"/>
        </w:rPr>
        <w:t>EJOLLIER</w:t>
      </w:r>
    </w:p>
    <w:p w14:paraId="422A5836" w14:textId="486D26B3" w:rsidR="00F00D7D" w:rsidRPr="00F00D7D" w:rsidRDefault="00E82CBE" w:rsidP="00F00D7D">
      <w:pPr>
        <w:tabs>
          <w:tab w:val="left" w:pos="5854"/>
        </w:tabs>
        <w:ind w:right="74"/>
        <w:jc w:val="right"/>
        <w:rPr>
          <w:rFonts w:ascii="Times New Roman" w:hAnsi="Times New Roman" w:cs="Times New Roman"/>
          <w:i/>
          <w:iCs/>
          <w:sz w:val="24"/>
          <w:szCs w:val="24"/>
        </w:rPr>
      </w:pPr>
      <w:r w:rsidRPr="00F00D7D">
        <w:rPr>
          <w:rFonts w:ascii="Times New Roman" w:hAnsi="Times New Roman" w:cs="Times New Roman"/>
          <w:i/>
          <w:iCs/>
          <w:sz w:val="24"/>
          <w:szCs w:val="24"/>
        </w:rPr>
        <w:t>Patrick</w:t>
      </w:r>
      <w:r w:rsidRPr="00F00D7D">
        <w:rPr>
          <w:rFonts w:ascii="Times New Roman" w:hAnsi="Times New Roman" w:cs="Times New Roman"/>
          <w:i/>
          <w:iCs/>
          <w:sz w:val="24"/>
          <w:szCs w:val="24"/>
        </w:rPr>
        <w:t xml:space="preserve"> </w:t>
      </w:r>
      <w:r w:rsidRPr="00F00D7D">
        <w:rPr>
          <w:rFonts w:ascii="Times New Roman" w:hAnsi="Times New Roman" w:cs="Times New Roman"/>
          <w:i/>
          <w:iCs/>
          <w:sz w:val="24"/>
          <w:szCs w:val="24"/>
        </w:rPr>
        <w:t>K</w:t>
      </w:r>
      <w:r w:rsidRPr="00F00D7D">
        <w:rPr>
          <w:rFonts w:ascii="Times New Roman" w:hAnsi="Times New Roman" w:cs="Times New Roman"/>
          <w:i/>
          <w:iCs/>
          <w:sz w:val="24"/>
          <w:szCs w:val="24"/>
        </w:rPr>
        <w:t>ILESTE</w:t>
      </w:r>
    </w:p>
    <w:p w14:paraId="29CC1DB8" w14:textId="77777777" w:rsidR="00F00D7D" w:rsidRPr="00F00D7D" w:rsidRDefault="00F00D7D" w:rsidP="00F00D7D">
      <w:pPr>
        <w:pStyle w:val="Corpsdetexte"/>
        <w:tabs>
          <w:tab w:val="left" w:pos="4450"/>
        </w:tabs>
        <w:ind w:left="0" w:right="74"/>
        <w:jc w:val="right"/>
        <w:rPr>
          <w:rFonts w:ascii="Times New Roman" w:hAnsi="Times New Roman" w:cs="Times New Roman"/>
          <w:i/>
          <w:iCs/>
          <w:sz w:val="24"/>
          <w:szCs w:val="24"/>
        </w:rPr>
      </w:pPr>
      <w:r w:rsidRPr="00F00D7D">
        <w:rPr>
          <w:rFonts w:ascii="Times New Roman" w:hAnsi="Times New Roman" w:cs="Times New Roman"/>
          <w:i/>
          <w:iCs/>
          <w:sz w:val="24"/>
          <w:szCs w:val="24"/>
        </w:rPr>
        <w:t xml:space="preserve">Avocats </w:t>
      </w:r>
      <w:r w:rsidR="00E82CBE" w:rsidRPr="00F00D7D">
        <w:rPr>
          <w:rFonts w:ascii="Times New Roman" w:hAnsi="Times New Roman" w:cs="Times New Roman"/>
          <w:i/>
          <w:iCs/>
          <w:sz w:val="24"/>
          <w:szCs w:val="24"/>
        </w:rPr>
        <w:t>au barreau</w:t>
      </w:r>
      <w:r w:rsidR="00E82CBE" w:rsidRPr="00F00D7D">
        <w:rPr>
          <w:rFonts w:ascii="Times New Roman" w:hAnsi="Times New Roman" w:cs="Times New Roman"/>
          <w:i/>
          <w:iCs/>
          <w:sz w:val="24"/>
          <w:szCs w:val="24"/>
        </w:rPr>
        <w:t xml:space="preserve"> </w:t>
      </w:r>
      <w:r w:rsidR="00E82CBE" w:rsidRPr="00F00D7D">
        <w:rPr>
          <w:rFonts w:ascii="Times New Roman" w:hAnsi="Times New Roman" w:cs="Times New Roman"/>
          <w:i/>
          <w:iCs/>
          <w:sz w:val="24"/>
          <w:szCs w:val="24"/>
        </w:rPr>
        <w:t>de</w:t>
      </w:r>
      <w:r w:rsidR="00E82CBE" w:rsidRPr="00F00D7D">
        <w:rPr>
          <w:rFonts w:ascii="Times New Roman" w:hAnsi="Times New Roman" w:cs="Times New Roman"/>
          <w:i/>
          <w:iCs/>
          <w:sz w:val="24"/>
          <w:szCs w:val="24"/>
        </w:rPr>
        <w:t xml:space="preserve"> </w:t>
      </w:r>
      <w:r w:rsidR="00E82CBE" w:rsidRPr="00F00D7D">
        <w:rPr>
          <w:rFonts w:ascii="Times New Roman" w:hAnsi="Times New Roman" w:cs="Times New Roman"/>
          <w:i/>
          <w:iCs/>
          <w:sz w:val="24"/>
          <w:szCs w:val="24"/>
        </w:rPr>
        <w:t>Bruxelles</w:t>
      </w:r>
    </w:p>
    <w:p w14:paraId="19D2C291" w14:textId="77777777" w:rsidR="00F00D7D" w:rsidRPr="00F00D7D" w:rsidRDefault="00F00D7D" w:rsidP="00F00D7D">
      <w:pPr>
        <w:pStyle w:val="Corpsdetexte"/>
        <w:tabs>
          <w:tab w:val="left" w:pos="4450"/>
        </w:tabs>
        <w:ind w:left="0" w:right="74"/>
        <w:rPr>
          <w:rFonts w:ascii="Times New Roman" w:hAnsi="Times New Roman" w:cs="Times New Roman"/>
          <w:sz w:val="24"/>
          <w:szCs w:val="24"/>
        </w:rPr>
      </w:pPr>
    </w:p>
    <w:p w14:paraId="308EA88C" w14:textId="169CD637" w:rsidR="000A3B0A" w:rsidRPr="00F00D7D" w:rsidRDefault="00E82CBE" w:rsidP="00F00D7D">
      <w:pPr>
        <w:pStyle w:val="Corpsdetexte"/>
        <w:tabs>
          <w:tab w:val="left" w:pos="4450"/>
        </w:tabs>
        <w:ind w:left="0" w:right="74"/>
        <w:rPr>
          <w:rFonts w:ascii="Times New Roman" w:hAnsi="Times New Roman" w:cs="Times New Roman"/>
          <w:sz w:val="24"/>
          <w:szCs w:val="24"/>
        </w:rPr>
      </w:pPr>
      <w:r w:rsidRPr="00F00D7D">
        <w:rPr>
          <w:rFonts w:ascii="Times New Roman" w:hAnsi="Times New Roman" w:cs="Times New Roman"/>
          <w:sz w:val="24"/>
          <w:szCs w:val="24"/>
        </w:rPr>
        <w:tab/>
      </w:r>
    </w:p>
    <w:p w14:paraId="308EA88D" w14:textId="77777777" w:rsidR="000A3B0A" w:rsidRPr="00F00D7D" w:rsidRDefault="000A3B0A" w:rsidP="00F00D7D">
      <w:pPr>
        <w:pStyle w:val="Corpsdetexte"/>
        <w:ind w:left="0" w:right="74"/>
        <w:rPr>
          <w:rFonts w:ascii="Times New Roman" w:hAnsi="Times New Roman" w:cs="Times New Roman"/>
          <w:sz w:val="24"/>
          <w:szCs w:val="24"/>
        </w:rPr>
      </w:pPr>
    </w:p>
    <w:sectPr w:rsidR="000A3B0A" w:rsidRPr="00F00D7D" w:rsidSect="00F00D7D">
      <w:headerReference w:type="default" r:id="rId7"/>
      <w:footerReference w:type="default" r:id="rId8"/>
      <w:type w:val="continuous"/>
      <w:pgSz w:w="8790" w:h="13610"/>
      <w:pgMar w:top="993" w:right="780" w:bottom="993" w:left="99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08EA8A1" w14:textId="77777777" w:rsidR="00000000" w:rsidRDefault="00E82CBE">
      <w:r>
        <w:separator/>
      </w:r>
    </w:p>
  </w:endnote>
  <w:endnote w:type="continuationSeparator" w:id="0">
    <w:p w14:paraId="308EA8A3" w14:textId="77777777" w:rsidR="00000000" w:rsidRDefault="00E82C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8EA89C" w14:textId="144457D4" w:rsidR="000A3B0A" w:rsidRDefault="000A3B0A">
    <w:pPr>
      <w:pStyle w:val="Corpsdetexte"/>
      <w:spacing w:line="14" w:lineRule="auto"/>
      <w:ind w:left="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8EA89D" w14:textId="77777777" w:rsidR="00000000" w:rsidRDefault="00E82CBE">
      <w:r>
        <w:separator/>
      </w:r>
    </w:p>
  </w:footnote>
  <w:footnote w:type="continuationSeparator" w:id="0">
    <w:p w14:paraId="308EA89F" w14:textId="77777777" w:rsidR="00000000" w:rsidRDefault="00E82CBE">
      <w:r>
        <w:continuationSeparator/>
      </w:r>
    </w:p>
  </w:footnote>
  <w:footnote w:id="1">
    <w:p w14:paraId="301F99A8" w14:textId="2F344B8F" w:rsidR="00F00D7D" w:rsidRPr="00F00D7D" w:rsidRDefault="00F00D7D" w:rsidP="00F00D7D">
      <w:pPr>
        <w:ind w:right="71"/>
        <w:jc w:val="both"/>
        <w:rPr>
          <w:rFonts w:ascii="Times New Roman" w:hAnsi="Times New Roman" w:cs="Times New Roman"/>
          <w:sz w:val="18"/>
          <w:szCs w:val="18"/>
        </w:rPr>
      </w:pPr>
      <w:r w:rsidRPr="00F00D7D">
        <w:rPr>
          <w:rStyle w:val="Appelnotedebasdep"/>
          <w:rFonts w:ascii="Times New Roman" w:hAnsi="Times New Roman" w:cs="Times New Roman"/>
          <w:sz w:val="18"/>
          <w:szCs w:val="18"/>
        </w:rPr>
        <w:footnoteRef/>
      </w:r>
      <w:r w:rsidRPr="00F00D7D">
        <w:rPr>
          <w:rFonts w:ascii="Times New Roman" w:hAnsi="Times New Roman" w:cs="Times New Roman"/>
          <w:sz w:val="18"/>
          <w:szCs w:val="18"/>
        </w:rPr>
        <w:t xml:space="preserve"> </w:t>
      </w:r>
      <w:r w:rsidRPr="00F00D7D">
        <w:rPr>
          <w:rFonts w:ascii="Times New Roman" w:hAnsi="Times New Roman" w:cs="Times New Roman"/>
          <w:sz w:val="18"/>
          <w:szCs w:val="18"/>
        </w:rPr>
        <w:t>Sur cette question, nous renvoyons le lecteur à notre commentaire de l’arrêt de la Cour de cassation du 27 mai 2016 (R.G. n° C.15.0292.F), publié ci-avant p.</w:t>
      </w:r>
      <w:r w:rsidRPr="00F00D7D">
        <w:rPr>
          <w:rFonts w:ascii="Times New Roman" w:hAnsi="Times New Roman" w:cs="Times New Roman"/>
          <w:spacing w:val="-7"/>
          <w:sz w:val="18"/>
          <w:szCs w:val="18"/>
        </w:rPr>
        <w:t xml:space="preserve"> </w:t>
      </w:r>
      <w:r w:rsidRPr="00F00D7D">
        <w:rPr>
          <w:rFonts w:ascii="Times New Roman" w:hAnsi="Times New Roman" w:cs="Times New Roman"/>
          <w:sz w:val="18"/>
          <w:szCs w:val="18"/>
        </w:rPr>
        <w:t>542.</w:t>
      </w:r>
    </w:p>
  </w:footnote>
  <w:footnote w:id="2">
    <w:p w14:paraId="75D4AA3D" w14:textId="15C36F5B" w:rsidR="00F00D7D" w:rsidRPr="00F00D7D" w:rsidRDefault="00F00D7D" w:rsidP="00F00D7D">
      <w:pPr>
        <w:ind w:right="71"/>
        <w:jc w:val="both"/>
        <w:rPr>
          <w:rFonts w:ascii="Times New Roman" w:hAnsi="Times New Roman" w:cs="Times New Roman"/>
          <w:sz w:val="18"/>
          <w:szCs w:val="18"/>
        </w:rPr>
      </w:pPr>
      <w:r w:rsidRPr="00F00D7D">
        <w:rPr>
          <w:rStyle w:val="Appelnotedebasdep"/>
          <w:rFonts w:ascii="Times New Roman" w:hAnsi="Times New Roman" w:cs="Times New Roman"/>
          <w:sz w:val="18"/>
          <w:szCs w:val="18"/>
        </w:rPr>
        <w:footnoteRef/>
      </w:r>
      <w:r w:rsidRPr="00F00D7D">
        <w:rPr>
          <w:rFonts w:ascii="Times New Roman" w:hAnsi="Times New Roman" w:cs="Times New Roman"/>
          <w:sz w:val="18"/>
          <w:szCs w:val="18"/>
        </w:rPr>
        <w:t xml:space="preserve"> </w:t>
      </w:r>
      <w:r w:rsidRPr="00F00D7D">
        <w:rPr>
          <w:rFonts w:ascii="Times New Roman" w:hAnsi="Times New Roman" w:cs="Times New Roman"/>
          <w:sz w:val="18"/>
          <w:szCs w:val="18"/>
        </w:rPr>
        <w:t xml:space="preserve">C. DANIELS et K. VAN DEN BROECK, « De </w:t>
      </w:r>
      <w:proofErr w:type="spellStart"/>
      <w:r w:rsidRPr="00F00D7D">
        <w:rPr>
          <w:rFonts w:ascii="Times New Roman" w:hAnsi="Times New Roman" w:cs="Times New Roman"/>
          <w:sz w:val="18"/>
          <w:szCs w:val="18"/>
        </w:rPr>
        <w:t>verjaring</w:t>
      </w:r>
      <w:proofErr w:type="spellEnd"/>
      <w:r w:rsidRPr="00F00D7D">
        <w:rPr>
          <w:rFonts w:ascii="Times New Roman" w:hAnsi="Times New Roman" w:cs="Times New Roman"/>
          <w:sz w:val="18"/>
          <w:szCs w:val="18"/>
        </w:rPr>
        <w:t xml:space="preserve"> van </w:t>
      </w:r>
      <w:proofErr w:type="spellStart"/>
      <w:r w:rsidRPr="00F00D7D">
        <w:rPr>
          <w:rFonts w:ascii="Times New Roman" w:hAnsi="Times New Roman" w:cs="Times New Roman"/>
          <w:sz w:val="18"/>
          <w:szCs w:val="18"/>
        </w:rPr>
        <w:t>vorderingen</w:t>
      </w:r>
      <w:proofErr w:type="spellEnd"/>
      <w:r w:rsidRPr="00F00D7D">
        <w:rPr>
          <w:rFonts w:ascii="Times New Roman" w:hAnsi="Times New Roman" w:cs="Times New Roman"/>
          <w:sz w:val="18"/>
          <w:szCs w:val="18"/>
        </w:rPr>
        <w:t xml:space="preserve"> </w:t>
      </w:r>
      <w:proofErr w:type="spellStart"/>
      <w:r w:rsidRPr="00F00D7D">
        <w:rPr>
          <w:rFonts w:ascii="Times New Roman" w:hAnsi="Times New Roman" w:cs="Times New Roman"/>
          <w:sz w:val="18"/>
          <w:szCs w:val="18"/>
        </w:rPr>
        <w:t>ontstaan</w:t>
      </w:r>
      <w:proofErr w:type="spellEnd"/>
      <w:r w:rsidRPr="00F00D7D">
        <w:rPr>
          <w:rFonts w:ascii="Times New Roman" w:hAnsi="Times New Roman" w:cs="Times New Roman"/>
          <w:sz w:val="18"/>
          <w:szCs w:val="18"/>
        </w:rPr>
        <w:t xml:space="preserve"> na de </w:t>
      </w:r>
      <w:proofErr w:type="spellStart"/>
      <w:r w:rsidRPr="00F00D7D">
        <w:rPr>
          <w:rFonts w:ascii="Times New Roman" w:hAnsi="Times New Roman" w:cs="Times New Roman"/>
          <w:sz w:val="18"/>
          <w:szCs w:val="18"/>
        </w:rPr>
        <w:t>beëindiging</w:t>
      </w:r>
      <w:proofErr w:type="spellEnd"/>
      <w:r w:rsidRPr="00F00D7D">
        <w:rPr>
          <w:rFonts w:ascii="Times New Roman" w:hAnsi="Times New Roman" w:cs="Times New Roman"/>
          <w:sz w:val="18"/>
          <w:szCs w:val="18"/>
        </w:rPr>
        <w:t xml:space="preserve"> van </w:t>
      </w:r>
      <w:proofErr w:type="spellStart"/>
      <w:r w:rsidRPr="00F00D7D">
        <w:rPr>
          <w:rFonts w:ascii="Times New Roman" w:hAnsi="Times New Roman" w:cs="Times New Roman"/>
          <w:sz w:val="18"/>
          <w:szCs w:val="18"/>
        </w:rPr>
        <w:t>een</w:t>
      </w:r>
      <w:proofErr w:type="spellEnd"/>
      <w:r w:rsidRPr="00F00D7D">
        <w:rPr>
          <w:rFonts w:ascii="Times New Roman" w:hAnsi="Times New Roman" w:cs="Times New Roman"/>
          <w:sz w:val="18"/>
          <w:szCs w:val="18"/>
        </w:rPr>
        <w:t xml:space="preserve"> </w:t>
      </w:r>
      <w:proofErr w:type="spellStart"/>
      <w:r w:rsidRPr="00F00D7D">
        <w:rPr>
          <w:rFonts w:ascii="Times New Roman" w:hAnsi="Times New Roman" w:cs="Times New Roman"/>
          <w:sz w:val="18"/>
          <w:szCs w:val="18"/>
        </w:rPr>
        <w:t>agentuurovereenkomst</w:t>
      </w:r>
      <w:proofErr w:type="spellEnd"/>
      <w:r w:rsidRPr="00F00D7D">
        <w:rPr>
          <w:rFonts w:ascii="Times New Roman" w:hAnsi="Times New Roman" w:cs="Times New Roman"/>
          <w:sz w:val="18"/>
          <w:szCs w:val="18"/>
        </w:rPr>
        <w:t xml:space="preserve"> », note sous Bruxelles, 14 novembre 2012, </w:t>
      </w:r>
      <w:r w:rsidRPr="00F00D7D">
        <w:rPr>
          <w:rFonts w:ascii="Times New Roman" w:hAnsi="Times New Roman" w:cs="Times New Roman"/>
          <w:i/>
          <w:sz w:val="18"/>
          <w:szCs w:val="18"/>
        </w:rPr>
        <w:t>R.A.B.G.</w:t>
      </w:r>
      <w:r w:rsidRPr="00F00D7D">
        <w:rPr>
          <w:rFonts w:ascii="Times New Roman" w:hAnsi="Times New Roman" w:cs="Times New Roman"/>
          <w:sz w:val="18"/>
          <w:szCs w:val="18"/>
        </w:rPr>
        <w:t>, 2015, p. 659.</w:t>
      </w:r>
    </w:p>
  </w:footnote>
  <w:footnote w:id="3">
    <w:p w14:paraId="4B3D1070" w14:textId="77777777" w:rsidR="00F00D7D" w:rsidRPr="00F00D7D" w:rsidRDefault="00F00D7D" w:rsidP="00F00D7D">
      <w:pPr>
        <w:ind w:right="71"/>
        <w:jc w:val="both"/>
        <w:rPr>
          <w:rFonts w:ascii="Times New Roman" w:hAnsi="Times New Roman" w:cs="Times New Roman"/>
          <w:sz w:val="18"/>
          <w:szCs w:val="18"/>
        </w:rPr>
      </w:pPr>
      <w:r w:rsidRPr="00F00D7D">
        <w:rPr>
          <w:rStyle w:val="Appelnotedebasdep"/>
          <w:rFonts w:ascii="Times New Roman" w:hAnsi="Times New Roman" w:cs="Times New Roman"/>
          <w:sz w:val="18"/>
          <w:szCs w:val="18"/>
        </w:rPr>
        <w:footnoteRef/>
      </w:r>
      <w:r w:rsidRPr="00F00D7D">
        <w:rPr>
          <w:rFonts w:ascii="Times New Roman" w:hAnsi="Times New Roman" w:cs="Times New Roman"/>
          <w:sz w:val="18"/>
          <w:szCs w:val="18"/>
        </w:rPr>
        <w:t xml:space="preserve"> </w:t>
      </w:r>
      <w:r w:rsidRPr="00F00D7D">
        <w:rPr>
          <w:rFonts w:ascii="Times New Roman" w:hAnsi="Times New Roman" w:cs="Times New Roman"/>
          <w:sz w:val="18"/>
          <w:szCs w:val="18"/>
        </w:rPr>
        <w:t xml:space="preserve">En ce sens, </w:t>
      </w:r>
      <w:proofErr w:type="spellStart"/>
      <w:r w:rsidRPr="00F00D7D">
        <w:rPr>
          <w:rFonts w:ascii="Times New Roman" w:hAnsi="Times New Roman" w:cs="Times New Roman"/>
          <w:sz w:val="18"/>
          <w:szCs w:val="18"/>
        </w:rPr>
        <w:t>voy</w:t>
      </w:r>
      <w:proofErr w:type="spellEnd"/>
      <w:r w:rsidRPr="00F00D7D">
        <w:rPr>
          <w:rFonts w:ascii="Times New Roman" w:hAnsi="Times New Roman" w:cs="Times New Roman"/>
          <w:sz w:val="18"/>
          <w:szCs w:val="18"/>
        </w:rPr>
        <w:t xml:space="preserve">. </w:t>
      </w:r>
      <w:proofErr w:type="spellStart"/>
      <w:r w:rsidRPr="00F00D7D">
        <w:rPr>
          <w:rFonts w:ascii="Times New Roman" w:hAnsi="Times New Roman" w:cs="Times New Roman"/>
          <w:sz w:val="18"/>
          <w:szCs w:val="18"/>
        </w:rPr>
        <w:t>Comm</w:t>
      </w:r>
      <w:proofErr w:type="spellEnd"/>
      <w:r w:rsidRPr="00F00D7D">
        <w:rPr>
          <w:rFonts w:ascii="Times New Roman" w:hAnsi="Times New Roman" w:cs="Times New Roman"/>
          <w:sz w:val="18"/>
          <w:szCs w:val="18"/>
        </w:rPr>
        <w:t xml:space="preserve">. Liège, 28 janvier 2002, </w:t>
      </w:r>
      <w:r w:rsidRPr="00F00D7D">
        <w:rPr>
          <w:rFonts w:ascii="Times New Roman" w:hAnsi="Times New Roman" w:cs="Times New Roman"/>
          <w:i/>
          <w:sz w:val="18"/>
          <w:szCs w:val="18"/>
        </w:rPr>
        <w:t>cette revue</w:t>
      </w:r>
      <w:r w:rsidRPr="00F00D7D">
        <w:rPr>
          <w:rFonts w:ascii="Times New Roman" w:hAnsi="Times New Roman" w:cs="Times New Roman"/>
          <w:sz w:val="18"/>
          <w:szCs w:val="18"/>
        </w:rPr>
        <w:t>, 2003, p. 4.</w:t>
      </w:r>
    </w:p>
    <w:p w14:paraId="2283DE6F" w14:textId="005AEC84" w:rsidR="00F00D7D" w:rsidRPr="00F00D7D" w:rsidRDefault="00F00D7D" w:rsidP="00F00D7D">
      <w:pPr>
        <w:ind w:right="71"/>
        <w:jc w:val="both"/>
        <w:rPr>
          <w:rFonts w:ascii="Times New Roman" w:hAnsi="Times New Roman" w:cs="Times New Roman"/>
          <w:sz w:val="18"/>
          <w:szCs w:val="18"/>
        </w:rPr>
      </w:pPr>
      <w:r w:rsidRPr="00F00D7D">
        <w:rPr>
          <w:rFonts w:ascii="Times New Roman" w:hAnsi="Times New Roman" w:cs="Times New Roman"/>
          <w:sz w:val="18"/>
          <w:szCs w:val="18"/>
        </w:rPr>
        <w:t xml:space="preserve">En ce sens, </w:t>
      </w:r>
      <w:proofErr w:type="spellStart"/>
      <w:r w:rsidRPr="00F00D7D">
        <w:rPr>
          <w:rFonts w:ascii="Times New Roman" w:hAnsi="Times New Roman" w:cs="Times New Roman"/>
          <w:sz w:val="18"/>
          <w:szCs w:val="18"/>
        </w:rPr>
        <w:t>voy</w:t>
      </w:r>
      <w:proofErr w:type="spellEnd"/>
      <w:r w:rsidRPr="00F00D7D">
        <w:rPr>
          <w:rFonts w:ascii="Times New Roman" w:hAnsi="Times New Roman" w:cs="Times New Roman"/>
          <w:sz w:val="18"/>
          <w:szCs w:val="18"/>
        </w:rPr>
        <w:t xml:space="preserve">. A. DE THEUX, </w:t>
      </w:r>
      <w:r w:rsidRPr="00F00D7D">
        <w:rPr>
          <w:rFonts w:ascii="Times New Roman" w:hAnsi="Times New Roman" w:cs="Times New Roman"/>
          <w:i/>
          <w:sz w:val="18"/>
          <w:szCs w:val="18"/>
        </w:rPr>
        <w:t>La fin du contrat d’agence commerciale</w:t>
      </w:r>
      <w:r w:rsidRPr="00F00D7D">
        <w:rPr>
          <w:rFonts w:ascii="Times New Roman" w:hAnsi="Times New Roman" w:cs="Times New Roman"/>
          <w:sz w:val="18"/>
          <w:szCs w:val="18"/>
        </w:rPr>
        <w:t>, Bruxelles, Bruylant, 1997, p. 113 ;</w:t>
      </w:r>
      <w:r>
        <w:rPr>
          <w:rFonts w:ascii="Times New Roman" w:hAnsi="Times New Roman" w:cs="Times New Roman"/>
          <w:sz w:val="18"/>
          <w:szCs w:val="18"/>
        </w:rPr>
        <w:t xml:space="preserve"> </w:t>
      </w:r>
      <w:r w:rsidRPr="00F00D7D">
        <w:rPr>
          <w:rFonts w:ascii="Times New Roman" w:hAnsi="Times New Roman" w:cs="Times New Roman"/>
          <w:sz w:val="18"/>
          <w:szCs w:val="18"/>
        </w:rPr>
        <w:t xml:space="preserve">D. MATRAY, « Distribution : la nouvelle loi sur le contrat d’agence et l’évolution de la jurisprudence en matière de concession », </w:t>
      </w:r>
      <w:r w:rsidRPr="00F00D7D">
        <w:rPr>
          <w:rFonts w:ascii="Times New Roman" w:hAnsi="Times New Roman" w:cs="Times New Roman"/>
          <w:i/>
          <w:sz w:val="18"/>
          <w:szCs w:val="18"/>
        </w:rPr>
        <w:t>in Les contrats commerciaux</w:t>
      </w:r>
      <w:r w:rsidRPr="00F00D7D">
        <w:rPr>
          <w:rFonts w:ascii="Times New Roman" w:hAnsi="Times New Roman" w:cs="Times New Roman"/>
          <w:sz w:val="18"/>
          <w:szCs w:val="18"/>
        </w:rPr>
        <w:t xml:space="preserve">, Formation permanente CUP, Liège, 1995, pp. 57 et s. ; A. MOT- TET HAUGAARD et T. FAELLI, « Chronique de jurisprudence relative à la loi du 13 avril 1995 sur le contrat d’agence commerciale (1995-2004) », </w:t>
      </w:r>
      <w:r w:rsidRPr="00F00D7D">
        <w:rPr>
          <w:rFonts w:ascii="Times New Roman" w:hAnsi="Times New Roman" w:cs="Times New Roman"/>
          <w:i/>
          <w:sz w:val="18"/>
          <w:szCs w:val="18"/>
        </w:rPr>
        <w:t>D.A.O.R.</w:t>
      </w:r>
      <w:r w:rsidRPr="00F00D7D">
        <w:rPr>
          <w:rFonts w:ascii="Times New Roman" w:hAnsi="Times New Roman" w:cs="Times New Roman"/>
          <w:sz w:val="18"/>
          <w:szCs w:val="18"/>
        </w:rPr>
        <w:t>, 2005/75, p.</w:t>
      </w:r>
      <w:r w:rsidRPr="00F00D7D">
        <w:rPr>
          <w:rFonts w:ascii="Times New Roman" w:hAnsi="Times New Roman" w:cs="Times New Roman"/>
          <w:spacing w:val="-5"/>
          <w:sz w:val="18"/>
          <w:szCs w:val="18"/>
        </w:rPr>
        <w:t xml:space="preserve"> </w:t>
      </w:r>
      <w:r w:rsidRPr="00F00D7D">
        <w:rPr>
          <w:rFonts w:ascii="Times New Roman" w:hAnsi="Times New Roman" w:cs="Times New Roman"/>
          <w:sz w:val="18"/>
          <w:szCs w:val="18"/>
        </w:rPr>
        <w:t>240.</w:t>
      </w:r>
    </w:p>
  </w:footnote>
  <w:footnote w:id="4">
    <w:p w14:paraId="043EDB3B" w14:textId="6739D791" w:rsidR="00F00D7D" w:rsidRPr="00F00D7D" w:rsidRDefault="00F00D7D" w:rsidP="00F00D7D">
      <w:pPr>
        <w:ind w:right="71"/>
        <w:jc w:val="both"/>
        <w:rPr>
          <w:rFonts w:ascii="Times New Roman" w:hAnsi="Times New Roman" w:cs="Times New Roman"/>
          <w:sz w:val="18"/>
          <w:szCs w:val="18"/>
        </w:rPr>
      </w:pPr>
      <w:r w:rsidRPr="00F00D7D">
        <w:rPr>
          <w:rStyle w:val="Appelnotedebasdep"/>
          <w:rFonts w:ascii="Times New Roman" w:hAnsi="Times New Roman" w:cs="Times New Roman"/>
          <w:sz w:val="18"/>
          <w:szCs w:val="18"/>
        </w:rPr>
        <w:footnoteRef/>
      </w:r>
      <w:r w:rsidRPr="00F00D7D">
        <w:rPr>
          <w:rFonts w:ascii="Times New Roman" w:hAnsi="Times New Roman" w:cs="Times New Roman"/>
          <w:sz w:val="18"/>
          <w:szCs w:val="18"/>
        </w:rPr>
        <w:t xml:space="preserve"> </w:t>
      </w:r>
      <w:r w:rsidRPr="00F00D7D">
        <w:rPr>
          <w:rFonts w:ascii="Times New Roman" w:hAnsi="Times New Roman" w:cs="Times New Roman"/>
          <w:sz w:val="18"/>
          <w:szCs w:val="18"/>
        </w:rPr>
        <w:t xml:space="preserve">Directive du Conseil du 18 décembre 1986 relative à la coordination des droits des États membres concernant les agents commerciaux indépendants, </w:t>
      </w:r>
      <w:r w:rsidRPr="00F00D7D">
        <w:rPr>
          <w:rFonts w:ascii="Times New Roman" w:hAnsi="Times New Roman" w:cs="Times New Roman"/>
          <w:i/>
          <w:sz w:val="18"/>
          <w:szCs w:val="18"/>
        </w:rPr>
        <w:t>J.O.U.E.</w:t>
      </w:r>
      <w:r w:rsidRPr="00F00D7D">
        <w:rPr>
          <w:rFonts w:ascii="Times New Roman" w:hAnsi="Times New Roman" w:cs="Times New Roman"/>
          <w:sz w:val="18"/>
          <w:szCs w:val="18"/>
        </w:rPr>
        <w:t>, L. 382, 31 décembre 1986, pp. 17 à</w:t>
      </w:r>
      <w:r w:rsidRPr="00F00D7D">
        <w:rPr>
          <w:rFonts w:ascii="Times New Roman" w:hAnsi="Times New Roman" w:cs="Times New Roman"/>
          <w:spacing w:val="-5"/>
          <w:sz w:val="18"/>
          <w:szCs w:val="18"/>
        </w:rPr>
        <w:t xml:space="preserve"> </w:t>
      </w:r>
      <w:r w:rsidRPr="00F00D7D">
        <w:rPr>
          <w:rFonts w:ascii="Times New Roman" w:hAnsi="Times New Roman" w:cs="Times New Roman"/>
          <w:sz w:val="18"/>
          <w:szCs w:val="18"/>
        </w:rPr>
        <w:t>21.</w:t>
      </w:r>
    </w:p>
  </w:footnote>
  <w:footnote w:id="5">
    <w:p w14:paraId="665515DA" w14:textId="46031C21" w:rsidR="00F00D7D" w:rsidRPr="00F00D7D" w:rsidRDefault="00F00D7D" w:rsidP="00F00D7D">
      <w:pPr>
        <w:pStyle w:val="Notedebasdepage"/>
        <w:ind w:right="71"/>
        <w:jc w:val="both"/>
        <w:rPr>
          <w:rFonts w:ascii="Times New Roman" w:hAnsi="Times New Roman" w:cs="Times New Roman"/>
          <w:sz w:val="18"/>
          <w:szCs w:val="18"/>
          <w:lang w:val="fr-BE"/>
        </w:rPr>
      </w:pPr>
      <w:r w:rsidRPr="00F00D7D">
        <w:rPr>
          <w:rStyle w:val="Appelnotedebasdep"/>
          <w:rFonts w:ascii="Times New Roman" w:hAnsi="Times New Roman" w:cs="Times New Roman"/>
          <w:sz w:val="18"/>
          <w:szCs w:val="18"/>
        </w:rPr>
        <w:footnoteRef/>
      </w:r>
      <w:r w:rsidRPr="00F00D7D">
        <w:rPr>
          <w:rFonts w:ascii="Times New Roman" w:hAnsi="Times New Roman" w:cs="Times New Roman"/>
          <w:sz w:val="18"/>
          <w:szCs w:val="18"/>
        </w:rPr>
        <w:t xml:space="preserve"> </w:t>
      </w:r>
      <w:r w:rsidRPr="00F00D7D">
        <w:rPr>
          <w:rFonts w:ascii="Times New Roman" w:hAnsi="Times New Roman" w:cs="Times New Roman"/>
          <w:sz w:val="18"/>
          <w:szCs w:val="18"/>
        </w:rPr>
        <w:t xml:space="preserve">P. CRAHAY, « La loi relative au contrat d’agence commerciale : résiliation et indemnité d’éviction », </w:t>
      </w:r>
      <w:r w:rsidRPr="00F00D7D">
        <w:rPr>
          <w:rFonts w:ascii="Times New Roman" w:hAnsi="Times New Roman" w:cs="Times New Roman"/>
          <w:i/>
          <w:sz w:val="18"/>
          <w:szCs w:val="18"/>
        </w:rPr>
        <w:t>R.D.C.</w:t>
      </w:r>
      <w:r w:rsidRPr="00F00D7D">
        <w:rPr>
          <w:rFonts w:ascii="Times New Roman" w:hAnsi="Times New Roman" w:cs="Times New Roman"/>
          <w:sz w:val="18"/>
          <w:szCs w:val="18"/>
        </w:rPr>
        <w:t>, 1995, p. 874.</w:t>
      </w:r>
    </w:p>
  </w:footnote>
  <w:footnote w:id="6">
    <w:p w14:paraId="467B8C10" w14:textId="46290868" w:rsidR="00F00D7D" w:rsidRPr="00F00D7D" w:rsidRDefault="00F00D7D" w:rsidP="00F00D7D">
      <w:pPr>
        <w:ind w:right="71"/>
        <w:jc w:val="both"/>
        <w:rPr>
          <w:rFonts w:ascii="Times New Roman" w:hAnsi="Times New Roman" w:cs="Times New Roman"/>
          <w:sz w:val="18"/>
          <w:szCs w:val="18"/>
        </w:rPr>
      </w:pPr>
      <w:r w:rsidRPr="00F00D7D">
        <w:rPr>
          <w:rStyle w:val="Appelnotedebasdep"/>
          <w:rFonts w:ascii="Times New Roman" w:hAnsi="Times New Roman" w:cs="Times New Roman"/>
          <w:sz w:val="18"/>
          <w:szCs w:val="18"/>
        </w:rPr>
        <w:footnoteRef/>
      </w:r>
      <w:r w:rsidRPr="00F00D7D">
        <w:rPr>
          <w:rFonts w:ascii="Times New Roman" w:hAnsi="Times New Roman" w:cs="Times New Roman"/>
          <w:sz w:val="18"/>
          <w:szCs w:val="18"/>
        </w:rPr>
        <w:t xml:space="preserve"> </w:t>
      </w:r>
      <w:proofErr w:type="spellStart"/>
      <w:r w:rsidRPr="00F00D7D">
        <w:rPr>
          <w:rFonts w:ascii="Times New Roman" w:hAnsi="Times New Roman" w:cs="Times New Roman"/>
          <w:sz w:val="18"/>
          <w:szCs w:val="18"/>
        </w:rPr>
        <w:t>Comm</w:t>
      </w:r>
      <w:proofErr w:type="spellEnd"/>
      <w:r w:rsidRPr="00F00D7D">
        <w:rPr>
          <w:rFonts w:ascii="Times New Roman" w:hAnsi="Times New Roman" w:cs="Times New Roman"/>
          <w:sz w:val="18"/>
          <w:szCs w:val="18"/>
        </w:rPr>
        <w:t xml:space="preserve">. Liège, 28 janvier 2002, </w:t>
      </w:r>
      <w:r w:rsidRPr="00F00D7D">
        <w:rPr>
          <w:rFonts w:ascii="Times New Roman" w:hAnsi="Times New Roman" w:cs="Times New Roman"/>
          <w:i/>
          <w:sz w:val="18"/>
          <w:szCs w:val="18"/>
        </w:rPr>
        <w:t>cette revue</w:t>
      </w:r>
      <w:r w:rsidRPr="00F00D7D">
        <w:rPr>
          <w:rFonts w:ascii="Times New Roman" w:hAnsi="Times New Roman" w:cs="Times New Roman"/>
          <w:sz w:val="18"/>
          <w:szCs w:val="18"/>
        </w:rPr>
        <w:t xml:space="preserve">, 2003, p. 4 ; </w:t>
      </w:r>
      <w:proofErr w:type="spellStart"/>
      <w:r w:rsidRPr="00F00D7D">
        <w:rPr>
          <w:rFonts w:ascii="Times New Roman" w:hAnsi="Times New Roman" w:cs="Times New Roman"/>
          <w:sz w:val="18"/>
          <w:szCs w:val="18"/>
        </w:rPr>
        <w:t>Comm</w:t>
      </w:r>
      <w:proofErr w:type="spellEnd"/>
      <w:r w:rsidRPr="00F00D7D">
        <w:rPr>
          <w:rFonts w:ascii="Times New Roman" w:hAnsi="Times New Roman" w:cs="Times New Roman"/>
          <w:sz w:val="18"/>
          <w:szCs w:val="18"/>
        </w:rPr>
        <w:t xml:space="preserve">. Termonde, 19 décembre 2002, </w:t>
      </w:r>
      <w:r w:rsidRPr="00F00D7D">
        <w:rPr>
          <w:rFonts w:ascii="Times New Roman" w:hAnsi="Times New Roman" w:cs="Times New Roman"/>
          <w:i/>
          <w:sz w:val="18"/>
          <w:szCs w:val="18"/>
        </w:rPr>
        <w:t>T.G</w:t>
      </w:r>
      <w:r w:rsidRPr="00F00D7D">
        <w:rPr>
          <w:rFonts w:ascii="Times New Roman" w:hAnsi="Times New Roman" w:cs="Times New Roman"/>
          <w:sz w:val="18"/>
          <w:szCs w:val="18"/>
        </w:rPr>
        <w:t>.R., 2002/5,</w:t>
      </w:r>
      <w:r>
        <w:rPr>
          <w:rFonts w:ascii="Times New Roman" w:hAnsi="Times New Roman" w:cs="Times New Roman"/>
          <w:sz w:val="18"/>
          <w:szCs w:val="18"/>
        </w:rPr>
        <w:t xml:space="preserve"> </w:t>
      </w:r>
      <w:r w:rsidRPr="00F00D7D">
        <w:rPr>
          <w:rFonts w:ascii="Times New Roman" w:hAnsi="Times New Roman" w:cs="Times New Roman"/>
          <w:sz w:val="18"/>
          <w:szCs w:val="18"/>
        </w:rPr>
        <w:t>p. 284 : « le délai d’un an dont dispose l’agent commercial, après la rupture du contrat, pour informer le commettant de son intention de faire valoir certains droits, n’est pas un délai de prescription mais un délai de forclusion</w:t>
      </w:r>
      <w:r w:rsidRPr="00F00D7D">
        <w:rPr>
          <w:rFonts w:ascii="Times New Roman" w:hAnsi="Times New Roman" w:cs="Times New Roman"/>
          <w:spacing w:val="-4"/>
          <w:sz w:val="18"/>
          <w:szCs w:val="18"/>
        </w:rPr>
        <w:t xml:space="preserve"> </w:t>
      </w:r>
      <w:r w:rsidRPr="00F00D7D">
        <w:rPr>
          <w:rFonts w:ascii="Times New Roman" w:hAnsi="Times New Roman" w:cs="Times New Roman"/>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8EA89B" w14:textId="1462F715" w:rsidR="000A3B0A" w:rsidRDefault="000A3B0A">
    <w:pPr>
      <w:pStyle w:val="Corpsdetexte"/>
      <w:spacing w:line="14" w:lineRule="auto"/>
      <w:ind w:left="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BDE5FEE"/>
    <w:multiLevelType w:val="hybridMultilevel"/>
    <w:tmpl w:val="0716401E"/>
    <w:lvl w:ilvl="0" w:tplc="195AD6BA">
      <w:start w:val="11"/>
      <w:numFmt w:val="decimal"/>
      <w:lvlText w:val="%1."/>
      <w:lvlJc w:val="left"/>
      <w:pPr>
        <w:ind w:left="220" w:hanging="324"/>
        <w:jc w:val="left"/>
      </w:pPr>
      <w:rPr>
        <w:rFonts w:ascii="Calibri" w:eastAsia="Calibri" w:hAnsi="Calibri" w:cs="Calibri" w:hint="default"/>
        <w:w w:val="99"/>
        <w:sz w:val="20"/>
        <w:szCs w:val="20"/>
        <w:lang w:val="fr-FR" w:eastAsia="fr-FR" w:bidi="fr-FR"/>
      </w:rPr>
    </w:lvl>
    <w:lvl w:ilvl="1" w:tplc="315286BE">
      <w:numFmt w:val="bullet"/>
      <w:lvlText w:val="•"/>
      <w:lvlJc w:val="left"/>
      <w:pPr>
        <w:ind w:left="918" w:hanging="324"/>
      </w:pPr>
      <w:rPr>
        <w:rFonts w:hint="default"/>
        <w:lang w:val="fr-FR" w:eastAsia="fr-FR" w:bidi="fr-FR"/>
      </w:rPr>
    </w:lvl>
    <w:lvl w:ilvl="2" w:tplc="87C4E5FA">
      <w:numFmt w:val="bullet"/>
      <w:lvlText w:val="•"/>
      <w:lvlJc w:val="left"/>
      <w:pPr>
        <w:ind w:left="1617" w:hanging="324"/>
      </w:pPr>
      <w:rPr>
        <w:rFonts w:hint="default"/>
        <w:lang w:val="fr-FR" w:eastAsia="fr-FR" w:bidi="fr-FR"/>
      </w:rPr>
    </w:lvl>
    <w:lvl w:ilvl="3" w:tplc="4C3E52B2">
      <w:numFmt w:val="bullet"/>
      <w:lvlText w:val="•"/>
      <w:lvlJc w:val="left"/>
      <w:pPr>
        <w:ind w:left="2316" w:hanging="324"/>
      </w:pPr>
      <w:rPr>
        <w:rFonts w:hint="default"/>
        <w:lang w:val="fr-FR" w:eastAsia="fr-FR" w:bidi="fr-FR"/>
      </w:rPr>
    </w:lvl>
    <w:lvl w:ilvl="4" w:tplc="0C101330">
      <w:numFmt w:val="bullet"/>
      <w:lvlText w:val="•"/>
      <w:lvlJc w:val="left"/>
      <w:pPr>
        <w:ind w:left="3015" w:hanging="324"/>
      </w:pPr>
      <w:rPr>
        <w:rFonts w:hint="default"/>
        <w:lang w:val="fr-FR" w:eastAsia="fr-FR" w:bidi="fr-FR"/>
      </w:rPr>
    </w:lvl>
    <w:lvl w:ilvl="5" w:tplc="6FCA0184">
      <w:numFmt w:val="bullet"/>
      <w:lvlText w:val="•"/>
      <w:lvlJc w:val="left"/>
      <w:pPr>
        <w:ind w:left="3714" w:hanging="324"/>
      </w:pPr>
      <w:rPr>
        <w:rFonts w:hint="default"/>
        <w:lang w:val="fr-FR" w:eastAsia="fr-FR" w:bidi="fr-FR"/>
      </w:rPr>
    </w:lvl>
    <w:lvl w:ilvl="6" w:tplc="81B43612">
      <w:numFmt w:val="bullet"/>
      <w:lvlText w:val="•"/>
      <w:lvlJc w:val="left"/>
      <w:pPr>
        <w:ind w:left="4413" w:hanging="324"/>
      </w:pPr>
      <w:rPr>
        <w:rFonts w:hint="default"/>
        <w:lang w:val="fr-FR" w:eastAsia="fr-FR" w:bidi="fr-FR"/>
      </w:rPr>
    </w:lvl>
    <w:lvl w:ilvl="7" w:tplc="C44AE2B0">
      <w:numFmt w:val="bullet"/>
      <w:lvlText w:val="•"/>
      <w:lvlJc w:val="left"/>
      <w:pPr>
        <w:ind w:left="5112" w:hanging="324"/>
      </w:pPr>
      <w:rPr>
        <w:rFonts w:hint="default"/>
        <w:lang w:val="fr-FR" w:eastAsia="fr-FR" w:bidi="fr-FR"/>
      </w:rPr>
    </w:lvl>
    <w:lvl w:ilvl="8" w:tplc="3CE0E1E4">
      <w:numFmt w:val="bullet"/>
      <w:lvlText w:val="•"/>
      <w:lvlJc w:val="left"/>
      <w:pPr>
        <w:ind w:left="5811" w:hanging="324"/>
      </w:pPr>
      <w:rPr>
        <w:rFonts w:hint="default"/>
        <w:lang w:val="fr-FR" w:eastAsia="fr-FR" w:bidi="fr-FR"/>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8"/>
  <w:proofState w:spelling="clean" w:grammar="clean"/>
  <w:defaultTabStop w:val="720"/>
  <w:hyphenationZone w:val="425"/>
  <w:drawingGridHorizontalSpacing w:val="110"/>
  <w:displayHorizontalDrawingGridEvery w:val="2"/>
  <w:characterSpacingControl w:val="doNotCompress"/>
  <w:hdrShapeDefaults>
    <o:shapedefaults v:ext="edit" spidmax="2051"/>
  </w:hdrShapeDefaults>
  <w:footnotePr>
    <w:footnote w:id="-1"/>
    <w:footnote w:id="0"/>
  </w:footnotePr>
  <w:endnotePr>
    <w:endnote w:id="-1"/>
    <w:endnote w:id="0"/>
  </w:endnotePr>
  <w:compat>
    <w:ulTrailSpace/>
    <w:shapeLayoutLikeWW8/>
    <w:useFELayout/>
    <w:compatSetting w:name="compatibilityMode" w:uri="http://schemas.microsoft.com/office/word" w:val="12"/>
    <w:compatSetting w:name="useWord2013TrackBottomHyphenation" w:uri="http://schemas.microsoft.com/office/word" w:val="1"/>
  </w:compat>
  <w:rsids>
    <w:rsidRoot w:val="000A3B0A"/>
    <w:rsid w:val="000A3B0A"/>
    <w:rsid w:val="00E82CBE"/>
    <w:rsid w:val="00F00D7D"/>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08EA864"/>
  <w15:docId w15:val="{EC6BD19C-141A-4EE4-94C2-A88E40C075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fr-FR" w:eastAsia="fr-FR" w:bidi="fr-FR"/>
    </w:rPr>
  </w:style>
  <w:style w:type="paragraph" w:styleId="Titre1">
    <w:name w:val="heading 1"/>
    <w:basedOn w:val="Normal"/>
    <w:uiPriority w:val="9"/>
    <w:qFormat/>
    <w:pPr>
      <w:spacing w:before="22"/>
      <w:ind w:left="220"/>
      <w:outlineLvl w:val="0"/>
    </w:pPr>
    <w:rPr>
      <w:b/>
      <w:b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pPr>
      <w:ind w:left="220"/>
      <w:jc w:val="both"/>
    </w:pPr>
    <w:rPr>
      <w:sz w:val="20"/>
      <w:szCs w:val="20"/>
    </w:rPr>
  </w:style>
  <w:style w:type="paragraph" w:styleId="Paragraphedeliste">
    <w:name w:val="List Paragraph"/>
    <w:basedOn w:val="Normal"/>
    <w:uiPriority w:val="1"/>
    <w:qFormat/>
    <w:pPr>
      <w:spacing w:before="49"/>
      <w:ind w:left="220" w:right="120"/>
      <w:jc w:val="both"/>
    </w:pPr>
  </w:style>
  <w:style w:type="paragraph" w:customStyle="1" w:styleId="TableParagraph">
    <w:name w:val="Table Paragraph"/>
    <w:basedOn w:val="Normal"/>
    <w:uiPriority w:val="1"/>
    <w:qFormat/>
  </w:style>
  <w:style w:type="paragraph" w:styleId="En-tte">
    <w:name w:val="header"/>
    <w:basedOn w:val="Normal"/>
    <w:link w:val="En-tteCar"/>
    <w:uiPriority w:val="99"/>
    <w:unhideWhenUsed/>
    <w:rsid w:val="00F00D7D"/>
    <w:pPr>
      <w:tabs>
        <w:tab w:val="center" w:pos="4536"/>
        <w:tab w:val="right" w:pos="9072"/>
      </w:tabs>
    </w:pPr>
  </w:style>
  <w:style w:type="character" w:customStyle="1" w:styleId="En-tteCar">
    <w:name w:val="En-tête Car"/>
    <w:basedOn w:val="Policepardfaut"/>
    <w:link w:val="En-tte"/>
    <w:uiPriority w:val="99"/>
    <w:rsid w:val="00F00D7D"/>
    <w:rPr>
      <w:rFonts w:ascii="Calibri" w:eastAsia="Calibri" w:hAnsi="Calibri" w:cs="Calibri"/>
      <w:lang w:val="fr-FR" w:eastAsia="fr-FR" w:bidi="fr-FR"/>
    </w:rPr>
  </w:style>
  <w:style w:type="paragraph" w:styleId="Pieddepage">
    <w:name w:val="footer"/>
    <w:basedOn w:val="Normal"/>
    <w:link w:val="PieddepageCar"/>
    <w:uiPriority w:val="99"/>
    <w:unhideWhenUsed/>
    <w:rsid w:val="00F00D7D"/>
    <w:pPr>
      <w:tabs>
        <w:tab w:val="center" w:pos="4536"/>
        <w:tab w:val="right" w:pos="9072"/>
      </w:tabs>
    </w:pPr>
  </w:style>
  <w:style w:type="character" w:customStyle="1" w:styleId="PieddepageCar">
    <w:name w:val="Pied de page Car"/>
    <w:basedOn w:val="Policepardfaut"/>
    <w:link w:val="Pieddepage"/>
    <w:uiPriority w:val="99"/>
    <w:rsid w:val="00F00D7D"/>
    <w:rPr>
      <w:rFonts w:ascii="Calibri" w:eastAsia="Calibri" w:hAnsi="Calibri" w:cs="Calibri"/>
      <w:lang w:val="fr-FR" w:eastAsia="fr-FR" w:bidi="fr-FR"/>
    </w:rPr>
  </w:style>
  <w:style w:type="paragraph" w:styleId="Notedebasdepage">
    <w:name w:val="footnote text"/>
    <w:basedOn w:val="Normal"/>
    <w:link w:val="NotedebasdepageCar"/>
    <w:uiPriority w:val="99"/>
    <w:semiHidden/>
    <w:unhideWhenUsed/>
    <w:rsid w:val="00F00D7D"/>
    <w:rPr>
      <w:sz w:val="20"/>
      <w:szCs w:val="20"/>
    </w:rPr>
  </w:style>
  <w:style w:type="character" w:customStyle="1" w:styleId="NotedebasdepageCar">
    <w:name w:val="Note de bas de page Car"/>
    <w:basedOn w:val="Policepardfaut"/>
    <w:link w:val="Notedebasdepage"/>
    <w:uiPriority w:val="99"/>
    <w:semiHidden/>
    <w:rsid w:val="00F00D7D"/>
    <w:rPr>
      <w:rFonts w:ascii="Calibri" w:eastAsia="Calibri" w:hAnsi="Calibri" w:cs="Calibri"/>
      <w:sz w:val="20"/>
      <w:szCs w:val="20"/>
      <w:lang w:val="fr-FR" w:eastAsia="fr-FR" w:bidi="fr-FR"/>
    </w:rPr>
  </w:style>
  <w:style w:type="character" w:styleId="Appelnotedebasdep">
    <w:name w:val="footnote reference"/>
    <w:basedOn w:val="Policepardfaut"/>
    <w:uiPriority w:val="99"/>
    <w:semiHidden/>
    <w:unhideWhenUsed/>
    <w:rsid w:val="00F00D7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484</Words>
  <Characters>2668</Characters>
  <Application>Microsoft Office Word</Application>
  <DocSecurity>0</DocSecurity>
  <Lines>22</Lines>
  <Paragraphs>6</Paragraphs>
  <ScaleCrop>false</ScaleCrop>
  <Company/>
  <LinksUpToDate>false</LinksUpToDate>
  <CharactersWithSpaces>3146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Alice Dejollier</cp:lastModifiedBy>
  <cp:revision>3</cp:revision>
  <dcterms:created xsi:type="dcterms:W3CDTF">2020-11-25T17:35:00Z</dcterms:created>
  <dcterms:modified xsi:type="dcterms:W3CDTF">2020-11-25T17:41:00Z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2017-03-23T00:00:00Z</vt:filetime>
  </property>
  <property fmtid="{D5CDD505-2E9C-101B-9397-08002B2CF9AE}" pid="3" name="Creator">
    <vt:lpwstr>pdftk 1.41 - www.pdftk.com</vt:lpwstr>
  </property>
  <property fmtid="{D5CDD505-2E9C-101B-9397-08002B2CF9AE}" pid="4" name="LastSaved">
    <vt:filetime>2020-11-25T00:00:00Z</vt:filetime>
  </property>
</Properties>
</file>