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5C602E" w14:textId="12C6AC57" w:rsidR="00924093" w:rsidRPr="002A1493" w:rsidRDefault="00924093" w:rsidP="00924093">
      <w:pPr>
        <w:jc w:val="center"/>
      </w:pPr>
      <w:r w:rsidRPr="002A1493">
        <w:t>Trouble dans le genre dans la Bible</w:t>
      </w:r>
    </w:p>
    <w:p w14:paraId="75F7972C" w14:textId="7AC9C3E9" w:rsidR="00924093" w:rsidRDefault="00A13FED" w:rsidP="00924093">
      <w:pPr>
        <w:jc w:val="center"/>
      </w:pPr>
      <w:r>
        <w:t xml:space="preserve">L’événement </w:t>
      </w:r>
      <w:r w:rsidR="00924093" w:rsidRPr="002A1493">
        <w:t>de lecture de</w:t>
      </w:r>
      <w:r w:rsidR="002A1493" w:rsidRPr="002A1493">
        <w:t xml:space="preserve"> six</w:t>
      </w:r>
      <w:r w:rsidR="00924093" w:rsidRPr="002A1493">
        <w:t xml:space="preserve"> passages bibliques relatifs au </w:t>
      </w:r>
      <w:r>
        <w:t>masculin et au féminin</w:t>
      </w:r>
      <w:r w:rsidR="00924093" w:rsidRPr="002A1493">
        <w:t xml:space="preserve"> et </w:t>
      </w:r>
      <w:r>
        <w:t>les</w:t>
      </w:r>
      <w:r w:rsidR="00924093" w:rsidRPr="002A1493">
        <w:t xml:space="preserve"> conséquences</w:t>
      </w:r>
      <w:r>
        <w:t xml:space="preserve"> de cet événement</w:t>
      </w:r>
    </w:p>
    <w:p w14:paraId="61F1A17C" w14:textId="77777777" w:rsidR="00924093" w:rsidRDefault="00924093" w:rsidP="00151014">
      <w:pPr>
        <w:jc w:val="both"/>
      </w:pPr>
    </w:p>
    <w:p w14:paraId="31440697" w14:textId="064DAAA4" w:rsidR="0015077B" w:rsidRDefault="0015077B" w:rsidP="00151014">
      <w:pPr>
        <w:jc w:val="both"/>
        <w:rPr>
          <w:i/>
          <w:iCs/>
        </w:rPr>
      </w:pPr>
      <w:r>
        <w:rPr>
          <w:i/>
          <w:iCs/>
        </w:rPr>
        <w:t>Introduction 1. Système patriarcal et culture du viol dans l’Église catholique.</w:t>
      </w:r>
    </w:p>
    <w:p w14:paraId="27BC8523" w14:textId="77777777" w:rsidR="0015077B" w:rsidRPr="0015077B" w:rsidRDefault="0015077B" w:rsidP="00151014">
      <w:pPr>
        <w:jc w:val="both"/>
        <w:rPr>
          <w:i/>
          <w:iCs/>
        </w:rPr>
      </w:pPr>
    </w:p>
    <w:p w14:paraId="67250B24" w14:textId="76C6DDB0" w:rsidR="00151014" w:rsidRPr="007342E7" w:rsidRDefault="00383358" w:rsidP="00151014">
      <w:pPr>
        <w:jc w:val="both"/>
        <w:rPr>
          <w:highlight w:val="yellow"/>
        </w:rPr>
      </w:pPr>
      <w:r w:rsidRPr="00151014">
        <w:t xml:space="preserve">Au moment où j’avais proposé la conférence introductive qui a donné </w:t>
      </w:r>
      <w:r w:rsidR="00A0049B">
        <w:t>lieu</w:t>
      </w:r>
      <w:r w:rsidRPr="00151014">
        <w:t xml:space="preserve"> à ce texte</w:t>
      </w:r>
      <w:r w:rsidR="00067608" w:rsidRPr="00151014">
        <w:t xml:space="preserve"> en 2022</w:t>
      </w:r>
      <w:r w:rsidR="00067608" w:rsidRPr="00151014">
        <w:rPr>
          <w:rStyle w:val="Appelnotedebasdep"/>
        </w:rPr>
        <w:footnoteReference w:id="1"/>
      </w:r>
      <w:r w:rsidRPr="00151014">
        <w:t>, une messe organisée par la collective « Féminisme en église » était vivement critiquée par le diocèse de Paris comme messe « féministe »</w:t>
      </w:r>
      <w:r w:rsidRPr="00151014">
        <w:rPr>
          <w:rStyle w:val="Appelnotedebasdep"/>
        </w:rPr>
        <w:footnoteReference w:id="2"/>
      </w:r>
      <w:r w:rsidRPr="00151014">
        <w:t>.</w:t>
      </w:r>
      <w:r w:rsidR="00067608" w:rsidRPr="00151014">
        <w:t xml:space="preserve"> La position officielle de l’Église catholique n’a pas dévié </w:t>
      </w:r>
      <w:r w:rsidR="002F1C78" w:rsidRPr="00151014">
        <w:t xml:space="preserve">depuis cette date. Elle </w:t>
      </w:r>
      <w:r w:rsidR="007342E7" w:rsidRPr="00151014">
        <w:t xml:space="preserve">a été notamment réaffirmée par un décret </w:t>
      </w:r>
      <w:r w:rsidR="002F1C78" w:rsidRPr="00151014">
        <w:t>de la Congrégation pour la Doctrine de la foi</w:t>
      </w:r>
      <w:r w:rsidR="00C819D6" w:rsidRPr="00151014">
        <w:t xml:space="preserve"> de 2007, publié en 2008</w:t>
      </w:r>
      <w:r w:rsidR="00C819D6" w:rsidRPr="00151014">
        <w:rPr>
          <w:rStyle w:val="Appelnotedebasdep"/>
        </w:rPr>
        <w:footnoteReference w:id="3"/>
      </w:r>
      <w:r w:rsidR="00C819D6" w:rsidRPr="00151014">
        <w:t>,</w:t>
      </w:r>
      <w:r w:rsidR="002F1C78" w:rsidRPr="00151014">
        <w:t xml:space="preserve"> a</w:t>
      </w:r>
      <w:r w:rsidR="00C819D6" w:rsidRPr="00151014">
        <w:t>ffirmant que « celui qui aura tenté de conférer l’ordre sacré [donc le sacrement de la prêtrise] à une femme et la femme qui aura tenté de recevoir l’ordre sacré encourent l</w:t>
      </w:r>
      <w:r w:rsidR="00151014">
        <w:t>’</w:t>
      </w:r>
      <w:r w:rsidR="00C819D6" w:rsidRPr="00151014">
        <w:t xml:space="preserve">excommunication </w:t>
      </w:r>
      <w:proofErr w:type="spellStart"/>
      <w:r w:rsidR="00C819D6" w:rsidRPr="00151014">
        <w:rPr>
          <w:i/>
          <w:iCs/>
        </w:rPr>
        <w:t>latae</w:t>
      </w:r>
      <w:proofErr w:type="spellEnd"/>
      <w:r w:rsidR="00C819D6" w:rsidRPr="00151014">
        <w:rPr>
          <w:i/>
          <w:iCs/>
        </w:rPr>
        <w:t xml:space="preserve"> </w:t>
      </w:r>
      <w:proofErr w:type="spellStart"/>
      <w:r w:rsidR="00C819D6" w:rsidRPr="00151014">
        <w:rPr>
          <w:i/>
          <w:iCs/>
        </w:rPr>
        <w:t>sententiae</w:t>
      </w:r>
      <w:proofErr w:type="spellEnd"/>
      <w:r w:rsidR="00C819D6" w:rsidRPr="00151014">
        <w:t>, réservée au Siège apostolique</w:t>
      </w:r>
      <w:r w:rsidR="00151014">
        <w:rPr>
          <w:rStyle w:val="Appelnotedebasdep"/>
        </w:rPr>
        <w:footnoteReference w:id="4"/>
      </w:r>
      <w:r w:rsidR="00C819D6" w:rsidRPr="00151014">
        <w:t> »</w:t>
      </w:r>
      <w:r w:rsidR="002F1C78" w:rsidRPr="00151014">
        <w:t>.</w:t>
      </w:r>
      <w:r w:rsidR="00151014">
        <w:t xml:space="preserve"> </w:t>
      </w:r>
      <w:r w:rsidR="002F1C78" w:rsidRPr="00151014">
        <w:t>En 2024, un documentaire, réalisé par Marie Mandy</w:t>
      </w:r>
      <w:r w:rsidR="00151014" w:rsidRPr="00151014">
        <w:t xml:space="preserve">, </w:t>
      </w:r>
      <w:r w:rsidR="00151014" w:rsidRPr="00151014">
        <w:rPr>
          <w:i/>
          <w:iCs/>
        </w:rPr>
        <w:t>Femmes prêtres, vocations interdites</w:t>
      </w:r>
      <w:r w:rsidR="002F1C78" w:rsidRPr="00151014">
        <w:rPr>
          <w:rStyle w:val="Appelnotedebasdep"/>
        </w:rPr>
        <w:footnoteReference w:id="5"/>
      </w:r>
      <w:r w:rsidR="002F1C78" w:rsidRPr="00151014">
        <w:t>, évalue pourtant à 300 le nombre de femmes ayant reçu clandestinement le sacrement de l’ordre</w:t>
      </w:r>
      <w:r w:rsidR="00DA01E5">
        <w:rPr>
          <w:rStyle w:val="Appelnotedebasdep"/>
        </w:rPr>
        <w:footnoteReference w:id="6"/>
      </w:r>
      <w:r w:rsidR="002F1C78" w:rsidRPr="00151014">
        <w:t xml:space="preserve">. </w:t>
      </w:r>
      <w:r w:rsidR="00151014">
        <w:t xml:space="preserve">La diffusion de ce documentaire donne lieu dans le journal </w:t>
      </w:r>
      <w:r w:rsidR="00151014">
        <w:rPr>
          <w:i/>
          <w:iCs/>
        </w:rPr>
        <w:t>La Croix</w:t>
      </w:r>
      <w:r w:rsidR="00151014">
        <w:t>, historiquement proche des institutions catholiques</w:t>
      </w:r>
      <w:r w:rsidR="00151014">
        <w:rPr>
          <w:rStyle w:val="Appelnotedebasdep"/>
        </w:rPr>
        <w:footnoteReference w:id="7"/>
      </w:r>
      <w:r w:rsidR="00151014">
        <w:t xml:space="preserve">, </w:t>
      </w:r>
      <w:r w:rsidR="00A0049B">
        <w:t xml:space="preserve">à </w:t>
      </w:r>
      <w:r w:rsidR="00151014">
        <w:t xml:space="preserve">un article </w:t>
      </w:r>
      <w:r w:rsidR="004B00E2">
        <w:t>relativement</w:t>
      </w:r>
      <w:r w:rsidR="00151014">
        <w:t xml:space="preserve"> critique</w:t>
      </w:r>
      <w:r w:rsidR="004B00E2">
        <w:rPr>
          <w:rStyle w:val="Appelnotedebasdep"/>
        </w:rPr>
        <w:footnoteReference w:id="8"/>
      </w:r>
      <w:r w:rsidR="004B00E2">
        <w:t>,</w:t>
      </w:r>
      <w:r w:rsidR="00151014">
        <w:t xml:space="preserve"> rendant</w:t>
      </w:r>
      <w:r w:rsidR="00A0049B">
        <w:t xml:space="preserve"> compte</w:t>
      </w:r>
      <w:r w:rsidR="00151014">
        <w:t xml:space="preserve"> de réactions similaires à celles qui avaient marqué, en 2022, la messe de la collective « Féminisme en Église ». Selon l’autrice de cet article, Christel </w:t>
      </w:r>
      <w:proofErr w:type="spellStart"/>
      <w:r w:rsidR="00151014">
        <w:t>Juquois</w:t>
      </w:r>
      <w:proofErr w:type="spellEnd"/>
      <w:r w:rsidR="00151014">
        <w:t>, il s’agit d’un « documentaire très militant »</w:t>
      </w:r>
      <w:r w:rsidR="004B00E2">
        <w:t xml:space="preserve"> qui « aurait pu soulever d’autres questions que celle légitime mais rebattue, de l’égalité des droits (…) comme si l’accès à la prêtrise n’était qu’une question de justice ». </w:t>
      </w:r>
    </w:p>
    <w:p w14:paraId="5EF62168" w14:textId="77777777" w:rsidR="00A0049B" w:rsidRDefault="00CA75E8" w:rsidP="007927D3">
      <w:pPr>
        <w:jc w:val="both"/>
      </w:pPr>
      <w:r>
        <w:t>En 2022</w:t>
      </w:r>
      <w:r w:rsidRPr="00A402DD">
        <w:t>,</w:t>
      </w:r>
      <w:r w:rsidR="00383358" w:rsidRPr="00A402DD">
        <w:t xml:space="preserve"> les évêques de France se réunissaient</w:t>
      </w:r>
      <w:r w:rsidRPr="00A402DD">
        <w:t xml:space="preserve"> aussi</w:t>
      </w:r>
      <w:r w:rsidR="00383358" w:rsidRPr="00A402DD">
        <w:t xml:space="preserve"> à Lourdes pour réagir quant aux révélations d’abus sexuels au sein de l’Église</w:t>
      </w:r>
      <w:r w:rsidR="008157B3" w:rsidRPr="00A402DD">
        <w:t xml:space="preserve">. Cette question demeure elle aussi d’actualité trois ans plus </w:t>
      </w:r>
      <w:r w:rsidR="008157B3" w:rsidRPr="00A402DD">
        <w:lastRenderedPageBreak/>
        <w:t>tard, y compris quant à la façon dont ces crimes ont été couverts par l’institution</w:t>
      </w:r>
      <w:r w:rsidR="008157B3" w:rsidRPr="00A402DD">
        <w:rPr>
          <w:rStyle w:val="Appelnotedebasdep"/>
        </w:rPr>
        <w:footnoteReference w:id="9"/>
      </w:r>
      <w:r w:rsidR="008157B3" w:rsidRPr="00A402DD">
        <w:t>.</w:t>
      </w:r>
      <w:r w:rsidR="00D32D1C" w:rsidRPr="00A402DD">
        <w:t xml:space="preserve"> </w:t>
      </w:r>
      <w:r w:rsidR="00383358" w:rsidRPr="00A402DD">
        <w:t>Une des hypothèse qui me guide ici est que les deux phénomènes sont corrélés</w:t>
      </w:r>
      <w:r w:rsidR="004C44DF" w:rsidRPr="00A402DD">
        <w:t xml:space="preserve">. Le refus </w:t>
      </w:r>
      <w:r w:rsidR="00D32D1C" w:rsidRPr="00A402DD">
        <w:t>des messes inclusives et de l’ordination des femmes</w:t>
      </w:r>
      <w:r w:rsidR="004C44DF" w:rsidRPr="00A402DD">
        <w:t xml:space="preserve"> est symptomatique d’un discours général de l’Église catholique quant à la distinction entre ceux qu’elle considère comme les hommes et celles qu’elle considère comme les femmes</w:t>
      </w:r>
      <w:r w:rsidR="00E453DF" w:rsidRPr="00A402DD">
        <w:t xml:space="preserve"> et </w:t>
      </w:r>
      <w:r w:rsidR="008961B8" w:rsidRPr="00A402DD">
        <w:t>ce discours favorise une partie des agressions sexuelles par des membres de l’Église – celles à l’encontre</w:t>
      </w:r>
      <w:r w:rsidR="00E453DF" w:rsidRPr="00A402DD">
        <w:t xml:space="preserve"> </w:t>
      </w:r>
      <w:r w:rsidR="00A402DD" w:rsidRPr="00A402DD">
        <w:t>des femmes, majeures ou mineures</w:t>
      </w:r>
      <w:r w:rsidR="00A402DD" w:rsidRPr="00A402DD">
        <w:rPr>
          <w:rStyle w:val="Appelnotedebasdep"/>
        </w:rPr>
        <w:footnoteReference w:id="10"/>
      </w:r>
      <w:r w:rsidR="00A402DD" w:rsidRPr="00A402DD">
        <w:t>.</w:t>
      </w:r>
      <w:r w:rsidR="008961B8" w:rsidRPr="00A402DD">
        <w:t xml:space="preserve"> </w:t>
      </w:r>
      <w:r w:rsidR="00A402DD">
        <w:t xml:space="preserve">Pour le dire plus directement : le discours officiel de l’Église catholique et la façon dont il utilise les textes bibliques met en place </w:t>
      </w:r>
      <w:r w:rsidR="00A30045">
        <w:t>une vision du monde et un état d’esprit</w:t>
      </w:r>
      <w:r w:rsidR="00A402DD">
        <w:t xml:space="preserve"> qui permettent ces agressions sexuelles</w:t>
      </w:r>
      <w:r w:rsidR="00A30045">
        <w:rPr>
          <w:rStyle w:val="Appelnotedebasdep"/>
        </w:rPr>
        <w:footnoteReference w:id="11"/>
      </w:r>
      <w:r w:rsidR="00A402DD">
        <w:t> ; elles participent d’une culture d’infériorisation de la femme et d’une « culture du viol</w:t>
      </w:r>
      <w:r w:rsidR="00A402DD">
        <w:rPr>
          <w:rStyle w:val="Appelnotedebasdep"/>
        </w:rPr>
        <w:footnoteReference w:id="12"/>
      </w:r>
      <w:r w:rsidR="00A402DD">
        <w:t> ».</w:t>
      </w:r>
      <w:r w:rsidR="004C44DF" w:rsidRPr="00A402DD">
        <w:t xml:space="preserve"> </w:t>
      </w:r>
      <w:r w:rsidR="00A402DD">
        <w:t>Ainsi, dans la</w:t>
      </w:r>
      <w:r w:rsidR="00B165D1" w:rsidRPr="00A402DD">
        <w:t xml:space="preserve"> </w:t>
      </w:r>
      <w:r w:rsidR="00B165D1" w:rsidRPr="00A402DD">
        <w:rPr>
          <w:i/>
          <w:iCs/>
        </w:rPr>
        <w:t>Lettre aux évêques de l’Église catholique sur la collaboration de l’homme et de la femme dans l’Église et dans le monde</w:t>
      </w:r>
      <w:r w:rsidR="00E2668B" w:rsidRPr="00A402DD">
        <w:rPr>
          <w:rStyle w:val="Appelnotedebasdep"/>
        </w:rPr>
        <w:footnoteReference w:id="13"/>
      </w:r>
      <w:r w:rsidR="00B165D1" w:rsidRPr="00A402DD">
        <w:t>,</w:t>
      </w:r>
      <w:r w:rsidR="00B165D1" w:rsidRPr="00E17952">
        <w:t xml:space="preserve"> les auteurs interprètent les</w:t>
      </w:r>
      <w:r w:rsidR="004C44DF" w:rsidRPr="00E17952">
        <w:t xml:space="preserve"> luttes pour des conditions de vie plus justes et plus dignes pour les femmes comme illégitimes : « La femme, pour être elle-même, </w:t>
      </w:r>
      <w:r w:rsidR="004C44DF" w:rsidRPr="00E17952">
        <w:rPr>
          <w:i/>
          <w:iCs/>
        </w:rPr>
        <w:t>s’érige</w:t>
      </w:r>
      <w:r w:rsidR="004C44DF" w:rsidRPr="00E17952">
        <w:t xml:space="preserve"> en rival de l’homme</w:t>
      </w:r>
      <w:r w:rsidR="004C44DF" w:rsidRPr="00E17952">
        <w:rPr>
          <w:rStyle w:val="Appelnotedebasdep"/>
        </w:rPr>
        <w:footnoteReference w:id="14"/>
      </w:r>
      <w:r w:rsidR="004C44DF" w:rsidRPr="00E17952">
        <w:t xml:space="preserve">. » Les phrases qui suivent contiennent je crois, une erreur logique : « Aux abus de pouvoir, elle répond </w:t>
      </w:r>
      <w:r w:rsidR="004C44DF" w:rsidRPr="00E17952">
        <w:lastRenderedPageBreak/>
        <w:t>par une stratégie de recherche du pouvoir. Ce processus conduit à une rivalité entre les sexes, dans laquelle l’identité et le rôle de l’un se réalisent aux dépens de l’autre</w:t>
      </w:r>
      <w:r w:rsidR="00E2668B" w:rsidRPr="00E17952">
        <w:rPr>
          <w:rStyle w:val="Appelnotedebasdep"/>
        </w:rPr>
        <w:footnoteReference w:id="15"/>
      </w:r>
      <w:r w:rsidR="004C44DF" w:rsidRPr="00E17952">
        <w:t xml:space="preserve"> ». Les responsabilités masculines (et phallocrates) sont </w:t>
      </w:r>
      <w:r w:rsidR="00A0049B">
        <w:t xml:space="preserve">ici </w:t>
      </w:r>
      <w:r w:rsidR="004C44DF" w:rsidRPr="00E17952">
        <w:t xml:space="preserve">diluées dans une formulation neutre. Le texte affirme, quoiqu’indirectement, les « abus de pouvoir » des hommes. </w:t>
      </w:r>
      <w:r w:rsidR="00A0049B">
        <w:t>Mais la</w:t>
      </w:r>
      <w:r w:rsidR="004C44DF" w:rsidRPr="00E17952">
        <w:t xml:space="preserve"> résistance des femmes et la recherche de solutions à ces abus </w:t>
      </w:r>
      <w:r w:rsidR="006B72CF">
        <w:t xml:space="preserve">sont délégitimées, en étant </w:t>
      </w:r>
      <w:r w:rsidR="00671DF4" w:rsidRPr="00E17952">
        <w:t>présentée</w:t>
      </w:r>
      <w:r w:rsidR="006B72CF">
        <w:t>s</w:t>
      </w:r>
      <w:r w:rsidR="00671DF4" w:rsidRPr="00E17952">
        <w:t xml:space="preserve"> non comme une réaction à ces injustices et violences mais comme une « recherche du pouvoir » concurrente de ces abus. Hommes et femmes </w:t>
      </w:r>
      <w:r w:rsidR="00A0049B">
        <w:t>seraient</w:t>
      </w:r>
      <w:r w:rsidR="00671DF4" w:rsidRPr="00E17952">
        <w:t xml:space="preserve"> ainsi également coupables d’un même « processus », d’une même « rivalité entre les sexes » où se réaliser dans son sexe, c’est nuire à l’ « identité » et au « rôle » de l’autre sexe. Par-delà cette conception toute particulière de la lutte pour les droits des femmes, la phrase affirme donc aussi qu’il existe une identité et un rôle propres à chaque sexe. </w:t>
      </w:r>
      <w:r w:rsidR="00B165D1" w:rsidRPr="00E17952">
        <w:t>Cette idée apparaît</w:t>
      </w:r>
      <w:r w:rsidR="00A0049B">
        <w:t xml:space="preserve"> aussi</w:t>
      </w:r>
      <w:r w:rsidR="00B165D1" w:rsidRPr="00E17952">
        <w:t xml:space="preserve"> dans le paragraphe 295 du </w:t>
      </w:r>
      <w:r w:rsidR="00B165D1" w:rsidRPr="00E17952">
        <w:rPr>
          <w:i/>
          <w:iCs/>
        </w:rPr>
        <w:t>Compendium de la doctrine sociale de l’Église</w:t>
      </w:r>
      <w:r w:rsidR="00E2668B" w:rsidRPr="00E17952">
        <w:rPr>
          <w:rStyle w:val="Appelnotedebasdep"/>
        </w:rPr>
        <w:footnoteReference w:id="16"/>
      </w:r>
      <w:r w:rsidR="00B165D1" w:rsidRPr="00E17952">
        <w:t>. Il existerait un « génie féminin », une « dignité » et une « vocation de la femme », spécifiques à elle, qui justifient « [l]a reconnaissance et la tutelle des droits des femmes dans le texte du travail » Néanmoins cette « spécificité » et de la femme est seulement lié</w:t>
      </w:r>
      <w:r w:rsidR="00E2668B" w:rsidRPr="00E17952">
        <w:t>e</w:t>
      </w:r>
      <w:r w:rsidR="00B165D1" w:rsidRPr="00E17952">
        <w:t xml:space="preserve"> au rôle maternel : </w:t>
      </w:r>
      <w:r w:rsidR="00B165D1" w:rsidRPr="00E17952">
        <w:rPr>
          <w:lang w:val="fr-FR"/>
        </w:rPr>
        <w:t>« la vraie promotion [des droits de la femme] [...] exige que le travail soit structuré de manière qu’elle ne soit pas obligée de payer sa promotion par l’abandon de sa propre spécificité et au détriment de sa famille dans laquelle elle a, en tant que mère, un rôle irremplaçable</w:t>
      </w:r>
      <w:r w:rsidR="00E2668B" w:rsidRPr="00E17952">
        <w:rPr>
          <w:rStyle w:val="Appelnotedebasdep"/>
          <w:lang w:val="fr-FR"/>
        </w:rPr>
        <w:footnoteReference w:id="17"/>
      </w:r>
      <w:r w:rsidR="00B165D1" w:rsidRPr="00E17952">
        <w:rPr>
          <w:lang w:val="fr-FR"/>
        </w:rPr>
        <w:t xml:space="preserve"> ».</w:t>
      </w:r>
      <w:r w:rsidR="00E2668B" w:rsidRPr="00E17952">
        <w:t xml:space="preserve"> </w:t>
      </w:r>
    </w:p>
    <w:p w14:paraId="5AA333BF" w14:textId="177E2FA2" w:rsidR="004C44DF" w:rsidRDefault="00B165D1" w:rsidP="007927D3">
      <w:pPr>
        <w:jc w:val="both"/>
        <w:rPr>
          <w:lang w:val="fr-FR"/>
        </w:rPr>
      </w:pPr>
      <w:r w:rsidRPr="00E17952">
        <w:t xml:space="preserve">Dans la </w:t>
      </w:r>
      <w:r w:rsidRPr="00E17952">
        <w:rPr>
          <w:i/>
          <w:iCs/>
        </w:rPr>
        <w:t xml:space="preserve">Lettre aux évêques de l’Église catholique </w:t>
      </w:r>
      <w:r w:rsidRPr="00E17952">
        <w:t>précédemment citée, la</w:t>
      </w:r>
      <w:r w:rsidR="00671DF4" w:rsidRPr="00E17952">
        <w:t xml:space="preserve"> « réponse</w:t>
      </w:r>
      <w:r w:rsidR="00621DCA" w:rsidRPr="00E17952">
        <w:rPr>
          <w:rStyle w:val="Appelnotedebasdep"/>
        </w:rPr>
        <w:footnoteReference w:id="18"/>
      </w:r>
      <w:r w:rsidR="00671DF4" w:rsidRPr="00E17952">
        <w:t> » de l’Église aux luttes féministes est appuyée explicitement sur la référence à la Bible – « la Sainte Écriture</w:t>
      </w:r>
      <w:r w:rsidR="00621DCA" w:rsidRPr="00E17952">
        <w:rPr>
          <w:rStyle w:val="Appelnotedebasdep"/>
        </w:rPr>
        <w:footnoteReference w:id="19"/>
      </w:r>
      <w:r w:rsidR="00671DF4" w:rsidRPr="00E17952">
        <w:t> » – et plus précisément aux « </w:t>
      </w:r>
      <w:r w:rsidR="004C44DF" w:rsidRPr="00E17952">
        <w:rPr>
          <w:lang w:val="fr-FR"/>
        </w:rPr>
        <w:t>trois premiers chapitres de la Genèse</w:t>
      </w:r>
      <w:r w:rsidR="00621DCA" w:rsidRPr="00E17952">
        <w:rPr>
          <w:rStyle w:val="Appelnotedebasdep"/>
        </w:rPr>
        <w:footnoteReference w:id="20"/>
      </w:r>
      <w:r w:rsidR="00671DF4" w:rsidRPr="00E17952">
        <w:rPr>
          <w:lang w:val="fr-FR"/>
        </w:rPr>
        <w:t xml:space="preserve"> </w:t>
      </w:r>
      <w:r w:rsidR="004C44DF" w:rsidRPr="00E17952">
        <w:rPr>
          <w:lang w:val="fr-FR"/>
        </w:rPr>
        <w:t>»</w:t>
      </w:r>
      <w:r w:rsidR="00671DF4" w:rsidRPr="00E17952">
        <w:rPr>
          <w:lang w:val="fr-FR"/>
        </w:rPr>
        <w:t xml:space="preserve">. C’est donc à ces textes que je voudrais revenir pour identifier s’ils fondent ou non une telle différence entre les sexes et une telle délégitimation des luttes pour les droits des </w:t>
      </w:r>
      <w:r w:rsidR="00671DF4" w:rsidRPr="00A402DD">
        <w:rPr>
          <w:lang w:val="fr-FR"/>
        </w:rPr>
        <w:t xml:space="preserve">femmes. </w:t>
      </w:r>
    </w:p>
    <w:p w14:paraId="3B43CC3A" w14:textId="77777777" w:rsidR="0015077B" w:rsidRDefault="0015077B" w:rsidP="007927D3">
      <w:pPr>
        <w:jc w:val="both"/>
        <w:rPr>
          <w:lang w:val="fr-FR"/>
        </w:rPr>
      </w:pPr>
    </w:p>
    <w:p w14:paraId="6BFA6579" w14:textId="54A5F2C5" w:rsidR="0015077B" w:rsidRDefault="0015077B" w:rsidP="007927D3">
      <w:pPr>
        <w:jc w:val="both"/>
        <w:rPr>
          <w:i/>
          <w:iCs/>
          <w:lang w:val="fr-FR"/>
        </w:rPr>
      </w:pPr>
      <w:r>
        <w:rPr>
          <w:i/>
          <w:iCs/>
          <w:lang w:val="fr-FR"/>
        </w:rPr>
        <w:t>Introduction 2. Le texte comme autorité et le système patriarcal.</w:t>
      </w:r>
    </w:p>
    <w:p w14:paraId="0D48AE02" w14:textId="77777777" w:rsidR="0015077B" w:rsidRPr="0015077B" w:rsidRDefault="0015077B" w:rsidP="007927D3">
      <w:pPr>
        <w:jc w:val="both"/>
        <w:rPr>
          <w:i/>
          <w:iCs/>
        </w:rPr>
      </w:pPr>
    </w:p>
    <w:p w14:paraId="6A0F7ADF" w14:textId="7647BAFB" w:rsidR="00EC2B7B" w:rsidRDefault="00A402DD" w:rsidP="00E17952">
      <w:pPr>
        <w:jc w:val="both"/>
        <w:rPr>
          <w:color w:val="000000"/>
          <w:lang w:val="fr-FR"/>
        </w:rPr>
      </w:pPr>
      <w:r w:rsidRPr="00A402DD">
        <w:rPr>
          <w:lang w:val="fr-FR"/>
        </w:rPr>
        <w:t>Avant d’aborder ces passages bibliques, il me semble essentiel de considérer la manière dont ces textes sont présentés</w:t>
      </w:r>
      <w:r w:rsidR="007927D3" w:rsidRPr="00A402DD">
        <w:rPr>
          <w:lang w:val="fr-FR"/>
        </w:rPr>
        <w:t xml:space="preserve"> dans les documents de l’Église catholique sur lesquels </w:t>
      </w:r>
      <w:r w:rsidRPr="00A402DD">
        <w:rPr>
          <w:lang w:val="fr-FR"/>
        </w:rPr>
        <w:t>je me fonde</w:t>
      </w:r>
      <w:r w:rsidR="007927D3" w:rsidRPr="00A402DD">
        <w:rPr>
          <w:lang w:val="fr-FR"/>
        </w:rPr>
        <w:t xml:space="preserve"> ici. </w:t>
      </w:r>
      <w:r w:rsidRPr="00270B47">
        <w:rPr>
          <w:lang w:val="fr-FR"/>
        </w:rPr>
        <w:t xml:space="preserve">En effet, la conception du texte et de la lecture qui y apparaît </w:t>
      </w:r>
      <w:r w:rsidR="006B72CF" w:rsidRPr="00270B47">
        <w:rPr>
          <w:lang w:val="fr-FR"/>
        </w:rPr>
        <w:t xml:space="preserve">favorise leur utilisation </w:t>
      </w:r>
      <w:r w:rsidR="005F6B34" w:rsidRPr="00270B47">
        <w:rPr>
          <w:lang w:val="fr-FR"/>
        </w:rPr>
        <w:t>pour un</w:t>
      </w:r>
      <w:r w:rsidR="006B72CF" w:rsidRPr="00270B47">
        <w:rPr>
          <w:lang w:val="fr-FR"/>
        </w:rPr>
        <w:t xml:space="preserve"> discours d’infériorisation des femmes</w:t>
      </w:r>
      <w:r w:rsidR="007927D3" w:rsidRPr="00270B47">
        <w:rPr>
          <w:lang w:val="fr-FR"/>
        </w:rPr>
        <w:t xml:space="preserve">. </w:t>
      </w:r>
      <w:r w:rsidR="00270B47">
        <w:rPr>
          <w:lang w:val="fr-FR"/>
        </w:rPr>
        <w:t>Les lire selon d’autres modalités pourrait permettre de les dissocier d’un discours permettant ou favorisant les agressions sexuelles. Dans les documen</w:t>
      </w:r>
      <w:r w:rsidR="007927D3" w:rsidRPr="00270B47">
        <w:rPr>
          <w:lang w:val="fr-FR"/>
        </w:rPr>
        <w:t>t</w:t>
      </w:r>
      <w:r w:rsidR="00270B47">
        <w:rPr>
          <w:lang w:val="fr-FR"/>
        </w:rPr>
        <w:t>s de l’Église</w:t>
      </w:r>
      <w:r w:rsidR="007927D3" w:rsidRPr="00270B47">
        <w:rPr>
          <w:lang w:val="fr-FR"/>
        </w:rPr>
        <w:t>, le livre</w:t>
      </w:r>
      <w:r w:rsidR="00270B47">
        <w:rPr>
          <w:lang w:val="fr-FR"/>
        </w:rPr>
        <w:t>, premièrement,</w:t>
      </w:r>
      <w:r w:rsidR="007927D3" w:rsidRPr="00270B47">
        <w:rPr>
          <w:lang w:val="fr-FR"/>
        </w:rPr>
        <w:t xml:space="preserve"> est un contenant et la lecture la réception d’un contenu.</w:t>
      </w:r>
      <w:r w:rsidR="007927D3" w:rsidRPr="00E17952">
        <w:rPr>
          <w:lang w:val="fr-FR"/>
        </w:rPr>
        <w:t xml:space="preserve"> Selon le </w:t>
      </w:r>
      <w:r w:rsidR="007927D3" w:rsidRPr="00E17952">
        <w:rPr>
          <w:i/>
          <w:iCs/>
          <w:lang w:val="fr-FR"/>
        </w:rPr>
        <w:t>Compendium de la doctrine sociale de l’Église</w:t>
      </w:r>
      <w:r w:rsidR="007927D3" w:rsidRPr="00E17952">
        <w:rPr>
          <w:lang w:val="fr-FR"/>
        </w:rPr>
        <w:t>, à propos du sujet qui nous occupe, « [l]es pages du premier livre de l’Écriture Sainte, qui décrivent la création de l’homme et de la femme à l’image et à la ressemblance de Dieu (</w:t>
      </w:r>
      <w:r w:rsidR="007927D3" w:rsidRPr="00E17952">
        <w:rPr>
          <w:i/>
          <w:iCs/>
          <w:lang w:val="fr-FR"/>
        </w:rPr>
        <w:t>cf</w:t>
      </w:r>
      <w:r w:rsidR="007927D3" w:rsidRPr="00E17952">
        <w:rPr>
          <w:lang w:val="fr-FR"/>
        </w:rPr>
        <w:t xml:space="preserve">. </w:t>
      </w:r>
      <w:proofErr w:type="spellStart"/>
      <w:r w:rsidR="007927D3" w:rsidRPr="00E17952">
        <w:rPr>
          <w:lang w:val="fr-FR"/>
        </w:rPr>
        <w:t>Gn</w:t>
      </w:r>
      <w:proofErr w:type="spellEnd"/>
      <w:r w:rsidR="007927D3" w:rsidRPr="00E17952">
        <w:rPr>
          <w:lang w:val="fr-FR"/>
        </w:rPr>
        <w:t xml:space="preserve"> 1, 26-27), </w:t>
      </w:r>
      <w:r w:rsidR="007927D3" w:rsidRPr="00E17952">
        <w:rPr>
          <w:i/>
          <w:iCs/>
          <w:lang w:val="fr-FR"/>
        </w:rPr>
        <w:t>renferment</w:t>
      </w:r>
      <w:r w:rsidR="007927D3" w:rsidRPr="00E17952">
        <w:rPr>
          <w:lang w:val="fr-FR"/>
        </w:rPr>
        <w:t xml:space="preserve"> un enseignement fondamental quant à l’identité et à la vocation de la personne humaine</w:t>
      </w:r>
      <w:r w:rsidR="007927D3" w:rsidRPr="00E17952">
        <w:rPr>
          <w:rStyle w:val="Appelnotedebasdep"/>
        </w:rPr>
        <w:footnoteReference w:id="21"/>
      </w:r>
      <w:r w:rsidR="007927D3" w:rsidRPr="00E17952">
        <w:rPr>
          <w:lang w:val="fr-FR"/>
        </w:rPr>
        <w:t>. »</w:t>
      </w:r>
      <w:r w:rsidR="00E17952" w:rsidRPr="00E17952">
        <w:rPr>
          <w:lang w:val="fr-FR"/>
        </w:rPr>
        <w:t xml:space="preserve"> Deuxièmement, le livre est porteur d’un enseignement, voire d’un devoir ; lire, c’est donc obéir. Toujours selon le </w:t>
      </w:r>
      <w:r w:rsidR="00E17952" w:rsidRPr="00E17952">
        <w:rPr>
          <w:i/>
          <w:iCs/>
          <w:lang w:val="fr-FR"/>
        </w:rPr>
        <w:t>Compendium</w:t>
      </w:r>
      <w:r w:rsidR="00E17952" w:rsidRPr="00E17952">
        <w:rPr>
          <w:lang w:val="fr-FR"/>
        </w:rPr>
        <w:t xml:space="preserve">, </w:t>
      </w:r>
      <w:r w:rsidR="00E17952" w:rsidRPr="00E17952">
        <w:rPr>
          <w:color w:val="000000"/>
          <w:lang w:val="fr-FR"/>
        </w:rPr>
        <w:t xml:space="preserve">« [l]e Livre de la Genèse </w:t>
      </w:r>
      <w:r w:rsidR="00E17952" w:rsidRPr="00E17952">
        <w:rPr>
          <w:i/>
          <w:iCs/>
          <w:color w:val="000000"/>
          <w:lang w:val="fr-FR"/>
        </w:rPr>
        <w:t>enseigne</w:t>
      </w:r>
      <w:r w:rsidR="00E17952" w:rsidRPr="00E17952">
        <w:rPr>
          <w:color w:val="000000"/>
          <w:lang w:val="fr-FR"/>
        </w:rPr>
        <w:t> en effet que la domination de l’homme sur le monde consiste à donner un nom aux choses (</w:t>
      </w:r>
      <w:r w:rsidR="00E17952" w:rsidRPr="00A0049B">
        <w:rPr>
          <w:i/>
          <w:iCs/>
          <w:color w:val="000000"/>
          <w:lang w:val="fr-FR"/>
        </w:rPr>
        <w:t>cf</w:t>
      </w:r>
      <w:r w:rsidR="00E17952" w:rsidRPr="00E17952">
        <w:rPr>
          <w:color w:val="000000"/>
          <w:lang w:val="fr-FR"/>
        </w:rPr>
        <w:t xml:space="preserve">. </w:t>
      </w:r>
      <w:proofErr w:type="spellStart"/>
      <w:r w:rsidR="00E17952" w:rsidRPr="00E17952">
        <w:rPr>
          <w:color w:val="000000"/>
          <w:lang w:val="fr-FR"/>
        </w:rPr>
        <w:t>Gn</w:t>
      </w:r>
      <w:proofErr w:type="spellEnd"/>
      <w:r w:rsidR="00E17952" w:rsidRPr="00E17952">
        <w:rPr>
          <w:color w:val="000000"/>
          <w:lang w:val="fr-FR"/>
        </w:rPr>
        <w:t xml:space="preserve"> 2, 19-20)</w:t>
      </w:r>
      <w:r w:rsidR="00E17952" w:rsidRPr="00E17952">
        <w:rPr>
          <w:rStyle w:val="Appelnotedebasdep"/>
        </w:rPr>
        <w:footnoteReference w:id="22"/>
      </w:r>
      <w:r w:rsidR="00E17952" w:rsidRPr="00E17952">
        <w:rPr>
          <w:color w:val="000000"/>
          <w:lang w:val="fr-FR"/>
        </w:rPr>
        <w:t> »</w:t>
      </w:r>
      <w:r w:rsidR="00E17952">
        <w:rPr>
          <w:color w:val="000000"/>
          <w:lang w:val="fr-FR"/>
        </w:rPr>
        <w:t xml:space="preserve">. Le même </w:t>
      </w:r>
      <w:r w:rsidR="00E17952">
        <w:rPr>
          <w:color w:val="000000"/>
          <w:lang w:val="fr-FR"/>
        </w:rPr>
        <w:lastRenderedPageBreak/>
        <w:t>texte interprète aussi certaines « paroles du Livre de la Genèse</w:t>
      </w:r>
      <w:r w:rsidR="00E17952" w:rsidRPr="00E17952">
        <w:rPr>
          <w:rStyle w:val="Appelnotedebasdep"/>
        </w:rPr>
        <w:footnoteReference w:id="23"/>
      </w:r>
      <w:r w:rsidR="00E17952">
        <w:rPr>
          <w:color w:val="000000"/>
          <w:lang w:val="fr-FR"/>
        </w:rPr>
        <w:t xml:space="preserve"> » sur le travail et en déduit que « [l]’homme </w:t>
      </w:r>
      <w:r w:rsidR="00E17952">
        <w:rPr>
          <w:i/>
          <w:iCs/>
          <w:color w:val="000000"/>
          <w:lang w:val="fr-FR"/>
        </w:rPr>
        <w:t>doit</w:t>
      </w:r>
      <w:r w:rsidR="00E17952">
        <w:rPr>
          <w:color w:val="000000"/>
          <w:lang w:val="fr-FR"/>
        </w:rPr>
        <w:t xml:space="preserve"> </w:t>
      </w:r>
      <w:r w:rsidR="00E17952" w:rsidRPr="00E17952">
        <w:rPr>
          <w:color w:val="000000"/>
          <w:lang w:val="fr-FR"/>
        </w:rPr>
        <w:t xml:space="preserve">soumettre la terre, il </w:t>
      </w:r>
      <w:r w:rsidR="00E17952" w:rsidRPr="00E17952">
        <w:rPr>
          <w:i/>
          <w:iCs/>
          <w:color w:val="000000"/>
          <w:lang w:val="fr-FR"/>
        </w:rPr>
        <w:t>doit</w:t>
      </w:r>
      <w:r w:rsidR="00E17952" w:rsidRPr="00E17952">
        <w:rPr>
          <w:color w:val="000000"/>
          <w:lang w:val="fr-FR"/>
        </w:rPr>
        <w:t xml:space="preserve"> la dominer, parce que comme “image de Dieu” il est une personne, c</w:t>
      </w:r>
      <w:r w:rsidR="00E17952">
        <w:rPr>
          <w:color w:val="000000"/>
          <w:lang w:val="fr-FR"/>
        </w:rPr>
        <w:t>’</w:t>
      </w:r>
      <w:r w:rsidR="00E17952" w:rsidRPr="00E17952">
        <w:rPr>
          <w:color w:val="000000"/>
          <w:lang w:val="fr-FR"/>
        </w:rPr>
        <w:t>est-à-dire un sujet</w:t>
      </w:r>
      <w:r w:rsidR="00E17952" w:rsidRPr="00E17952">
        <w:rPr>
          <w:rStyle w:val="Appelnotedebasdep"/>
        </w:rPr>
        <w:footnoteReference w:id="24"/>
      </w:r>
      <w:r w:rsidR="00E17952" w:rsidRPr="00E17952">
        <w:rPr>
          <w:color w:val="000000"/>
          <w:lang w:val="fr-FR"/>
        </w:rPr>
        <w:t> »</w:t>
      </w:r>
      <w:r w:rsidR="00E17952">
        <w:rPr>
          <w:color w:val="000000"/>
          <w:lang w:val="fr-FR"/>
        </w:rPr>
        <w:t>.</w:t>
      </w:r>
      <w:r w:rsidR="007C2BE0">
        <w:rPr>
          <w:color w:val="000000"/>
          <w:lang w:val="fr-FR"/>
        </w:rPr>
        <w:t xml:space="preserve"> Troisièmement, le livre est anthropomorphisé</w:t>
      </w:r>
      <w:r w:rsidR="00A0049B">
        <w:rPr>
          <w:color w:val="000000"/>
          <w:lang w:val="fr-FR"/>
        </w:rPr>
        <w:t>, et ce,</w:t>
      </w:r>
      <w:r w:rsidR="00316FFA">
        <w:rPr>
          <w:color w:val="000000"/>
          <w:lang w:val="fr-FR"/>
        </w:rPr>
        <w:t xml:space="preserve"> d’une manière qui n’est pas neutre. Puisqu’il est une personne qui communique un enseignement, voire un devoir, il est une autorité, pour ainsi dire un double</w:t>
      </w:r>
      <w:r w:rsidR="00AC40BB">
        <w:rPr>
          <w:color w:val="000000"/>
          <w:lang w:val="fr-FR"/>
        </w:rPr>
        <w:t xml:space="preserve"> de l’autorité religieuse à l’origine du </w:t>
      </w:r>
      <w:r w:rsidR="00AC40BB">
        <w:rPr>
          <w:i/>
          <w:iCs/>
          <w:color w:val="000000"/>
          <w:lang w:val="fr-FR"/>
        </w:rPr>
        <w:t>Compendium</w:t>
      </w:r>
      <w:r w:rsidR="00AC40BB">
        <w:rPr>
          <w:color w:val="000000"/>
          <w:lang w:val="fr-FR"/>
        </w:rPr>
        <w:t xml:space="preserve">. Lire c’est obéir à une autorité. </w:t>
      </w:r>
    </w:p>
    <w:p w14:paraId="7831525B" w14:textId="17336F98" w:rsidR="003A2D0C" w:rsidRPr="004305AC" w:rsidRDefault="006B7942" w:rsidP="00E17952">
      <w:pPr>
        <w:jc w:val="both"/>
        <w:rPr>
          <w:color w:val="000000"/>
          <w:lang w:val="fr-FR"/>
        </w:rPr>
      </w:pPr>
      <w:r>
        <w:rPr>
          <w:color w:val="000000"/>
          <w:lang w:val="fr-FR"/>
        </w:rPr>
        <w:t>Ces trois conceptions du texte ne sont pas spécifiques à l’Église catholique</w:t>
      </w:r>
      <w:r w:rsidR="00C23088">
        <w:rPr>
          <w:color w:val="000000"/>
          <w:lang w:val="fr-FR"/>
        </w:rPr>
        <w:t>.</w:t>
      </w:r>
      <w:r>
        <w:rPr>
          <w:color w:val="000000"/>
          <w:lang w:val="fr-FR"/>
        </w:rPr>
        <w:t xml:space="preserve"> </w:t>
      </w:r>
      <w:r w:rsidR="00EC2B7B">
        <w:rPr>
          <w:color w:val="000000"/>
          <w:lang w:val="fr-FR"/>
        </w:rPr>
        <w:t xml:space="preserve">Celle du livre comme contenant, par exemple, se retrouve dans une des définitions du verbe « lire » dans le </w:t>
      </w:r>
      <w:r w:rsidR="00EC2B7B">
        <w:rPr>
          <w:i/>
          <w:iCs/>
          <w:color w:val="000000"/>
          <w:lang w:val="fr-FR"/>
        </w:rPr>
        <w:t>Trésor de la langue française informatisé</w:t>
      </w:r>
      <w:r w:rsidR="00EC2B7B">
        <w:rPr>
          <w:color w:val="000000"/>
          <w:lang w:val="fr-FR"/>
        </w:rPr>
        <w:t xml:space="preserve">. </w:t>
      </w:r>
      <w:r w:rsidR="0065030C">
        <w:rPr>
          <w:color w:val="000000"/>
          <w:lang w:val="fr-FR"/>
        </w:rPr>
        <w:t xml:space="preserve">Lire, c’est « Prendre connaissance du </w:t>
      </w:r>
      <w:r w:rsidR="0065030C">
        <w:rPr>
          <w:i/>
          <w:iCs/>
          <w:color w:val="000000"/>
          <w:lang w:val="fr-FR"/>
        </w:rPr>
        <w:t>contenu</w:t>
      </w:r>
      <w:r w:rsidR="0065030C">
        <w:rPr>
          <w:color w:val="000000"/>
          <w:lang w:val="fr-FR"/>
        </w:rPr>
        <w:t xml:space="preserve"> d’un texte écrit</w:t>
      </w:r>
      <w:r w:rsidR="0065030C">
        <w:rPr>
          <w:rStyle w:val="Appelnotedebasdep"/>
          <w:color w:val="000000"/>
          <w:lang w:val="fr-FR"/>
        </w:rPr>
        <w:footnoteReference w:id="25"/>
      </w:r>
      <w:r w:rsidR="0065030C">
        <w:rPr>
          <w:color w:val="000000"/>
          <w:lang w:val="fr-FR"/>
        </w:rPr>
        <w:t xml:space="preserve">. » </w:t>
      </w:r>
      <w:r w:rsidR="006B4D4D">
        <w:rPr>
          <w:color w:val="000000"/>
          <w:lang w:val="fr-FR"/>
        </w:rPr>
        <w:t xml:space="preserve">On la trouve également dans la manière dont Jean de La Fontaine présente </w:t>
      </w:r>
      <w:r w:rsidR="00A0049B">
        <w:rPr>
          <w:color w:val="000000"/>
          <w:lang w:val="fr-FR"/>
        </w:rPr>
        <w:t>ses</w:t>
      </w:r>
      <w:r w:rsidR="006B4D4D">
        <w:rPr>
          <w:color w:val="000000"/>
          <w:lang w:val="fr-FR"/>
        </w:rPr>
        <w:t xml:space="preserve"> fables : « Je chante les héros dont Ésope est le père ; / Troupe de qui l’histoire, encor que mensongère, / Contient des vérités qui servent de leçons</w:t>
      </w:r>
      <w:r w:rsidR="006B4D4D">
        <w:rPr>
          <w:rStyle w:val="Appelnotedebasdep"/>
          <w:color w:val="000000"/>
          <w:lang w:val="fr-FR"/>
        </w:rPr>
        <w:footnoteReference w:id="26"/>
      </w:r>
      <w:r w:rsidR="006B4D4D">
        <w:rPr>
          <w:color w:val="000000"/>
          <w:lang w:val="fr-FR"/>
        </w:rPr>
        <w:t>. » Ce dernier terme, « leçons », correspond aussi à la deuxième conception du texte que j’ai proposé précédemment de mettre en évidence : le texte contient des « leçons »</w:t>
      </w:r>
      <w:r w:rsidR="0065030C">
        <w:rPr>
          <w:color w:val="000000"/>
          <w:lang w:val="fr-FR"/>
        </w:rPr>
        <w:t xml:space="preserve"> qu’il faudrait suivre. </w:t>
      </w:r>
      <w:r w:rsidR="00C23088">
        <w:rPr>
          <w:color w:val="000000"/>
          <w:lang w:val="fr-FR"/>
        </w:rPr>
        <w:t>Quant à l’anthropomorphisation du texte comme figure d’autorité</w:t>
      </w:r>
      <w:r w:rsidR="0065030C">
        <w:rPr>
          <w:color w:val="000000"/>
          <w:lang w:val="fr-FR"/>
        </w:rPr>
        <w:t xml:space="preserve"> – la troisième conception du texte dans les lignes qui précèdent –</w:t>
      </w:r>
      <w:r w:rsidR="00C23088">
        <w:rPr>
          <w:color w:val="000000"/>
          <w:lang w:val="fr-FR"/>
        </w:rPr>
        <w:t xml:space="preserve"> on la retrouve dans les programmes de français de l’Éducation nationale, selon lesquels « les textes </w:t>
      </w:r>
      <w:r w:rsidR="00C23088" w:rsidRPr="00C23088">
        <w:rPr>
          <w:i/>
          <w:iCs/>
          <w:color w:val="000000"/>
          <w:lang w:val="fr-FR"/>
        </w:rPr>
        <w:t>autorisent</w:t>
      </w:r>
      <w:r w:rsidR="00C23088">
        <w:rPr>
          <w:rStyle w:val="Appelnotedebasdep"/>
          <w:color w:val="000000"/>
          <w:lang w:val="fr-FR"/>
        </w:rPr>
        <w:footnoteReference w:id="27"/>
      </w:r>
      <w:r w:rsidR="00C23088">
        <w:rPr>
          <w:color w:val="000000"/>
          <w:lang w:val="fr-FR"/>
        </w:rPr>
        <w:t> » certaines « interprétations</w:t>
      </w:r>
      <w:r w:rsidR="00C23088">
        <w:rPr>
          <w:rStyle w:val="Appelnotedebasdep"/>
          <w:color w:val="000000"/>
          <w:lang w:val="fr-FR"/>
        </w:rPr>
        <w:footnoteReference w:id="28"/>
      </w:r>
      <w:r w:rsidR="00C23088">
        <w:rPr>
          <w:color w:val="000000"/>
          <w:lang w:val="fr-FR"/>
        </w:rPr>
        <w:t> ».</w:t>
      </w:r>
      <w:r w:rsidR="0065030C">
        <w:rPr>
          <w:color w:val="000000"/>
          <w:lang w:val="fr-FR"/>
        </w:rPr>
        <w:t xml:space="preserve"> J’ai choisi ici volontairement des exemples variés parce qu’à mon avis, la manière dont les déclarations du Magistère catholique parlent de la Bible s’inscrivent dans une idée plus générale du texte et de </w:t>
      </w:r>
      <w:r w:rsidR="0065030C" w:rsidRPr="004305AC">
        <w:rPr>
          <w:color w:val="000000"/>
          <w:lang w:val="fr-FR"/>
        </w:rPr>
        <w:t xml:space="preserve">la lecture, </w:t>
      </w:r>
      <w:r w:rsidR="00A0049B">
        <w:rPr>
          <w:color w:val="000000"/>
          <w:lang w:val="fr-FR"/>
        </w:rPr>
        <w:t>dont</w:t>
      </w:r>
      <w:r w:rsidR="00292B9A" w:rsidRPr="004305AC">
        <w:rPr>
          <w:color w:val="000000"/>
          <w:lang w:val="fr-FR"/>
        </w:rPr>
        <w:t xml:space="preserve"> </w:t>
      </w:r>
      <w:r w:rsidR="00A0049B">
        <w:rPr>
          <w:color w:val="000000"/>
          <w:lang w:val="fr-FR"/>
        </w:rPr>
        <w:t>l’</w:t>
      </w:r>
      <w:r w:rsidR="00292B9A" w:rsidRPr="004305AC">
        <w:rPr>
          <w:color w:val="000000"/>
          <w:lang w:val="fr-FR"/>
        </w:rPr>
        <w:t>origine</w:t>
      </w:r>
      <w:r w:rsidR="00A0049B">
        <w:rPr>
          <w:color w:val="000000"/>
          <w:lang w:val="fr-FR"/>
        </w:rPr>
        <w:t xml:space="preserve"> est difficile à déceler</w:t>
      </w:r>
      <w:r w:rsidR="00292B9A" w:rsidRPr="004305AC">
        <w:rPr>
          <w:color w:val="000000"/>
          <w:lang w:val="fr-FR"/>
        </w:rPr>
        <w:t xml:space="preserve"> et que l’on pourrait caractériser par </w:t>
      </w:r>
      <w:r w:rsidR="005B54FA" w:rsidRPr="004305AC">
        <w:rPr>
          <w:color w:val="000000"/>
          <w:lang w:val="fr-FR"/>
        </w:rPr>
        <w:t>trois</w:t>
      </w:r>
      <w:r w:rsidR="00292B9A" w:rsidRPr="004305AC">
        <w:rPr>
          <w:color w:val="000000"/>
          <w:lang w:val="fr-FR"/>
        </w:rPr>
        <w:t xml:space="preserve"> aspects. </w:t>
      </w:r>
      <w:r w:rsidR="005B54FA" w:rsidRPr="004305AC">
        <w:rPr>
          <w:color w:val="000000"/>
          <w:lang w:val="fr-FR"/>
        </w:rPr>
        <w:t>L</w:t>
      </w:r>
      <w:r w:rsidR="00292B9A" w:rsidRPr="004305AC">
        <w:rPr>
          <w:color w:val="000000"/>
          <w:lang w:val="fr-FR"/>
        </w:rPr>
        <w:t>e texte a un sens, qui peut être multiple, figuré en plus d’être littéral par exemple</w:t>
      </w:r>
      <w:r w:rsidR="00A0049B">
        <w:rPr>
          <w:color w:val="000000"/>
          <w:lang w:val="fr-FR"/>
        </w:rPr>
        <w:t>. L</w:t>
      </w:r>
      <w:r w:rsidR="00292B9A" w:rsidRPr="004305AC">
        <w:rPr>
          <w:color w:val="000000"/>
          <w:lang w:val="fr-FR"/>
        </w:rPr>
        <w:t xml:space="preserve">a lecture ne peut </w:t>
      </w:r>
      <w:r w:rsidR="00A0049B">
        <w:rPr>
          <w:color w:val="000000"/>
          <w:lang w:val="fr-FR"/>
        </w:rPr>
        <w:t>jamais</w:t>
      </w:r>
      <w:r w:rsidR="00292B9A" w:rsidRPr="004305AC">
        <w:rPr>
          <w:color w:val="000000"/>
          <w:lang w:val="fr-FR"/>
        </w:rPr>
        <w:t xml:space="preserve"> se conclure par une indécision en termes de sens. </w:t>
      </w:r>
      <w:r w:rsidR="00A0049B">
        <w:rPr>
          <w:color w:val="000000"/>
          <w:lang w:val="fr-FR"/>
        </w:rPr>
        <w:t xml:space="preserve">Lire, </w:t>
      </w:r>
      <w:r w:rsidR="00A0049B" w:rsidRPr="004305AC">
        <w:rPr>
          <w:color w:val="000000"/>
          <w:lang w:val="fr-FR"/>
        </w:rPr>
        <w:t xml:space="preserve">c’est identifier </w:t>
      </w:r>
      <w:r w:rsidR="00A0049B">
        <w:rPr>
          <w:color w:val="000000"/>
          <w:lang w:val="fr-FR"/>
        </w:rPr>
        <w:t xml:space="preserve">un </w:t>
      </w:r>
      <w:r w:rsidR="00A0049B" w:rsidRPr="004305AC">
        <w:rPr>
          <w:color w:val="000000"/>
          <w:lang w:val="fr-FR"/>
        </w:rPr>
        <w:t>sens</w:t>
      </w:r>
      <w:r w:rsidR="00A0049B" w:rsidRPr="004305AC">
        <w:rPr>
          <w:rStyle w:val="Appelnotedebasdep"/>
          <w:color w:val="000000"/>
          <w:lang w:val="fr-FR"/>
        </w:rPr>
        <w:footnoteReference w:id="29"/>
      </w:r>
      <w:r w:rsidR="00A0049B" w:rsidRPr="004305AC">
        <w:rPr>
          <w:color w:val="000000"/>
          <w:lang w:val="fr-FR"/>
        </w:rPr>
        <w:t>.</w:t>
      </w:r>
      <w:r w:rsidR="00A0049B">
        <w:rPr>
          <w:color w:val="000000"/>
          <w:lang w:val="fr-FR"/>
        </w:rPr>
        <w:t xml:space="preserve"> </w:t>
      </w:r>
      <w:r w:rsidR="005B54FA" w:rsidRPr="004305AC">
        <w:rPr>
          <w:color w:val="000000"/>
          <w:lang w:val="fr-FR"/>
        </w:rPr>
        <w:t>C</w:t>
      </w:r>
      <w:r w:rsidR="00292B9A" w:rsidRPr="004305AC">
        <w:rPr>
          <w:color w:val="000000"/>
          <w:lang w:val="fr-FR"/>
        </w:rPr>
        <w:t>e sens fait autorité : je ne peux pas, en tant que lecteur ou lectrice, m’opposer à lui.</w:t>
      </w:r>
      <w:r w:rsidR="005B54FA" w:rsidRPr="004305AC">
        <w:rPr>
          <w:color w:val="000000"/>
          <w:lang w:val="fr-FR"/>
        </w:rPr>
        <w:t xml:space="preserve"> </w:t>
      </w:r>
    </w:p>
    <w:p w14:paraId="19F90C93" w14:textId="38B55A46" w:rsidR="00270B47" w:rsidRDefault="00270B47" w:rsidP="00270B47">
      <w:pPr>
        <w:jc w:val="both"/>
        <w:rPr>
          <w:color w:val="000000"/>
          <w:lang w:val="fr-FR"/>
        </w:rPr>
      </w:pPr>
      <w:r w:rsidRPr="004305AC">
        <w:rPr>
          <w:color w:val="000000"/>
          <w:lang w:val="fr-FR"/>
        </w:rPr>
        <w:t xml:space="preserve">Or, dans le contexte de l’Église catholique, cette conception du texte n’est pas de la pure théorie. Elle a, au contraire, des conséquences concrètes et tragiques. Elle permet de donner au discours d’infériorisation des femmes – et aux agressions sexuelles qui en résultent – un fondement impossible à discuter : la place des femmes est ainsi ; c’est le message </w:t>
      </w:r>
      <w:r w:rsidRPr="004305AC">
        <w:rPr>
          <w:i/>
          <w:iCs/>
          <w:color w:val="000000"/>
          <w:lang w:val="fr-FR"/>
        </w:rPr>
        <w:t>contenu dans</w:t>
      </w:r>
      <w:r w:rsidRPr="004305AC">
        <w:rPr>
          <w:color w:val="000000"/>
          <w:lang w:val="fr-FR"/>
        </w:rPr>
        <w:t xml:space="preserve"> la Bible, c’est ce qu’elle </w:t>
      </w:r>
      <w:r w:rsidRPr="004305AC">
        <w:rPr>
          <w:i/>
          <w:iCs/>
          <w:color w:val="000000"/>
          <w:lang w:val="fr-FR"/>
        </w:rPr>
        <w:t>ordonne</w:t>
      </w:r>
      <w:r w:rsidRPr="004305AC">
        <w:rPr>
          <w:color w:val="000000"/>
          <w:lang w:val="fr-FR"/>
        </w:rPr>
        <w:t xml:space="preserve"> ; c’est ce pourquoi elle est une </w:t>
      </w:r>
      <w:r w:rsidRPr="004305AC">
        <w:rPr>
          <w:i/>
          <w:iCs/>
          <w:color w:val="000000"/>
          <w:lang w:val="fr-FR"/>
        </w:rPr>
        <w:t>autorité</w:t>
      </w:r>
      <w:r w:rsidRPr="004305AC">
        <w:rPr>
          <w:color w:val="000000"/>
          <w:lang w:val="fr-FR"/>
        </w:rPr>
        <w:t>. Contester ce discours, ce serait être hors de l’Église</w:t>
      </w:r>
      <w:r w:rsidRPr="004305AC">
        <w:rPr>
          <w:rStyle w:val="Appelnotedebasdep"/>
          <w:color w:val="000000"/>
          <w:lang w:val="fr-FR"/>
        </w:rPr>
        <w:footnoteReference w:id="30"/>
      </w:r>
      <w:r w:rsidRPr="004305AC">
        <w:rPr>
          <w:color w:val="000000"/>
          <w:lang w:val="fr-FR"/>
        </w:rPr>
        <w:t xml:space="preserve">. Pourtant l’idée qu’il faut identifier, dans un texte, un ou plusieurs sens n’est pas la seule conception de la lecture possible, ni celle dont on fait le plus souvent l’expérience. </w:t>
      </w:r>
      <w:r w:rsidR="00A0049B">
        <w:rPr>
          <w:color w:val="000000"/>
          <w:lang w:val="fr-FR"/>
        </w:rPr>
        <w:t>De plus</w:t>
      </w:r>
      <w:r w:rsidRPr="004305AC">
        <w:rPr>
          <w:color w:val="000000"/>
          <w:lang w:val="fr-FR"/>
        </w:rPr>
        <w:t>, plusieurs passages bibliques présentent un tout autre contact avec les textes.</w:t>
      </w:r>
    </w:p>
    <w:p w14:paraId="16DEA334" w14:textId="77777777" w:rsidR="0015077B" w:rsidRDefault="0015077B" w:rsidP="00270B47">
      <w:pPr>
        <w:jc w:val="both"/>
        <w:rPr>
          <w:color w:val="000000"/>
          <w:lang w:val="fr-FR"/>
        </w:rPr>
      </w:pPr>
    </w:p>
    <w:p w14:paraId="6F42A7D7" w14:textId="7F7419B5" w:rsidR="0015077B" w:rsidRDefault="0015077B" w:rsidP="00270B47">
      <w:pPr>
        <w:jc w:val="both"/>
        <w:rPr>
          <w:i/>
          <w:iCs/>
          <w:color w:val="000000"/>
          <w:lang w:val="fr-FR"/>
        </w:rPr>
      </w:pPr>
      <w:r>
        <w:rPr>
          <w:i/>
          <w:iCs/>
          <w:color w:val="000000"/>
          <w:lang w:val="fr-FR"/>
        </w:rPr>
        <w:t>Introduction 3. Le texte vulnérable et la lecture comme rencontre.</w:t>
      </w:r>
    </w:p>
    <w:p w14:paraId="39EAE42B" w14:textId="77777777" w:rsidR="0015077B" w:rsidRPr="0015077B" w:rsidRDefault="0015077B" w:rsidP="00270B47">
      <w:pPr>
        <w:jc w:val="both"/>
        <w:rPr>
          <w:i/>
          <w:iCs/>
          <w:color w:val="000000"/>
          <w:lang w:val="fr-FR"/>
        </w:rPr>
      </w:pPr>
    </w:p>
    <w:p w14:paraId="6D913B9F" w14:textId="77777777" w:rsidR="00A0049B" w:rsidRDefault="00270B47" w:rsidP="004305AC">
      <w:pPr>
        <w:jc w:val="both"/>
      </w:pPr>
      <w:r w:rsidRPr="004305AC">
        <w:rPr>
          <w:color w:val="000000"/>
          <w:lang w:val="fr-FR"/>
        </w:rPr>
        <w:lastRenderedPageBreak/>
        <w:t>Dans l’expérience que nous en faisons, la lecture n’est pas seulement l’identification d’un sens. Elle est aussi un ensemble d’émotions</w:t>
      </w:r>
      <w:r w:rsidR="00A55BB5" w:rsidRPr="004305AC">
        <w:rPr>
          <w:color w:val="000000"/>
          <w:lang w:val="fr-FR"/>
        </w:rPr>
        <w:t xml:space="preserve"> et sensations que nous vivons au contact d’un texte</w:t>
      </w:r>
      <w:r w:rsidRPr="004305AC">
        <w:rPr>
          <w:color w:val="000000"/>
          <w:lang w:val="fr-FR"/>
        </w:rPr>
        <w:t xml:space="preserve">. Un texte </w:t>
      </w:r>
      <w:proofErr w:type="gramStart"/>
      <w:r w:rsidRPr="004305AC">
        <w:rPr>
          <w:color w:val="000000"/>
          <w:lang w:val="fr-FR"/>
        </w:rPr>
        <w:t>peut</w:t>
      </w:r>
      <w:r w:rsidR="005B54FA" w:rsidRPr="004305AC">
        <w:rPr>
          <w:color w:val="000000"/>
          <w:lang w:val="fr-FR"/>
        </w:rPr>
        <w:t> </w:t>
      </w:r>
      <w:r w:rsidR="0065030C" w:rsidRPr="004305AC">
        <w:t xml:space="preserve"> «</w:t>
      </w:r>
      <w:proofErr w:type="gramEnd"/>
      <w:r w:rsidR="0065030C" w:rsidRPr="004305AC">
        <w:t> mordre</w:t>
      </w:r>
      <w:r w:rsidR="00A55BB5" w:rsidRPr="004305AC">
        <w:rPr>
          <w:rStyle w:val="Appelnotedebasdep"/>
        </w:rPr>
        <w:footnoteReference w:id="31"/>
      </w:r>
      <w:r w:rsidR="0065030C" w:rsidRPr="004305AC">
        <w:t> », « caresser</w:t>
      </w:r>
      <w:r w:rsidR="00A55BB5" w:rsidRPr="004305AC">
        <w:rPr>
          <w:rStyle w:val="Appelnotedebasdep"/>
        </w:rPr>
        <w:footnoteReference w:id="32"/>
      </w:r>
      <w:r w:rsidR="0065030C" w:rsidRPr="004305AC">
        <w:t> », « faire vivre des expériences corporelles, viscérales</w:t>
      </w:r>
      <w:r w:rsidR="00A55BB5" w:rsidRPr="004305AC">
        <w:rPr>
          <w:rStyle w:val="Appelnotedebasdep"/>
        </w:rPr>
        <w:footnoteReference w:id="33"/>
      </w:r>
      <w:r w:rsidR="0065030C" w:rsidRPr="004305AC">
        <w:t> »</w:t>
      </w:r>
      <w:r w:rsidR="00A55BB5" w:rsidRPr="004305AC">
        <w:t>.</w:t>
      </w:r>
      <w:r w:rsidR="0065030C" w:rsidRPr="004305AC">
        <w:t xml:space="preserve"> </w:t>
      </w:r>
      <w:r w:rsidR="006A7278" w:rsidRPr="004305AC">
        <w:t xml:space="preserve">C’est ce genre de contact avec le texte biblique qui apparaît dans un passage du roman graphique autobiographique de Craig Thompson, </w:t>
      </w:r>
      <w:proofErr w:type="spellStart"/>
      <w:r w:rsidR="006A7278" w:rsidRPr="004305AC">
        <w:rPr>
          <w:i/>
          <w:iCs/>
        </w:rPr>
        <w:t>Blankets</w:t>
      </w:r>
      <w:proofErr w:type="spellEnd"/>
      <w:r w:rsidR="004D1BD1" w:rsidRPr="004305AC">
        <w:rPr>
          <w:rStyle w:val="Appelnotedebasdep"/>
        </w:rPr>
        <w:footnoteReference w:id="34"/>
      </w:r>
      <w:r w:rsidR="006A7278" w:rsidRPr="004305AC">
        <w:t xml:space="preserve">. L’auteur, élevé dans un milieu religieux fondamentaliste, vit sa première histoire d’amour avec une jeune fille nommée Raina. Alors qu’il se trouve chez elle, il raconte avoir lu, dans la Bible, l’épisode </w:t>
      </w:r>
      <w:r w:rsidR="004D1BD1" w:rsidRPr="004305AC">
        <w:t>de la femme atteinte de pertes de sang</w:t>
      </w:r>
      <w:r w:rsidR="00B03AC5" w:rsidRPr="004305AC">
        <w:rPr>
          <w:rStyle w:val="Appelnotedebasdep"/>
        </w:rPr>
        <w:footnoteReference w:id="35"/>
      </w:r>
      <w:r w:rsidR="006A7278" w:rsidRPr="004305AC">
        <w:t>, guérie en touchant</w:t>
      </w:r>
      <w:r w:rsidR="00A0049B">
        <w:t>, par derrière,</w:t>
      </w:r>
      <w:r w:rsidR="006A7278" w:rsidRPr="004305AC">
        <w:t xml:space="preserve"> le manteau de Jésus</w:t>
      </w:r>
      <w:r w:rsidR="004D1BD1" w:rsidRPr="004305AC">
        <w:t xml:space="preserve">. Dans la manière dont le récit est alors mis en images par le dessinateur, Jésus devient une figure menaçante – dominant la femme, les yeux dessinés en larges cercles noirs </w:t>
      </w:r>
      <w:r w:rsidR="00B03AC5" w:rsidRPr="004305AC">
        <w:t>et déclarant</w:t>
      </w:r>
      <w:r w:rsidR="004D1BD1" w:rsidRPr="004305AC">
        <w:t> : « Quelqu’un m’a touché. Car j’ai senti qu’une force était sortie de moi</w:t>
      </w:r>
      <w:r w:rsidR="00B03AC5" w:rsidRPr="004305AC">
        <w:rPr>
          <w:rStyle w:val="Appelnotedebasdep"/>
        </w:rPr>
        <w:footnoteReference w:id="36"/>
      </w:r>
      <w:r w:rsidR="004D1BD1" w:rsidRPr="004305AC">
        <w:t xml:space="preserve">. » Dans la case suivante, les figurants de la scène biblique désignent </w:t>
      </w:r>
      <w:r w:rsidR="00A0049B">
        <w:t>du doigt</w:t>
      </w:r>
      <w:r w:rsidR="004D1BD1" w:rsidRPr="004305AC">
        <w:t xml:space="preserve"> le narrateur en train de lire le texte. Puis celui-ci établit une continuité entre le contact de la femme avec le vêtement de Jésus – que les mots de ce dernier semblent définir comme transgressif – et le fait qu’il se trouve en contact avec le lit de la jeune fille pour laquelle il éprouve un désir qu’il juge coupable : « Je réalisai soudain que j’étais allongé sur le lit de Raina… négligemment… Comme si c’était le mien</w:t>
      </w:r>
      <w:r w:rsidR="00067608" w:rsidRPr="004305AC">
        <w:rPr>
          <w:rStyle w:val="Appelnotedebasdep"/>
        </w:rPr>
        <w:footnoteReference w:id="37"/>
      </w:r>
      <w:r w:rsidR="004D1BD1" w:rsidRPr="004305AC">
        <w:t>… »</w:t>
      </w:r>
      <w:r w:rsidR="006A7278" w:rsidRPr="004305AC">
        <w:t xml:space="preserve"> </w:t>
      </w:r>
      <w:r w:rsidR="00067608" w:rsidRPr="004305AC">
        <w:t>Le lien avec le texte biblique repose ici moins sur le sens que sur la sensation, en l’occurrence l’angoisse et la culpabilité ressentie par le narrateur par rapport à la figure de Jésus. De fait,</w:t>
      </w:r>
      <w:r w:rsidR="00A0049B">
        <w:t xml:space="preserve"> dans la Bible,</w:t>
      </w:r>
      <w:r w:rsidR="00067608" w:rsidRPr="004305AC">
        <w:t xml:space="preserve"> Jésus ne prononce pas les mots que le personnage imagine ici, mais seulement « Qui a touché mes vêtements</w:t>
      </w:r>
      <w:r w:rsidR="00067608" w:rsidRPr="004305AC">
        <w:rPr>
          <w:rStyle w:val="Appelnotedebasdep"/>
        </w:rPr>
        <w:footnoteReference w:id="38"/>
      </w:r>
      <w:r w:rsidR="00067608" w:rsidRPr="004305AC">
        <w:t> ? »</w:t>
      </w:r>
      <w:r w:rsidRPr="004305AC">
        <w:t xml:space="preserve"> </w:t>
      </w:r>
    </w:p>
    <w:p w14:paraId="0CA776F3" w14:textId="570D8EA5" w:rsidR="004305AC" w:rsidRDefault="006A7278" w:rsidP="004305AC">
      <w:pPr>
        <w:jc w:val="both"/>
      </w:pPr>
      <w:r w:rsidRPr="004305AC">
        <w:t>La conception de la lecture comme visant exclusivement le sens</w:t>
      </w:r>
      <w:r w:rsidR="00A55BB5" w:rsidRPr="004305AC">
        <w:t xml:space="preserve"> empêche aussi de penser la façon dont un texte, par-delà toute saisie d’un sens, peut transformer notre vie</w:t>
      </w:r>
      <w:r w:rsidR="005B54FA" w:rsidRPr="004305AC">
        <w:t> : le fait qu’</w:t>
      </w:r>
      <w:r w:rsidR="00A55BB5" w:rsidRPr="004305AC">
        <w:t>en lisant on peut « voir alors se transformer sous ses yeux le découpage de tout ce qu’[on] perçoit</w:t>
      </w:r>
      <w:r w:rsidR="00A55BB5" w:rsidRPr="004305AC">
        <w:rPr>
          <w:rStyle w:val="Appelnotedebasdep"/>
        </w:rPr>
        <w:footnoteReference w:id="39"/>
      </w:r>
      <w:r w:rsidR="00A55BB5" w:rsidRPr="004305AC">
        <w:t> »</w:t>
      </w:r>
      <w:r w:rsidR="005B54FA" w:rsidRPr="004305AC">
        <w:t xml:space="preserve"> et avoir « l’impression d’être devenu quelqu’un d’autre</w:t>
      </w:r>
      <w:r w:rsidR="005B54FA" w:rsidRPr="004305AC">
        <w:rPr>
          <w:rStyle w:val="Appelnotedebasdep"/>
        </w:rPr>
        <w:footnoteReference w:id="40"/>
      </w:r>
      <w:r w:rsidR="005B54FA" w:rsidRPr="004305AC">
        <w:t> ».</w:t>
      </w:r>
      <w:r w:rsidR="00C80CCB" w:rsidRPr="004305AC">
        <w:t xml:space="preserve"> Elle néglige le fait que la lecture est d’abord un « événement</w:t>
      </w:r>
      <w:r w:rsidR="00C80CCB" w:rsidRPr="004305AC">
        <w:rPr>
          <w:rStyle w:val="Appelnotedebasdep"/>
        </w:rPr>
        <w:footnoteReference w:id="41"/>
      </w:r>
      <w:r w:rsidR="00C80CCB" w:rsidRPr="004305AC">
        <w:t xml:space="preserve"> », au cours </w:t>
      </w:r>
      <w:r w:rsidR="0032053A" w:rsidRPr="004305AC">
        <w:t>duquel</w:t>
      </w:r>
      <w:r w:rsidR="00C80CCB" w:rsidRPr="004305AC">
        <w:t xml:space="preserve"> </w:t>
      </w:r>
      <w:proofErr w:type="spellStart"/>
      <w:r w:rsidR="00C80CCB" w:rsidRPr="004305AC">
        <w:t>le·a</w:t>
      </w:r>
      <w:proofErr w:type="spellEnd"/>
      <w:r w:rsidR="00C80CCB" w:rsidRPr="004305AC">
        <w:t xml:space="preserve"> </w:t>
      </w:r>
      <w:proofErr w:type="spellStart"/>
      <w:r w:rsidR="00C80CCB" w:rsidRPr="004305AC">
        <w:t>lecteur·rice</w:t>
      </w:r>
      <w:proofErr w:type="spellEnd"/>
      <w:r w:rsidR="00C80CCB" w:rsidRPr="004305AC">
        <w:t xml:space="preserve"> vit</w:t>
      </w:r>
      <w:r w:rsidR="00887297" w:rsidRPr="004305AC">
        <w:t>, dans le texte,</w:t>
      </w:r>
      <w:r w:rsidR="00C80CCB" w:rsidRPr="004305AC">
        <w:t xml:space="preserve"> le contact avec une autre présence que </w:t>
      </w:r>
      <w:proofErr w:type="spellStart"/>
      <w:r w:rsidR="00C80CCB" w:rsidRPr="004305AC">
        <w:t>lui·elle-même</w:t>
      </w:r>
      <w:proofErr w:type="spellEnd"/>
      <w:r w:rsidR="0032053A" w:rsidRPr="004305AC">
        <w:rPr>
          <w:rStyle w:val="Appelnotedebasdep"/>
        </w:rPr>
        <w:footnoteReference w:id="42"/>
      </w:r>
      <w:r w:rsidR="00C80CCB" w:rsidRPr="004305AC">
        <w:t xml:space="preserve">. </w:t>
      </w:r>
      <w:r w:rsidR="00692BEE" w:rsidRPr="004305AC">
        <w:t xml:space="preserve">Pour donner un exemple situé dans un </w:t>
      </w:r>
      <w:r w:rsidR="00692BEE" w:rsidRPr="004305AC">
        <w:lastRenderedPageBreak/>
        <w:t xml:space="preserve">contexte chrétien et impliquant une lecture de la Bible, la révélation reçue par Augustin et dont il rend compte dans le livre </w:t>
      </w:r>
      <w:r w:rsidR="00692BEE" w:rsidRPr="004305AC">
        <w:rPr>
          <w:smallCaps/>
        </w:rPr>
        <w:t>viii</w:t>
      </w:r>
      <w:r w:rsidR="00692BEE" w:rsidRPr="004305AC">
        <w:t xml:space="preserve"> des </w:t>
      </w:r>
      <w:r w:rsidR="00692BEE" w:rsidRPr="004305AC">
        <w:rPr>
          <w:i/>
          <w:iCs/>
        </w:rPr>
        <w:t>Confessions</w:t>
      </w:r>
      <w:r w:rsidR="00A0049B">
        <w:t>,</w:t>
      </w:r>
      <w:r w:rsidR="00692BEE" w:rsidRPr="004305AC">
        <w:rPr>
          <w:i/>
          <w:iCs/>
        </w:rPr>
        <w:t xml:space="preserve"> </w:t>
      </w:r>
      <w:r w:rsidR="00692BEE" w:rsidRPr="004305AC">
        <w:t>est liée à un texte. Après avoir entendu les mots « Prends, lis ! Prends, lis ! » sans pouvoir identifier une voix qui en serait à l’origine</w:t>
      </w:r>
      <w:r w:rsidR="00692BEE" w:rsidRPr="004305AC">
        <w:rPr>
          <w:rStyle w:val="Appelnotedebasdep"/>
        </w:rPr>
        <w:footnoteReference w:id="43"/>
      </w:r>
      <w:r w:rsidR="00692BEE" w:rsidRPr="004305AC">
        <w:t>, Augustin revient là où il était auparavant et lit les mots « </w:t>
      </w:r>
      <w:r w:rsidR="00567414" w:rsidRPr="004305AC">
        <w:t>Ne soyez pas dans des fêtes et des ivresses, pas dans des couches et des impudicités, pas dans une tension et une rivalité, mais revêtez le seigneur Jésus Christ et ne vous faites pas la providence de la chair dans des désirs</w:t>
      </w:r>
      <w:r w:rsidR="00692BEE" w:rsidRPr="004305AC">
        <w:rPr>
          <w:rStyle w:val="Appelnotedebasdep"/>
        </w:rPr>
        <w:footnoteReference w:id="44"/>
      </w:r>
      <w:r w:rsidR="00692BEE" w:rsidRPr="004305AC">
        <w:t>. »</w:t>
      </w:r>
      <w:r w:rsidR="00E35730" w:rsidRPr="004305AC">
        <w:t xml:space="preserve"> L’effet de ces mots n’est pas intellectuel mais sensible : « Je ne voulus pas lire plus loin. Je n’en avais pas besoin. En effet aussitôt à la fin de cette phrase-là, comme si une lumière (</w:t>
      </w:r>
      <w:r w:rsidR="00E35730" w:rsidRPr="004305AC">
        <w:rPr>
          <w:i/>
          <w:iCs/>
        </w:rPr>
        <w:t>lux</w:t>
      </w:r>
      <w:r w:rsidR="00E35730" w:rsidRPr="004305AC">
        <w:t>) de sûreté s’était répandue dans mon cœur (</w:t>
      </w:r>
      <w:r w:rsidR="00E35730" w:rsidRPr="004305AC">
        <w:rPr>
          <w:i/>
          <w:iCs/>
        </w:rPr>
        <w:t>cors</w:t>
      </w:r>
      <w:r w:rsidR="00E35730" w:rsidRPr="004305AC">
        <w:t>), toutes les ténèbres du doute se dissipèrent</w:t>
      </w:r>
      <w:r w:rsidR="00E35730" w:rsidRPr="004305AC">
        <w:rPr>
          <w:rStyle w:val="Appelnotedebasdep"/>
        </w:rPr>
        <w:footnoteReference w:id="45"/>
      </w:r>
      <w:r w:rsidR="00E35730" w:rsidRPr="004305AC">
        <w:t>. »</w:t>
      </w:r>
      <w:r w:rsidR="004305AC">
        <w:t xml:space="preserve"> Au contact du texte, Augustin ne découvre pas un sens ; il vit une expérience sensible de transformation. De même, </w:t>
      </w:r>
      <w:r w:rsidR="004305AC" w:rsidRPr="00F571E6">
        <w:t>dans l’</w:t>
      </w:r>
      <w:r w:rsidR="004305AC" w:rsidRPr="00F571E6">
        <w:rPr>
          <w:i/>
          <w:iCs/>
        </w:rPr>
        <w:t>Évangile selon Luc</w:t>
      </w:r>
      <w:r w:rsidR="004305AC" w:rsidRPr="00F571E6">
        <w:t xml:space="preserve">, </w:t>
      </w:r>
      <w:r w:rsidR="00A0049B">
        <w:t xml:space="preserve">lorsque </w:t>
      </w:r>
      <w:r w:rsidR="004305AC" w:rsidRPr="00F571E6">
        <w:t>Jésus lit « le jour du sabbat dans la synagogue</w:t>
      </w:r>
      <w:r w:rsidR="004305AC" w:rsidRPr="00F571E6">
        <w:rPr>
          <w:rStyle w:val="Appelnotedebasdep"/>
        </w:rPr>
        <w:footnoteReference w:id="46"/>
      </w:r>
      <w:r w:rsidR="004305AC" w:rsidRPr="00F571E6">
        <w:t> » un passage du livre d’</w:t>
      </w:r>
      <w:r w:rsidR="004305AC" w:rsidRPr="00F571E6">
        <w:rPr>
          <w:i/>
          <w:iCs/>
        </w:rPr>
        <w:t>Isaïe</w:t>
      </w:r>
      <w:r w:rsidR="004305AC" w:rsidRPr="00F571E6">
        <w:rPr>
          <w:rStyle w:val="Appelnotedebasdep"/>
        </w:rPr>
        <w:footnoteReference w:id="47"/>
      </w:r>
      <w:r w:rsidR="004305AC" w:rsidRPr="00F571E6">
        <w:t>, il n’en donne pas d’explication. Il affirme seulement qu’« [a]</w:t>
      </w:r>
      <w:proofErr w:type="spellStart"/>
      <w:r w:rsidR="004305AC" w:rsidRPr="00F571E6">
        <w:t>ujourd’hui</w:t>
      </w:r>
      <w:proofErr w:type="spellEnd"/>
      <w:r w:rsidR="004305AC" w:rsidRPr="00F571E6">
        <w:t xml:space="preserve"> ce passage des Écritures s’est accompli</w:t>
      </w:r>
      <w:r w:rsidR="004305AC">
        <w:t xml:space="preserve"> (</w:t>
      </w:r>
      <w:r w:rsidR="004305AC" w:rsidRPr="00F571E6">
        <w:t>πεπ</w:t>
      </w:r>
      <w:proofErr w:type="spellStart"/>
      <w:r w:rsidR="004305AC" w:rsidRPr="00F571E6">
        <w:t>λήρωτ</w:t>
      </w:r>
      <w:proofErr w:type="spellEnd"/>
      <w:r w:rsidR="004305AC" w:rsidRPr="00F571E6">
        <w:t>αι</w:t>
      </w:r>
      <w:r w:rsidR="004305AC">
        <w:t xml:space="preserve">, </w:t>
      </w:r>
      <w:proofErr w:type="spellStart"/>
      <w:r w:rsidR="004305AC">
        <w:rPr>
          <w:i/>
          <w:iCs/>
        </w:rPr>
        <w:t>péplêrôtaï</w:t>
      </w:r>
      <w:proofErr w:type="spellEnd"/>
      <w:r w:rsidR="004305AC">
        <w:t>) dans vos oreilles</w:t>
      </w:r>
      <w:r w:rsidR="004305AC" w:rsidRPr="00F571E6">
        <w:rPr>
          <w:rStyle w:val="Appelnotedebasdep"/>
        </w:rPr>
        <w:footnoteReference w:id="48"/>
      </w:r>
      <w:r w:rsidR="004305AC" w:rsidRPr="00F571E6">
        <w:t> ».</w:t>
      </w:r>
      <w:r w:rsidR="004305AC">
        <w:t xml:space="preserve"> Le verbe qui est alors employé en grec exprime l’idée d’une plénitude</w:t>
      </w:r>
      <w:r w:rsidR="00D52C35">
        <w:rPr>
          <w:rStyle w:val="Appelnotedebasdep"/>
        </w:rPr>
        <w:footnoteReference w:id="49"/>
      </w:r>
      <w:r w:rsidR="00D52C35">
        <w:t>, voire d’une grossesse</w:t>
      </w:r>
      <w:r w:rsidR="00D52C35">
        <w:rPr>
          <w:rStyle w:val="Appelnotedebasdep"/>
        </w:rPr>
        <w:footnoteReference w:id="50"/>
      </w:r>
      <w:r w:rsidR="00D52C35">
        <w:t xml:space="preserve">. </w:t>
      </w:r>
      <w:r w:rsidR="00681C57">
        <w:t xml:space="preserve">Il décrit ainsi </w:t>
      </w:r>
      <w:r w:rsidR="00A0049B">
        <w:t>un</w:t>
      </w:r>
      <w:r w:rsidR="00681C57">
        <w:t xml:space="preserve"> lien avec la réalité – et une possible réception du texte – qui n’est pas la réception d’un sens.</w:t>
      </w:r>
      <w:r w:rsidR="00BF2261" w:rsidRPr="00BF2261">
        <w:t xml:space="preserve"> </w:t>
      </w:r>
      <w:r w:rsidR="00BF2261">
        <w:t xml:space="preserve">On pourrait interpréter dans ce sens </w:t>
      </w:r>
      <w:r w:rsidR="00A0049B">
        <w:t xml:space="preserve">aussi </w:t>
      </w:r>
      <w:r w:rsidR="00BF2261">
        <w:t>une phrase du début de l’</w:t>
      </w:r>
      <w:r w:rsidR="00BF2261">
        <w:rPr>
          <w:i/>
          <w:iCs/>
        </w:rPr>
        <w:t>Évangile selon Jean</w:t>
      </w:r>
      <w:r w:rsidR="00BF2261">
        <w:t>. Si « la parole (</w:t>
      </w:r>
      <w:r w:rsidR="00BF2261">
        <w:rPr>
          <w:i/>
          <w:iCs/>
        </w:rPr>
        <w:t>logos</w:t>
      </w:r>
      <w:r w:rsidR="00BF2261">
        <w:t>) est devenue chair et a établi sa tente en nous</w:t>
      </w:r>
      <w:r w:rsidR="00F36C97">
        <w:rPr>
          <w:rStyle w:val="Appelnotedebasdep"/>
        </w:rPr>
        <w:footnoteReference w:id="51"/>
      </w:r>
      <w:r w:rsidR="00BF2261">
        <w:t> », c’est que le texte inauguré par ses mots peut aussi exister dans la chair</w:t>
      </w:r>
      <w:r w:rsidR="00F36C97">
        <w:rPr>
          <w:rStyle w:val="Appelnotedebasdep"/>
        </w:rPr>
        <w:footnoteReference w:id="52"/>
      </w:r>
      <w:r w:rsidR="00F36C97">
        <w:t>.</w:t>
      </w:r>
    </w:p>
    <w:p w14:paraId="3359151C" w14:textId="77777777" w:rsidR="0053335D" w:rsidRDefault="00022545" w:rsidP="00E30952">
      <w:pPr>
        <w:jc w:val="both"/>
      </w:pPr>
      <w:r>
        <w:lastRenderedPageBreak/>
        <w:t>Cette autre manière d’envisager la lecture – comme une rencontre suscitant sensations et émotions et susceptible de transformer la vie – et le texte – autrement que comme une entité imposant un ou des messages auxquels obéir – est, je crois, moins susceptible de permettre l’utilisation d’un texte à des fins d’oppression. Si le texte n’est plus une entité qui impose</w:t>
      </w:r>
      <w:r w:rsidR="0053335D">
        <w:t xml:space="preserve"> des </w:t>
      </w:r>
      <w:r>
        <w:t>instructions, s’il est le partenaire fragile d’une rencontre ouverte à plusieurs possibles</w:t>
      </w:r>
      <w:r>
        <w:rPr>
          <w:rStyle w:val="Appelnotedebasdep"/>
        </w:rPr>
        <w:footnoteReference w:id="53"/>
      </w:r>
      <w:r>
        <w:t>, à partir de laquelle le monde peut être déstabilisé et métamorphosé, la lecture devient un lieu d’incertitude, de liberté et, peut-être de libération</w:t>
      </w:r>
      <w:r>
        <w:rPr>
          <w:rStyle w:val="Appelnotedebasdep"/>
        </w:rPr>
        <w:footnoteReference w:id="54"/>
      </w:r>
      <w:r>
        <w:t xml:space="preserve">. </w:t>
      </w:r>
    </w:p>
    <w:p w14:paraId="3D4E3E58" w14:textId="72908E51" w:rsidR="00E30952" w:rsidRDefault="00E30952" w:rsidP="00E30952">
      <w:pPr>
        <w:jc w:val="both"/>
        <w:rPr>
          <w:rStyle w:val="TitredeloeuvreCar"/>
          <w:i w:val="0"/>
        </w:rPr>
      </w:pPr>
      <w:r>
        <w:t>En termes de méthode, la saisie de ces aspects du texte et la lecture, bien plus complexes et variés que l’idée d’un ou de plusieurs sens, est forcément toujours partielle. Il me semble qu’il est possible de l’approcher à partir de deux méthodologies, que je vais m’efforcer de suivre ici</w:t>
      </w:r>
      <w:r w:rsidR="00451FE3">
        <w:t>. D’une part, on peut, dans ce but, essayer de lire le texte de la manière la plus rapprochée possible, dans la succession de ses mots au sein d’une phrase</w:t>
      </w:r>
      <w:r w:rsidR="0053335D">
        <w:t>,</w:t>
      </w:r>
      <w:r w:rsidR="00451FE3">
        <w:t xml:space="preserve"> </w:t>
      </w:r>
      <w:r w:rsidR="0053335D">
        <w:t>selon</w:t>
      </w:r>
      <w:r w:rsidR="00451FE3">
        <w:t xml:space="preserve"> ce qu’on appelle une</w:t>
      </w:r>
      <w:r w:rsidRPr="00773EAA">
        <w:rPr>
          <w:rStyle w:val="TitredeloeuvreCar"/>
          <w:i w:val="0"/>
        </w:rPr>
        <w:t xml:space="preserve"> « lecture de près » (« </w:t>
      </w:r>
      <w:r w:rsidRPr="00A35D6B">
        <w:rPr>
          <w:rStyle w:val="TitredeloeuvreCar"/>
        </w:rPr>
        <w:t xml:space="preserve">close </w:t>
      </w:r>
      <w:proofErr w:type="spellStart"/>
      <w:r w:rsidRPr="00A35D6B">
        <w:rPr>
          <w:rStyle w:val="TitredeloeuvreCar"/>
        </w:rPr>
        <w:t>reading</w:t>
      </w:r>
      <w:proofErr w:type="spellEnd"/>
      <w:r w:rsidRPr="00A35D6B">
        <w:rPr>
          <w:rStyle w:val="Appelnotedebasdep"/>
          <w:iCs/>
        </w:rPr>
        <w:footnoteReference w:id="55"/>
      </w:r>
      <w:r w:rsidRPr="00773EAA">
        <w:rPr>
          <w:rStyle w:val="TitredeloeuvreCar"/>
          <w:i w:val="0"/>
        </w:rPr>
        <w:t> »)</w:t>
      </w:r>
      <w:r w:rsidR="00451FE3">
        <w:rPr>
          <w:rStyle w:val="TitredeloeuvreCar"/>
          <w:i w:val="0"/>
        </w:rPr>
        <w:t>. D’autre part, on peut saisir la lecture en tant que suite d’événements, en suivant la manière dont elle peut se construire et se déconstruire au fur et à mesure du contact avec le texte</w:t>
      </w:r>
      <w:r w:rsidR="00451FE3">
        <w:rPr>
          <w:rStyle w:val="Appelnotedebasdep"/>
          <w:lang w:val="fr-FR"/>
        </w:rPr>
        <w:footnoteReference w:id="56"/>
      </w:r>
      <w:r w:rsidR="00451FE3">
        <w:rPr>
          <w:rStyle w:val="TitredeloeuvreCar"/>
          <w:i w:val="0"/>
        </w:rPr>
        <w:t xml:space="preserve">, </w:t>
      </w:r>
      <w:r w:rsidR="0053335D">
        <w:rPr>
          <w:rStyle w:val="TitredeloeuvreCar"/>
          <w:i w:val="0"/>
        </w:rPr>
        <w:t>cette lecture pouvant suivre</w:t>
      </w:r>
      <w:r w:rsidR="00451FE3">
        <w:rPr>
          <w:rStyle w:val="TitredeloeuvreCar"/>
          <w:i w:val="0"/>
        </w:rPr>
        <w:t xml:space="preserve"> la linéarité de la syntaxe, de gauche à droite et de la première à la dernière page, mais aussi inclure</w:t>
      </w:r>
      <w:r w:rsidR="0053335D">
        <w:rPr>
          <w:rStyle w:val="TitredeloeuvreCar"/>
          <w:i w:val="0"/>
        </w:rPr>
        <w:t>, par exemple,</w:t>
      </w:r>
      <w:r w:rsidR="00451FE3">
        <w:rPr>
          <w:rStyle w:val="TitredeloeuvreCar"/>
          <w:i w:val="0"/>
        </w:rPr>
        <w:t xml:space="preserve"> des retours en arrière</w:t>
      </w:r>
      <w:r w:rsidR="00451FE3">
        <w:rPr>
          <w:rStyle w:val="Appelnotedebasdep"/>
          <w:lang w:val="fr-FR"/>
        </w:rPr>
        <w:footnoteReference w:id="57"/>
      </w:r>
      <w:r w:rsidR="00451FE3">
        <w:rPr>
          <w:rStyle w:val="TitredeloeuvreCar"/>
          <w:i w:val="0"/>
        </w:rPr>
        <w:t>.</w:t>
      </w:r>
    </w:p>
    <w:p w14:paraId="0C76FEBB" w14:textId="77777777" w:rsidR="00E30952" w:rsidRDefault="00E30952" w:rsidP="00E30952">
      <w:pPr>
        <w:jc w:val="both"/>
      </w:pPr>
    </w:p>
    <w:p w14:paraId="5DE16267" w14:textId="216D1A02" w:rsidR="0015077B" w:rsidRDefault="0015077B" w:rsidP="0015077B">
      <w:pPr>
        <w:pStyle w:val="Paragraphedeliste"/>
        <w:numPr>
          <w:ilvl w:val="0"/>
          <w:numId w:val="1"/>
        </w:numPr>
        <w:jc w:val="both"/>
        <w:rPr>
          <w:b/>
          <w:bCs/>
        </w:rPr>
      </w:pPr>
      <w:r>
        <w:rPr>
          <w:b/>
          <w:bCs/>
          <w:i/>
          <w:iCs/>
        </w:rPr>
        <w:t>Genèse</w:t>
      </w:r>
      <w:r>
        <w:rPr>
          <w:b/>
          <w:bCs/>
        </w:rPr>
        <w:t xml:space="preserve"> 1-2 : trouble dans le genre </w:t>
      </w:r>
      <w:proofErr w:type="spellStart"/>
      <w:r>
        <w:rPr>
          <w:b/>
          <w:bCs/>
        </w:rPr>
        <w:t>du·de</w:t>
      </w:r>
      <w:proofErr w:type="spellEnd"/>
      <w:r>
        <w:rPr>
          <w:b/>
          <w:bCs/>
        </w:rPr>
        <w:t xml:space="preserve"> la </w:t>
      </w:r>
      <w:proofErr w:type="spellStart"/>
      <w:r>
        <w:rPr>
          <w:b/>
          <w:bCs/>
        </w:rPr>
        <w:t>premier·ère</w:t>
      </w:r>
      <w:proofErr w:type="spellEnd"/>
      <w:r>
        <w:rPr>
          <w:b/>
          <w:bCs/>
        </w:rPr>
        <w:t xml:space="preserve"> </w:t>
      </w:r>
      <w:proofErr w:type="spellStart"/>
      <w:r>
        <w:rPr>
          <w:b/>
          <w:bCs/>
        </w:rPr>
        <w:t>humain·e</w:t>
      </w:r>
      <w:proofErr w:type="spellEnd"/>
      <w:r>
        <w:rPr>
          <w:b/>
          <w:bCs/>
        </w:rPr>
        <w:t>.</w:t>
      </w:r>
    </w:p>
    <w:p w14:paraId="16B2FC13" w14:textId="77777777" w:rsidR="0015077B" w:rsidRPr="0015077B" w:rsidRDefault="0015077B" w:rsidP="0015077B">
      <w:pPr>
        <w:pStyle w:val="Paragraphedeliste"/>
        <w:jc w:val="both"/>
        <w:rPr>
          <w:b/>
          <w:bCs/>
        </w:rPr>
      </w:pPr>
    </w:p>
    <w:p w14:paraId="75CD36CB" w14:textId="60B9DD5C" w:rsidR="00AC40BB" w:rsidRPr="00014EDE" w:rsidRDefault="00451FE3" w:rsidP="00E17952">
      <w:pPr>
        <w:jc w:val="both"/>
        <w:rPr>
          <w:color w:val="000000"/>
          <w:lang w:val="fr-FR"/>
        </w:rPr>
      </w:pPr>
      <w:r>
        <w:rPr>
          <w:color w:val="000000"/>
          <w:lang w:val="fr-FR"/>
        </w:rPr>
        <w:t xml:space="preserve">Que donne une telle approche des textes pour </w:t>
      </w:r>
      <w:r w:rsidR="0053335D">
        <w:rPr>
          <w:color w:val="000000"/>
          <w:lang w:val="fr-FR"/>
        </w:rPr>
        <w:t>les passages bibliques</w:t>
      </w:r>
      <w:r w:rsidR="00AC40BB">
        <w:rPr>
          <w:color w:val="000000"/>
          <w:lang w:val="fr-FR"/>
        </w:rPr>
        <w:t xml:space="preserve"> auxquels la </w:t>
      </w:r>
      <w:r w:rsidR="00AC40BB">
        <w:rPr>
          <w:i/>
          <w:iCs/>
          <w:color w:val="000000"/>
          <w:lang w:val="fr-FR"/>
        </w:rPr>
        <w:t>Lettre aux évêques de l’Église catholique… dans le monde</w:t>
      </w:r>
      <w:r w:rsidR="00AC40BB">
        <w:rPr>
          <w:color w:val="000000"/>
          <w:lang w:val="fr-FR"/>
        </w:rPr>
        <w:t xml:space="preserve"> fait référence</w:t>
      </w:r>
      <w:r>
        <w:rPr>
          <w:color w:val="000000"/>
          <w:lang w:val="fr-FR"/>
        </w:rPr>
        <w:t xml:space="preserve"> pour justifier le refus de l’ordination des femmes </w:t>
      </w:r>
      <w:r w:rsidR="00AC40BB">
        <w:rPr>
          <w:color w:val="000000"/>
          <w:lang w:val="fr-FR"/>
        </w:rPr>
        <w:t xml:space="preserve">? Le début du livre de la </w:t>
      </w:r>
      <w:r w:rsidR="00AC40BB">
        <w:rPr>
          <w:i/>
          <w:iCs/>
          <w:color w:val="000000"/>
          <w:lang w:val="fr-FR"/>
        </w:rPr>
        <w:t>Genèse</w:t>
      </w:r>
      <w:r w:rsidR="00AC40BB">
        <w:rPr>
          <w:color w:val="000000"/>
          <w:lang w:val="fr-FR"/>
        </w:rPr>
        <w:t xml:space="preserve"> </w:t>
      </w:r>
      <w:r w:rsidR="003A6E15">
        <w:rPr>
          <w:color w:val="000000"/>
          <w:lang w:val="fr-FR"/>
        </w:rPr>
        <w:t xml:space="preserve">– explicitement, </w:t>
      </w:r>
      <w:r w:rsidR="003A6E15" w:rsidRPr="00451FE3">
        <w:rPr>
          <w:i/>
          <w:iCs/>
          <w:color w:val="000000"/>
          <w:lang w:val="fr-FR"/>
        </w:rPr>
        <w:t>G</w:t>
      </w:r>
      <w:r w:rsidRPr="00451FE3">
        <w:rPr>
          <w:i/>
          <w:iCs/>
          <w:color w:val="000000"/>
          <w:lang w:val="fr-FR"/>
        </w:rPr>
        <w:t>enèse</w:t>
      </w:r>
      <w:r w:rsidR="003A6E15" w:rsidRPr="003A6E15">
        <w:rPr>
          <w:color w:val="000000"/>
          <w:lang w:val="fr-FR"/>
        </w:rPr>
        <w:t xml:space="preserve"> 1,</w:t>
      </w:r>
      <w:r w:rsidR="00EC2B7B">
        <w:rPr>
          <w:color w:val="000000"/>
          <w:lang w:val="fr-FR"/>
        </w:rPr>
        <w:t xml:space="preserve"> </w:t>
      </w:r>
      <w:r w:rsidR="003A6E15" w:rsidRPr="003A6E15">
        <w:rPr>
          <w:color w:val="000000"/>
          <w:lang w:val="fr-FR"/>
        </w:rPr>
        <w:t>1-2,</w:t>
      </w:r>
      <w:r w:rsidR="00EC2B7B">
        <w:rPr>
          <w:color w:val="000000"/>
          <w:lang w:val="fr-FR"/>
        </w:rPr>
        <w:t xml:space="preserve"> </w:t>
      </w:r>
      <w:r w:rsidR="003A6E15" w:rsidRPr="003A6E15">
        <w:rPr>
          <w:color w:val="000000"/>
          <w:lang w:val="fr-FR"/>
        </w:rPr>
        <w:t>4</w:t>
      </w:r>
      <w:r w:rsidR="00E73671">
        <w:rPr>
          <w:color w:val="000000"/>
          <w:lang w:val="fr-FR"/>
        </w:rPr>
        <w:t xml:space="preserve"> –</w:t>
      </w:r>
      <w:r w:rsidR="00AC40BB">
        <w:rPr>
          <w:color w:val="000000"/>
          <w:lang w:val="fr-FR"/>
        </w:rPr>
        <w:t xml:space="preserve"> </w:t>
      </w:r>
      <w:r>
        <w:rPr>
          <w:color w:val="000000"/>
          <w:lang w:val="fr-FR"/>
        </w:rPr>
        <w:t xml:space="preserve">y </w:t>
      </w:r>
      <w:r w:rsidR="00AC40BB">
        <w:rPr>
          <w:color w:val="000000"/>
          <w:lang w:val="fr-FR"/>
        </w:rPr>
        <w:t>est interprété</w:t>
      </w:r>
      <w:r>
        <w:rPr>
          <w:color w:val="000000"/>
          <w:lang w:val="fr-FR"/>
        </w:rPr>
        <w:t xml:space="preserve"> </w:t>
      </w:r>
      <w:r w:rsidR="00AC40BB">
        <w:rPr>
          <w:color w:val="000000"/>
          <w:lang w:val="fr-FR"/>
        </w:rPr>
        <w:t>comme une série de « séparations dans le chaos originaire</w:t>
      </w:r>
      <w:r w:rsidR="003A6E15">
        <w:rPr>
          <w:rStyle w:val="Appelnotedebasdep"/>
          <w:color w:val="000000"/>
          <w:lang w:val="fr-FR"/>
        </w:rPr>
        <w:footnoteReference w:id="58"/>
      </w:r>
      <w:r w:rsidR="00AC40BB">
        <w:rPr>
          <w:color w:val="000000"/>
          <w:lang w:val="fr-FR"/>
        </w:rPr>
        <w:t xml:space="preserve"> », </w:t>
      </w:r>
      <w:r w:rsidR="0000308D">
        <w:rPr>
          <w:color w:val="000000"/>
          <w:lang w:val="fr-FR"/>
        </w:rPr>
        <w:t>permettant que le « monde</w:t>
      </w:r>
      <w:r w:rsidR="003A6E15">
        <w:rPr>
          <w:rStyle w:val="Appelnotedebasdep"/>
          <w:color w:val="000000"/>
          <w:lang w:val="fr-FR"/>
        </w:rPr>
        <w:footnoteReference w:id="59"/>
      </w:r>
      <w:r w:rsidR="0000308D">
        <w:rPr>
          <w:color w:val="000000"/>
          <w:lang w:val="fr-FR"/>
        </w:rPr>
        <w:t> » soit « ordonné à partir des différences </w:t>
      </w:r>
      <w:r w:rsidR="00B4219B" w:rsidRPr="00AC40BB">
        <w:rPr>
          <w:color w:val="000000"/>
        </w:rPr>
        <w:t>qui, d</w:t>
      </w:r>
      <w:r w:rsidR="00B4219B">
        <w:rPr>
          <w:color w:val="000000"/>
        </w:rPr>
        <w:t>’</w:t>
      </w:r>
      <w:r w:rsidR="00B4219B" w:rsidRPr="00AC40BB">
        <w:rPr>
          <w:color w:val="000000"/>
        </w:rPr>
        <w:t>autre part, sont en même temps des promesses de relations</w:t>
      </w:r>
      <w:r w:rsidR="003A6E15">
        <w:rPr>
          <w:rStyle w:val="Appelnotedebasdep"/>
          <w:color w:val="000000"/>
          <w:lang w:val="fr-FR"/>
        </w:rPr>
        <w:footnoteReference w:id="60"/>
      </w:r>
      <w:r w:rsidR="00B4219B">
        <w:rPr>
          <w:color w:val="000000"/>
        </w:rPr>
        <w:t xml:space="preserve"> </w:t>
      </w:r>
      <w:r w:rsidR="0000308D">
        <w:rPr>
          <w:color w:val="000000"/>
          <w:lang w:val="fr-FR"/>
        </w:rPr>
        <w:t>»</w:t>
      </w:r>
      <w:r w:rsidR="00B4219B">
        <w:rPr>
          <w:color w:val="000000"/>
          <w:lang w:val="fr-FR"/>
        </w:rPr>
        <w:t>. La « création de l’humanité</w:t>
      </w:r>
      <w:r w:rsidR="003A6E15">
        <w:rPr>
          <w:rStyle w:val="Appelnotedebasdep"/>
          <w:color w:val="000000"/>
          <w:lang w:val="fr-FR"/>
        </w:rPr>
        <w:footnoteReference w:id="61"/>
      </w:r>
      <w:r w:rsidR="00B4219B">
        <w:rPr>
          <w:color w:val="000000"/>
          <w:lang w:val="fr-FR"/>
        </w:rPr>
        <w:t> » serait elle aussi une séparation et une différence, permettant</w:t>
      </w:r>
      <w:r w:rsidR="00EC2B7B">
        <w:rPr>
          <w:color w:val="000000"/>
          <w:lang w:val="fr-FR"/>
        </w:rPr>
        <w:t xml:space="preserve"> également une</w:t>
      </w:r>
      <w:r w:rsidR="00B4219B">
        <w:rPr>
          <w:color w:val="000000"/>
          <w:lang w:val="fr-FR"/>
        </w:rPr>
        <w:t xml:space="preserve"> relation : « </w:t>
      </w:r>
      <w:r w:rsidR="00B4219B" w:rsidRPr="0000308D">
        <w:rPr>
          <w:color w:val="000000"/>
        </w:rPr>
        <w:t>L</w:t>
      </w:r>
      <w:r w:rsidR="00B4219B">
        <w:rPr>
          <w:color w:val="000000"/>
        </w:rPr>
        <w:t>’</w:t>
      </w:r>
      <w:r w:rsidR="00B4219B" w:rsidRPr="0000308D">
        <w:rPr>
          <w:color w:val="000000"/>
        </w:rPr>
        <w:t xml:space="preserve">humanité est décrite ici comme </w:t>
      </w:r>
      <w:r w:rsidR="00B4219B" w:rsidRPr="0000308D">
        <w:rPr>
          <w:color w:val="000000"/>
        </w:rPr>
        <w:lastRenderedPageBreak/>
        <w:t>articulée, dès son point de départ, par la relation entre le masculin et le féminin</w:t>
      </w:r>
      <w:r w:rsidR="003A6E15">
        <w:rPr>
          <w:rStyle w:val="Appelnotedebasdep"/>
          <w:color w:val="000000"/>
          <w:lang w:val="fr-FR"/>
        </w:rPr>
        <w:footnoteReference w:id="62"/>
      </w:r>
      <w:r w:rsidR="00B4219B" w:rsidRPr="0000308D">
        <w:rPr>
          <w:color w:val="000000"/>
        </w:rPr>
        <w:t>.</w:t>
      </w:r>
      <w:r w:rsidR="00B4219B">
        <w:rPr>
          <w:color w:val="000000"/>
        </w:rPr>
        <w:t> »</w:t>
      </w:r>
      <w:r w:rsidR="00B4219B">
        <w:rPr>
          <w:color w:val="000000"/>
          <w:lang w:val="fr-FR"/>
        </w:rPr>
        <w:t xml:space="preserve"> </w:t>
      </w:r>
      <w:r w:rsidR="00E73671">
        <w:rPr>
          <w:color w:val="000000"/>
          <w:lang w:val="fr-FR"/>
        </w:rPr>
        <w:t>Or, il me semble que le texte en question présente de manière plus ambiguë</w:t>
      </w:r>
      <w:r w:rsidR="00EC2B7B">
        <w:rPr>
          <w:color w:val="000000"/>
          <w:lang w:val="fr-FR"/>
        </w:rPr>
        <w:t xml:space="preserve"> – plus trouble – les liens entre </w:t>
      </w:r>
      <w:r w:rsidR="0053335D">
        <w:rPr>
          <w:color w:val="000000"/>
          <w:lang w:val="fr-FR"/>
        </w:rPr>
        <w:t>les deux genres</w:t>
      </w:r>
      <w:r w:rsidR="00EC2B7B">
        <w:rPr>
          <w:color w:val="000000"/>
          <w:lang w:val="fr-FR"/>
        </w:rPr>
        <w:t xml:space="preserve">. </w:t>
      </w:r>
      <w:r w:rsidR="00A62DBA">
        <w:rPr>
          <w:color w:val="000000"/>
          <w:lang w:val="fr-FR"/>
        </w:rPr>
        <w:t xml:space="preserve">Les </w:t>
      </w:r>
      <w:proofErr w:type="spellStart"/>
      <w:r w:rsidR="00A62DBA">
        <w:rPr>
          <w:color w:val="000000"/>
          <w:lang w:val="fr-FR"/>
        </w:rPr>
        <w:t>humain·es</w:t>
      </w:r>
      <w:proofErr w:type="spellEnd"/>
      <w:r w:rsidR="00A62DBA">
        <w:rPr>
          <w:color w:val="000000"/>
          <w:lang w:val="fr-FR"/>
        </w:rPr>
        <w:t xml:space="preserve"> sont mentionnés pour la première fois dans la Bible dans un verset du premier chapitre de la </w:t>
      </w:r>
      <w:r w:rsidR="00A62DBA">
        <w:rPr>
          <w:i/>
          <w:iCs/>
          <w:color w:val="000000"/>
          <w:lang w:val="fr-FR"/>
        </w:rPr>
        <w:t>Genèse</w:t>
      </w:r>
      <w:r w:rsidR="00A62DBA">
        <w:rPr>
          <w:color w:val="000000"/>
          <w:lang w:val="fr-FR"/>
        </w:rPr>
        <w:t>, que je donne ici successivement en hébreu</w:t>
      </w:r>
      <w:r w:rsidR="00E579BF">
        <w:rPr>
          <w:rStyle w:val="Appelnotedebasdep"/>
          <w:color w:val="000000"/>
          <w:lang w:val="fr-FR"/>
        </w:rPr>
        <w:footnoteReference w:id="63"/>
      </w:r>
      <w:r w:rsidR="00A62DBA">
        <w:rPr>
          <w:color w:val="000000"/>
          <w:lang w:val="fr-FR"/>
        </w:rPr>
        <w:t xml:space="preserve">, en hébreu translittéré en caractères latins et dans une traduction la plus </w:t>
      </w:r>
      <w:r w:rsidR="00A62DBA" w:rsidRPr="00014EDE">
        <w:rPr>
          <w:color w:val="000000"/>
          <w:lang w:val="fr-FR"/>
        </w:rPr>
        <w:t xml:space="preserve">proche possible de l’hébreu : </w:t>
      </w:r>
      <w:r w:rsidR="00CA3B24" w:rsidRPr="00014EDE">
        <w:rPr>
          <w:color w:val="000000"/>
          <w:lang w:val="fr-FR"/>
        </w:rPr>
        <w:t xml:space="preserve"> </w:t>
      </w:r>
    </w:p>
    <w:p w14:paraId="35B5550D" w14:textId="77777777" w:rsidR="00A62DBA" w:rsidRPr="00014EDE" w:rsidRDefault="00A62DBA" w:rsidP="00A62DBA">
      <w:pPr>
        <w:jc w:val="both"/>
        <w:rPr>
          <w:color w:val="000000"/>
        </w:rPr>
      </w:pPr>
      <w:proofErr w:type="spellStart"/>
      <w:r w:rsidRPr="00014EDE">
        <w:rPr>
          <w:rFonts w:hint="cs"/>
          <w:color w:val="000000"/>
        </w:rPr>
        <w:t>וַי</w:t>
      </w:r>
      <w:proofErr w:type="spellEnd"/>
      <w:r w:rsidRPr="00014EDE">
        <w:rPr>
          <w:rFonts w:hint="cs"/>
          <w:color w:val="000000"/>
        </w:rPr>
        <w:t>ִּ</w:t>
      </w:r>
      <w:proofErr w:type="spellStart"/>
      <w:r w:rsidRPr="00014EDE">
        <w:rPr>
          <w:rFonts w:hint="cs"/>
          <w:color w:val="000000"/>
        </w:rPr>
        <w:t>בְרָא</w:t>
      </w:r>
      <w:proofErr w:type="spellEnd"/>
      <w:r w:rsidRPr="00014EDE">
        <w:rPr>
          <w:color w:val="000000"/>
        </w:rPr>
        <w:t xml:space="preserve"> </w:t>
      </w:r>
      <w:proofErr w:type="spellStart"/>
      <w:r w:rsidRPr="00014EDE">
        <w:rPr>
          <w:rFonts w:hint="cs"/>
          <w:color w:val="000000"/>
        </w:rPr>
        <w:t>אֱלֹהִים</w:t>
      </w:r>
      <w:proofErr w:type="spellEnd"/>
      <w:r w:rsidRPr="00014EDE">
        <w:rPr>
          <w:color w:val="000000"/>
        </w:rPr>
        <w:t xml:space="preserve"> </w:t>
      </w:r>
      <w:proofErr w:type="spellStart"/>
      <w:r w:rsidRPr="00014EDE">
        <w:rPr>
          <w:rFonts w:hint="cs"/>
          <w:color w:val="000000"/>
        </w:rPr>
        <w:t>אֶת</w:t>
      </w:r>
      <w:r w:rsidRPr="00014EDE">
        <w:rPr>
          <w:color w:val="000000"/>
        </w:rPr>
        <w:t>-</w:t>
      </w:r>
      <w:r w:rsidRPr="00014EDE">
        <w:rPr>
          <w:rFonts w:hint="cs"/>
          <w:color w:val="000000"/>
        </w:rPr>
        <w:t>הָאָדָם</w:t>
      </w:r>
      <w:proofErr w:type="spellEnd"/>
      <w:r w:rsidRPr="00014EDE">
        <w:rPr>
          <w:color w:val="000000"/>
        </w:rPr>
        <w:t xml:space="preserve"> </w:t>
      </w:r>
      <w:r w:rsidRPr="00014EDE">
        <w:rPr>
          <w:rFonts w:hint="cs"/>
          <w:color w:val="000000"/>
        </w:rPr>
        <w:t>בְּ</w:t>
      </w:r>
      <w:proofErr w:type="spellStart"/>
      <w:r w:rsidRPr="00014EDE">
        <w:rPr>
          <w:rFonts w:hint="cs"/>
          <w:color w:val="000000"/>
        </w:rPr>
        <w:t>צַלְמו</w:t>
      </w:r>
      <w:proofErr w:type="spellEnd"/>
      <w:r w:rsidRPr="00014EDE">
        <w:rPr>
          <w:rFonts w:hint="cs"/>
          <w:color w:val="000000"/>
        </w:rPr>
        <w:t>ֹ</w:t>
      </w:r>
      <w:r w:rsidRPr="00014EDE">
        <w:rPr>
          <w:color w:val="000000"/>
        </w:rPr>
        <w:t xml:space="preserve">, </w:t>
      </w:r>
      <w:r w:rsidRPr="00014EDE">
        <w:rPr>
          <w:rFonts w:hint="cs"/>
          <w:color w:val="000000"/>
        </w:rPr>
        <w:t>בְּ</w:t>
      </w:r>
      <w:proofErr w:type="spellStart"/>
      <w:r w:rsidRPr="00014EDE">
        <w:rPr>
          <w:rFonts w:hint="cs"/>
          <w:color w:val="000000"/>
        </w:rPr>
        <w:t>צֶלֶם</w:t>
      </w:r>
      <w:proofErr w:type="spellEnd"/>
      <w:r w:rsidRPr="00014EDE">
        <w:rPr>
          <w:color w:val="000000"/>
        </w:rPr>
        <w:t xml:space="preserve"> </w:t>
      </w:r>
      <w:proofErr w:type="spellStart"/>
      <w:r w:rsidRPr="00014EDE">
        <w:rPr>
          <w:rFonts w:hint="cs"/>
          <w:color w:val="000000"/>
        </w:rPr>
        <w:t>אֱלֹהִים</w:t>
      </w:r>
      <w:proofErr w:type="spellEnd"/>
      <w:r w:rsidRPr="00014EDE">
        <w:rPr>
          <w:color w:val="000000"/>
        </w:rPr>
        <w:t xml:space="preserve"> </w:t>
      </w:r>
      <w:r w:rsidRPr="00014EDE">
        <w:rPr>
          <w:rFonts w:hint="cs"/>
          <w:color w:val="000000"/>
        </w:rPr>
        <w:t>בָּ</w:t>
      </w:r>
      <w:proofErr w:type="spellStart"/>
      <w:r w:rsidRPr="00014EDE">
        <w:rPr>
          <w:rFonts w:hint="cs"/>
          <w:color w:val="000000"/>
        </w:rPr>
        <w:t>רָא</w:t>
      </w:r>
      <w:proofErr w:type="spellEnd"/>
      <w:r w:rsidRPr="00014EDE">
        <w:rPr>
          <w:color w:val="000000"/>
        </w:rPr>
        <w:t xml:space="preserve"> </w:t>
      </w:r>
      <w:proofErr w:type="spellStart"/>
      <w:r w:rsidRPr="00014EDE">
        <w:rPr>
          <w:rFonts w:hint="cs"/>
          <w:color w:val="000000"/>
        </w:rPr>
        <w:t>אֹתו</w:t>
      </w:r>
      <w:proofErr w:type="spellEnd"/>
      <w:r w:rsidRPr="00014EDE">
        <w:rPr>
          <w:rFonts w:hint="cs"/>
          <w:color w:val="000000"/>
        </w:rPr>
        <w:t>ֹ</w:t>
      </w:r>
      <w:r w:rsidRPr="00014EDE">
        <w:rPr>
          <w:color w:val="000000"/>
        </w:rPr>
        <w:t xml:space="preserve">: </w:t>
      </w:r>
      <w:proofErr w:type="spellStart"/>
      <w:r w:rsidRPr="00014EDE">
        <w:rPr>
          <w:rFonts w:hint="cs"/>
          <w:color w:val="000000"/>
        </w:rPr>
        <w:t>זָכָר</w:t>
      </w:r>
      <w:proofErr w:type="spellEnd"/>
      <w:r w:rsidRPr="00014EDE">
        <w:rPr>
          <w:color w:val="000000"/>
        </w:rPr>
        <w:t xml:space="preserve"> </w:t>
      </w:r>
      <w:proofErr w:type="spellStart"/>
      <w:r w:rsidRPr="00014EDE">
        <w:rPr>
          <w:rFonts w:hint="cs"/>
          <w:color w:val="000000"/>
        </w:rPr>
        <w:t>וּנְקֵבָה</w:t>
      </w:r>
      <w:proofErr w:type="spellEnd"/>
      <w:r w:rsidRPr="00014EDE">
        <w:rPr>
          <w:color w:val="000000"/>
        </w:rPr>
        <w:t xml:space="preserve">, </w:t>
      </w:r>
      <w:r w:rsidRPr="00014EDE">
        <w:rPr>
          <w:rFonts w:hint="cs"/>
          <w:color w:val="000000"/>
        </w:rPr>
        <w:t>בָּ</w:t>
      </w:r>
      <w:proofErr w:type="spellStart"/>
      <w:r w:rsidRPr="00014EDE">
        <w:rPr>
          <w:rFonts w:hint="cs"/>
          <w:color w:val="000000"/>
        </w:rPr>
        <w:t>רָא</w:t>
      </w:r>
      <w:proofErr w:type="spellEnd"/>
      <w:r w:rsidRPr="00014EDE">
        <w:rPr>
          <w:color w:val="000000"/>
        </w:rPr>
        <w:t xml:space="preserve"> </w:t>
      </w:r>
      <w:proofErr w:type="spellStart"/>
      <w:r w:rsidRPr="00014EDE">
        <w:rPr>
          <w:rFonts w:hint="cs"/>
          <w:color w:val="000000"/>
        </w:rPr>
        <w:t>אֹתָם</w:t>
      </w:r>
      <w:proofErr w:type="spellEnd"/>
      <w:r w:rsidRPr="00014EDE">
        <w:rPr>
          <w:color w:val="000000"/>
        </w:rPr>
        <w:t>.</w:t>
      </w:r>
    </w:p>
    <w:p w14:paraId="288EDF5C" w14:textId="05623575" w:rsidR="00A62DBA" w:rsidRPr="00014EDE" w:rsidRDefault="00A62DBA" w:rsidP="00A62DBA">
      <w:pPr>
        <w:jc w:val="both"/>
        <w:rPr>
          <w:i/>
          <w:iCs/>
          <w:color w:val="000000"/>
        </w:rPr>
      </w:pPr>
      <w:proofErr w:type="spellStart"/>
      <w:r w:rsidRPr="00014EDE">
        <w:rPr>
          <w:i/>
          <w:iCs/>
          <w:color w:val="000000"/>
        </w:rPr>
        <w:t>Wayib</w:t>
      </w:r>
      <w:r w:rsidR="00E579BF">
        <w:rPr>
          <w:i/>
          <w:iCs/>
          <w:color w:val="000000"/>
        </w:rPr>
        <w:t>é</w:t>
      </w:r>
      <w:r w:rsidRPr="00014EDE">
        <w:rPr>
          <w:i/>
          <w:iCs/>
          <w:color w:val="000000"/>
        </w:rPr>
        <w:t>ra</w:t>
      </w:r>
      <w:proofErr w:type="spellEnd"/>
      <w:r w:rsidR="00E579BF">
        <w:rPr>
          <w:i/>
          <w:iCs/>
          <w:color w:val="000000"/>
        </w:rPr>
        <w:t>’</w:t>
      </w:r>
      <w:r w:rsidRPr="00014EDE">
        <w:rPr>
          <w:i/>
          <w:iCs/>
          <w:color w:val="000000"/>
        </w:rPr>
        <w:t xml:space="preserve"> </w:t>
      </w:r>
      <w:proofErr w:type="spellStart"/>
      <w:r w:rsidRPr="00014EDE">
        <w:rPr>
          <w:i/>
          <w:iCs/>
          <w:color w:val="000000"/>
        </w:rPr>
        <w:t>êlohim</w:t>
      </w:r>
      <w:proofErr w:type="spellEnd"/>
      <w:r w:rsidRPr="00014EDE">
        <w:rPr>
          <w:i/>
          <w:iCs/>
          <w:color w:val="000000"/>
        </w:rPr>
        <w:t xml:space="preserve"> </w:t>
      </w:r>
      <w:proofErr w:type="spellStart"/>
      <w:r w:rsidRPr="00014EDE">
        <w:rPr>
          <w:i/>
          <w:iCs/>
          <w:color w:val="000000"/>
        </w:rPr>
        <w:t>êt</w:t>
      </w:r>
      <w:proofErr w:type="spellEnd"/>
      <w:r w:rsidRPr="00014EDE">
        <w:rPr>
          <w:i/>
          <w:iCs/>
          <w:color w:val="000000"/>
        </w:rPr>
        <w:t xml:space="preserve"> </w:t>
      </w:r>
      <w:proofErr w:type="spellStart"/>
      <w:r w:rsidRPr="00014EDE">
        <w:rPr>
          <w:i/>
          <w:iCs/>
          <w:color w:val="000000"/>
        </w:rPr>
        <w:t>ha</w:t>
      </w:r>
      <w:r w:rsidR="00E579BF">
        <w:rPr>
          <w:i/>
          <w:iCs/>
          <w:color w:val="000000"/>
        </w:rPr>
        <w:t>’</w:t>
      </w:r>
      <w:r w:rsidRPr="00014EDE">
        <w:rPr>
          <w:i/>
          <w:iCs/>
          <w:color w:val="000000"/>
        </w:rPr>
        <w:t>adam</w:t>
      </w:r>
      <w:proofErr w:type="spellEnd"/>
      <w:r w:rsidRPr="00014EDE">
        <w:rPr>
          <w:i/>
          <w:iCs/>
          <w:color w:val="000000"/>
        </w:rPr>
        <w:t xml:space="preserve"> </w:t>
      </w:r>
      <w:proofErr w:type="spellStart"/>
      <w:r w:rsidRPr="00014EDE">
        <w:rPr>
          <w:i/>
          <w:iCs/>
          <w:color w:val="000000"/>
        </w:rPr>
        <w:t>béts</w:t>
      </w:r>
      <w:r w:rsidR="00E579BF">
        <w:rPr>
          <w:i/>
          <w:iCs/>
          <w:color w:val="000000"/>
        </w:rPr>
        <w:t>a</w:t>
      </w:r>
      <w:r w:rsidRPr="00014EDE">
        <w:rPr>
          <w:i/>
          <w:iCs/>
          <w:color w:val="000000"/>
        </w:rPr>
        <w:t>l</w:t>
      </w:r>
      <w:r w:rsidR="00E579BF">
        <w:rPr>
          <w:i/>
          <w:iCs/>
          <w:color w:val="000000"/>
        </w:rPr>
        <w:t>é</w:t>
      </w:r>
      <w:r w:rsidRPr="00014EDE">
        <w:rPr>
          <w:i/>
          <w:iCs/>
          <w:color w:val="000000"/>
        </w:rPr>
        <w:t>m</w:t>
      </w:r>
      <w:r w:rsidR="00E579BF">
        <w:rPr>
          <w:i/>
          <w:iCs/>
          <w:color w:val="000000"/>
        </w:rPr>
        <w:t>ô</w:t>
      </w:r>
      <w:proofErr w:type="spellEnd"/>
      <w:r w:rsidRPr="00014EDE">
        <w:rPr>
          <w:i/>
          <w:iCs/>
          <w:color w:val="000000"/>
        </w:rPr>
        <w:t xml:space="preserve">, </w:t>
      </w:r>
      <w:proofErr w:type="spellStart"/>
      <w:r w:rsidRPr="00014EDE">
        <w:rPr>
          <w:i/>
          <w:iCs/>
          <w:color w:val="000000"/>
        </w:rPr>
        <w:t>bétsêlêm</w:t>
      </w:r>
      <w:proofErr w:type="spellEnd"/>
      <w:r w:rsidRPr="00014EDE">
        <w:rPr>
          <w:i/>
          <w:iCs/>
          <w:color w:val="000000"/>
        </w:rPr>
        <w:t xml:space="preserve"> </w:t>
      </w:r>
      <w:proofErr w:type="spellStart"/>
      <w:r w:rsidRPr="00014EDE">
        <w:rPr>
          <w:i/>
          <w:iCs/>
          <w:color w:val="000000"/>
        </w:rPr>
        <w:t>êlohim</w:t>
      </w:r>
      <w:proofErr w:type="spellEnd"/>
      <w:r w:rsidRPr="00014EDE">
        <w:rPr>
          <w:i/>
          <w:iCs/>
          <w:color w:val="000000"/>
        </w:rPr>
        <w:t xml:space="preserve"> </w:t>
      </w:r>
      <w:proofErr w:type="spellStart"/>
      <w:r w:rsidRPr="00014EDE">
        <w:rPr>
          <w:i/>
          <w:iCs/>
          <w:color w:val="000000"/>
        </w:rPr>
        <w:t>bara</w:t>
      </w:r>
      <w:proofErr w:type="spellEnd"/>
      <w:r w:rsidR="00E579BF">
        <w:rPr>
          <w:i/>
          <w:iCs/>
          <w:color w:val="000000"/>
        </w:rPr>
        <w:t>’</w:t>
      </w:r>
      <w:r w:rsidRPr="00014EDE">
        <w:rPr>
          <w:i/>
          <w:iCs/>
          <w:color w:val="000000"/>
        </w:rPr>
        <w:t xml:space="preserve"> </w:t>
      </w:r>
      <w:r w:rsidR="000A77A7">
        <w:rPr>
          <w:i/>
          <w:iCs/>
          <w:color w:val="000000"/>
        </w:rPr>
        <w:t>‘</w:t>
      </w:r>
      <w:proofErr w:type="spellStart"/>
      <w:r w:rsidRPr="00014EDE">
        <w:rPr>
          <w:i/>
          <w:iCs/>
          <w:color w:val="000000"/>
        </w:rPr>
        <w:t>ét</w:t>
      </w:r>
      <w:r w:rsidR="00E579BF">
        <w:rPr>
          <w:i/>
          <w:iCs/>
          <w:color w:val="000000"/>
        </w:rPr>
        <w:t>ô</w:t>
      </w:r>
      <w:proofErr w:type="spellEnd"/>
      <w:r w:rsidRPr="00014EDE">
        <w:rPr>
          <w:i/>
          <w:iCs/>
          <w:color w:val="000000"/>
        </w:rPr>
        <w:t xml:space="preserve"> ; </w:t>
      </w:r>
      <w:proofErr w:type="spellStart"/>
      <w:r w:rsidRPr="00014EDE">
        <w:rPr>
          <w:i/>
          <w:iCs/>
          <w:color w:val="000000"/>
        </w:rPr>
        <w:t>zakar</w:t>
      </w:r>
      <w:proofErr w:type="spellEnd"/>
      <w:r w:rsidRPr="00014EDE">
        <w:rPr>
          <w:i/>
          <w:iCs/>
          <w:color w:val="000000"/>
        </w:rPr>
        <w:t xml:space="preserve"> </w:t>
      </w:r>
      <w:proofErr w:type="spellStart"/>
      <w:r w:rsidR="00E579BF">
        <w:rPr>
          <w:i/>
          <w:iCs/>
          <w:color w:val="000000"/>
        </w:rPr>
        <w:t>ou</w:t>
      </w:r>
      <w:r w:rsidRPr="00014EDE">
        <w:rPr>
          <w:i/>
          <w:iCs/>
          <w:color w:val="000000"/>
        </w:rPr>
        <w:t>nék</w:t>
      </w:r>
      <w:r w:rsidR="00E579BF">
        <w:rPr>
          <w:i/>
          <w:iCs/>
          <w:color w:val="000000"/>
        </w:rPr>
        <w:t>ê</w:t>
      </w:r>
      <w:r w:rsidRPr="00014EDE">
        <w:rPr>
          <w:i/>
          <w:iCs/>
          <w:color w:val="000000"/>
        </w:rPr>
        <w:t>bah</w:t>
      </w:r>
      <w:proofErr w:type="spellEnd"/>
      <w:r w:rsidRPr="00014EDE">
        <w:rPr>
          <w:i/>
          <w:iCs/>
          <w:color w:val="000000"/>
        </w:rPr>
        <w:t xml:space="preserve">, </w:t>
      </w:r>
      <w:proofErr w:type="spellStart"/>
      <w:r w:rsidRPr="00014EDE">
        <w:rPr>
          <w:i/>
          <w:iCs/>
          <w:color w:val="000000"/>
        </w:rPr>
        <w:t>bara</w:t>
      </w:r>
      <w:proofErr w:type="spellEnd"/>
      <w:r w:rsidR="00E579BF">
        <w:rPr>
          <w:i/>
          <w:iCs/>
          <w:color w:val="000000"/>
        </w:rPr>
        <w:t>’</w:t>
      </w:r>
      <w:r w:rsidRPr="00014EDE">
        <w:rPr>
          <w:i/>
          <w:iCs/>
          <w:color w:val="000000"/>
        </w:rPr>
        <w:t xml:space="preserve"> </w:t>
      </w:r>
      <w:r w:rsidR="000A77A7">
        <w:rPr>
          <w:i/>
          <w:iCs/>
          <w:color w:val="000000"/>
        </w:rPr>
        <w:t>‘</w:t>
      </w:r>
      <w:proofErr w:type="spellStart"/>
      <w:r w:rsidR="00E579BF">
        <w:rPr>
          <w:i/>
          <w:iCs/>
          <w:color w:val="000000"/>
        </w:rPr>
        <w:t>ô</w:t>
      </w:r>
      <w:r w:rsidRPr="00014EDE">
        <w:rPr>
          <w:i/>
          <w:iCs/>
          <w:color w:val="000000"/>
        </w:rPr>
        <w:t>tam</w:t>
      </w:r>
      <w:proofErr w:type="spellEnd"/>
      <w:r w:rsidRPr="00014EDE">
        <w:rPr>
          <w:i/>
          <w:iCs/>
          <w:color w:val="000000"/>
        </w:rPr>
        <w:t xml:space="preserve">. </w:t>
      </w:r>
    </w:p>
    <w:p w14:paraId="3CE51FCF" w14:textId="676BBE63" w:rsidR="00A62DBA" w:rsidRPr="00014EDE" w:rsidRDefault="00357330" w:rsidP="00A62DBA">
      <w:pPr>
        <w:jc w:val="both"/>
        <w:rPr>
          <w:color w:val="000000"/>
        </w:rPr>
      </w:pPr>
      <w:r>
        <w:rPr>
          <w:color w:val="000000"/>
        </w:rPr>
        <w:t>« </w:t>
      </w:r>
      <w:r w:rsidR="00A62DBA" w:rsidRPr="00014EDE">
        <w:rPr>
          <w:color w:val="000000"/>
        </w:rPr>
        <w:t>Et il créa, dieux, le terreux</w:t>
      </w:r>
      <w:r w:rsidR="0089701C">
        <w:rPr>
          <w:rStyle w:val="Appelnotedebasdep"/>
          <w:color w:val="000000"/>
        </w:rPr>
        <w:footnoteReference w:id="64"/>
      </w:r>
      <w:r w:rsidR="00A62DBA" w:rsidRPr="00014EDE">
        <w:rPr>
          <w:color w:val="000000"/>
        </w:rPr>
        <w:t xml:space="preserve"> dans son image, dans une image dieux le créa ; mâle et femelle, il les créa</w:t>
      </w:r>
      <w:r>
        <w:rPr>
          <w:rStyle w:val="Appelnotedebasdep"/>
          <w:color w:val="000000"/>
        </w:rPr>
        <w:footnoteReference w:id="65"/>
      </w:r>
      <w:r w:rsidR="00A62DBA" w:rsidRPr="00014EDE">
        <w:rPr>
          <w:color w:val="000000"/>
        </w:rPr>
        <w:t>.</w:t>
      </w:r>
      <w:r>
        <w:rPr>
          <w:color w:val="000000"/>
        </w:rPr>
        <w:t> »</w:t>
      </w:r>
    </w:p>
    <w:p w14:paraId="207A08D7" w14:textId="56CAB9D9" w:rsidR="006B72CF" w:rsidRDefault="004261BB" w:rsidP="00A62DBA">
      <w:pPr>
        <w:jc w:val="both"/>
        <w:rPr>
          <w:color w:val="000000"/>
        </w:rPr>
      </w:pPr>
      <w:r w:rsidRPr="00014EDE">
        <w:rPr>
          <w:color w:val="000000"/>
        </w:rPr>
        <w:t>Le passage présente certes de manière séparée le genre</w:t>
      </w:r>
      <w:r>
        <w:rPr>
          <w:color w:val="000000"/>
        </w:rPr>
        <w:t xml:space="preserve"> masculin (</w:t>
      </w:r>
      <w:proofErr w:type="spellStart"/>
      <w:r w:rsidR="00357330" w:rsidRPr="00014EDE">
        <w:rPr>
          <w:rFonts w:hint="cs"/>
          <w:color w:val="000000"/>
        </w:rPr>
        <w:t>זָכָר</w:t>
      </w:r>
      <w:proofErr w:type="spellEnd"/>
      <w:r w:rsidR="00357330">
        <w:rPr>
          <w:color w:val="000000"/>
        </w:rPr>
        <w:t>,</w:t>
      </w:r>
      <w:r w:rsidR="00357330">
        <w:rPr>
          <w:i/>
          <w:iCs/>
          <w:color w:val="000000"/>
        </w:rPr>
        <w:t xml:space="preserve"> </w:t>
      </w:r>
      <w:proofErr w:type="spellStart"/>
      <w:r>
        <w:rPr>
          <w:i/>
          <w:iCs/>
          <w:color w:val="000000"/>
        </w:rPr>
        <w:t>zakar</w:t>
      </w:r>
      <w:proofErr w:type="spellEnd"/>
      <w:r>
        <w:rPr>
          <w:color w:val="000000"/>
        </w:rPr>
        <w:t>, « mâle ») et le genre féminin (</w:t>
      </w:r>
      <w:proofErr w:type="spellStart"/>
      <w:r w:rsidR="00357330">
        <w:t>נְקֵבָה</w:t>
      </w:r>
      <w:proofErr w:type="spellEnd"/>
      <w:r w:rsidR="00357330">
        <w:t xml:space="preserve">, </w:t>
      </w:r>
      <w:proofErr w:type="spellStart"/>
      <w:r>
        <w:rPr>
          <w:i/>
          <w:iCs/>
          <w:color w:val="000000"/>
        </w:rPr>
        <w:t>nékébah</w:t>
      </w:r>
      <w:proofErr w:type="spellEnd"/>
      <w:r>
        <w:rPr>
          <w:color w:val="000000"/>
        </w:rPr>
        <w:t xml:space="preserve">, « femelle »). On pourrait même </w:t>
      </w:r>
      <w:r w:rsidR="006B72CF">
        <w:rPr>
          <w:color w:val="000000"/>
        </w:rPr>
        <w:t xml:space="preserve">considérer qu’il présente entre eux une complémentarité. En effet, le mot employé pour désigner le « mâle » </w:t>
      </w:r>
      <w:r w:rsidR="00357330">
        <w:rPr>
          <w:color w:val="000000"/>
        </w:rPr>
        <w:t>pourrait dériver</w:t>
      </w:r>
      <w:r w:rsidR="006B72CF">
        <w:rPr>
          <w:color w:val="000000"/>
        </w:rPr>
        <w:t xml:space="preserve"> du radical verbal </w:t>
      </w:r>
      <w:proofErr w:type="spellStart"/>
      <w:r w:rsidR="006B72CF">
        <w:t>זכר</w:t>
      </w:r>
      <w:proofErr w:type="spellEnd"/>
      <w:r w:rsidR="006B72CF">
        <w:t xml:space="preserve"> </w:t>
      </w:r>
      <w:proofErr w:type="spellStart"/>
      <w:r w:rsidR="006B72CF">
        <w:rPr>
          <w:i/>
          <w:iCs/>
        </w:rPr>
        <w:t>zkr</w:t>
      </w:r>
      <w:proofErr w:type="spellEnd"/>
      <w:r w:rsidR="006B72CF">
        <w:t xml:space="preserve"> signifiant « piquer, percer »</w:t>
      </w:r>
      <w:r w:rsidR="00357330">
        <w:rPr>
          <w:rStyle w:val="Appelnotedebasdep"/>
        </w:rPr>
        <w:footnoteReference w:id="66"/>
      </w:r>
      <w:r w:rsidR="006B72CF">
        <w:t>, tandis que le mot désignant la « femelle »</w:t>
      </w:r>
      <w:r w:rsidR="00357330">
        <w:t xml:space="preserve"> dérive de </w:t>
      </w:r>
      <w:proofErr w:type="spellStart"/>
      <w:r w:rsidR="00357330">
        <w:t>נקב</w:t>
      </w:r>
      <w:proofErr w:type="spellEnd"/>
      <w:r w:rsidR="00357330">
        <w:t xml:space="preserve"> « trouer » et signifie « ce qui est troué »</w:t>
      </w:r>
      <w:r w:rsidR="00357330">
        <w:rPr>
          <w:rStyle w:val="Appelnotedebasdep"/>
        </w:rPr>
        <w:footnoteReference w:id="67"/>
      </w:r>
      <w:r w:rsidR="00357330">
        <w:t xml:space="preserve">. </w:t>
      </w:r>
      <w:r w:rsidR="006B72CF">
        <w:t>Cependant</w:t>
      </w:r>
      <w:r w:rsidR="00357330">
        <w:t>, cette séparation est présentée comme ambiguë, notamment en raison de la répétition du verbe « créa » (</w:t>
      </w:r>
      <w:r w:rsidR="00357330" w:rsidRPr="00014EDE">
        <w:rPr>
          <w:rFonts w:hint="cs"/>
          <w:color w:val="000000"/>
        </w:rPr>
        <w:t>בָּ</w:t>
      </w:r>
      <w:proofErr w:type="spellStart"/>
      <w:r w:rsidR="00357330" w:rsidRPr="00014EDE">
        <w:rPr>
          <w:rFonts w:hint="cs"/>
          <w:color w:val="000000"/>
        </w:rPr>
        <w:t>רָא</w:t>
      </w:r>
      <w:proofErr w:type="spellEnd"/>
      <w:r w:rsidR="00357330">
        <w:t>) avec, à chaque fois, un complément d’un nombre différent : au singulier dans le premier cas (</w:t>
      </w:r>
      <w:r w:rsidR="00357330" w:rsidRPr="00014EDE">
        <w:rPr>
          <w:rFonts w:hint="cs"/>
          <w:color w:val="000000"/>
        </w:rPr>
        <w:t>בָּ</w:t>
      </w:r>
      <w:proofErr w:type="spellStart"/>
      <w:r w:rsidR="00357330" w:rsidRPr="00014EDE">
        <w:rPr>
          <w:rFonts w:hint="cs"/>
          <w:color w:val="000000"/>
        </w:rPr>
        <w:t>רָא</w:t>
      </w:r>
      <w:proofErr w:type="spellEnd"/>
      <w:r w:rsidR="00357330" w:rsidRPr="00014EDE">
        <w:rPr>
          <w:color w:val="000000"/>
        </w:rPr>
        <w:t xml:space="preserve"> </w:t>
      </w:r>
      <w:proofErr w:type="spellStart"/>
      <w:r w:rsidR="00357330" w:rsidRPr="00014EDE">
        <w:rPr>
          <w:rFonts w:hint="cs"/>
          <w:color w:val="000000"/>
        </w:rPr>
        <w:t>אֹתו</w:t>
      </w:r>
      <w:proofErr w:type="spellEnd"/>
      <w:r w:rsidR="00357330" w:rsidRPr="00014EDE">
        <w:rPr>
          <w:rFonts w:hint="cs"/>
          <w:color w:val="000000"/>
        </w:rPr>
        <w:t>ֹ</w:t>
      </w:r>
      <w:r w:rsidR="00357330">
        <w:rPr>
          <w:color w:val="000000"/>
        </w:rPr>
        <w:t xml:space="preserve">, </w:t>
      </w:r>
      <w:proofErr w:type="spellStart"/>
      <w:r w:rsidR="00357330">
        <w:rPr>
          <w:i/>
          <w:iCs/>
          <w:color w:val="000000"/>
        </w:rPr>
        <w:t>bara</w:t>
      </w:r>
      <w:proofErr w:type="spellEnd"/>
      <w:r w:rsidR="00357330">
        <w:rPr>
          <w:i/>
          <w:iCs/>
          <w:color w:val="000000"/>
        </w:rPr>
        <w:t xml:space="preserve">’ </w:t>
      </w:r>
      <w:r w:rsidR="000A77A7">
        <w:rPr>
          <w:i/>
          <w:iCs/>
          <w:color w:val="000000"/>
        </w:rPr>
        <w:t>‘</w:t>
      </w:r>
      <w:proofErr w:type="spellStart"/>
      <w:r w:rsidR="00357330">
        <w:rPr>
          <w:i/>
          <w:iCs/>
          <w:color w:val="000000"/>
        </w:rPr>
        <w:t>étô</w:t>
      </w:r>
      <w:proofErr w:type="spellEnd"/>
      <w:r w:rsidR="00357330">
        <w:rPr>
          <w:color w:val="000000"/>
        </w:rPr>
        <w:t xml:space="preserve">, « il </w:t>
      </w:r>
      <w:r w:rsidR="00357330">
        <w:rPr>
          <w:i/>
          <w:iCs/>
          <w:color w:val="000000"/>
        </w:rPr>
        <w:t>le</w:t>
      </w:r>
      <w:r w:rsidR="00357330">
        <w:rPr>
          <w:color w:val="000000"/>
        </w:rPr>
        <w:t xml:space="preserve"> créa »), au pluriel dans le second (</w:t>
      </w:r>
      <w:r w:rsidR="00357330" w:rsidRPr="00014EDE">
        <w:rPr>
          <w:rFonts w:hint="cs"/>
          <w:color w:val="000000"/>
        </w:rPr>
        <w:t>בָּ</w:t>
      </w:r>
      <w:proofErr w:type="spellStart"/>
      <w:r w:rsidR="00357330" w:rsidRPr="00014EDE">
        <w:rPr>
          <w:rFonts w:hint="cs"/>
          <w:color w:val="000000"/>
        </w:rPr>
        <w:t>רָא</w:t>
      </w:r>
      <w:proofErr w:type="spellEnd"/>
      <w:r w:rsidR="00357330" w:rsidRPr="00014EDE">
        <w:rPr>
          <w:color w:val="000000"/>
        </w:rPr>
        <w:t xml:space="preserve"> </w:t>
      </w:r>
      <w:proofErr w:type="spellStart"/>
      <w:r w:rsidR="00357330" w:rsidRPr="00014EDE">
        <w:rPr>
          <w:rFonts w:hint="cs"/>
          <w:color w:val="000000"/>
        </w:rPr>
        <w:t>אֹתָם</w:t>
      </w:r>
      <w:proofErr w:type="spellEnd"/>
      <w:r w:rsidR="00357330">
        <w:rPr>
          <w:color w:val="000000"/>
        </w:rPr>
        <w:t xml:space="preserve">, </w:t>
      </w:r>
      <w:proofErr w:type="spellStart"/>
      <w:r w:rsidR="00357330">
        <w:rPr>
          <w:i/>
          <w:iCs/>
          <w:color w:val="000000"/>
        </w:rPr>
        <w:t>bara</w:t>
      </w:r>
      <w:proofErr w:type="spellEnd"/>
      <w:r w:rsidR="00357330">
        <w:rPr>
          <w:i/>
          <w:iCs/>
          <w:color w:val="000000"/>
        </w:rPr>
        <w:t xml:space="preserve">’ </w:t>
      </w:r>
      <w:r w:rsidR="000A77A7">
        <w:rPr>
          <w:i/>
          <w:iCs/>
          <w:color w:val="000000"/>
        </w:rPr>
        <w:t>‘</w:t>
      </w:r>
      <w:proofErr w:type="spellStart"/>
      <w:r w:rsidR="00357330">
        <w:rPr>
          <w:i/>
          <w:iCs/>
          <w:color w:val="000000"/>
        </w:rPr>
        <w:t>ôtam</w:t>
      </w:r>
      <w:proofErr w:type="spellEnd"/>
      <w:r w:rsidR="000A77A7">
        <w:rPr>
          <w:color w:val="000000"/>
        </w:rPr>
        <w:t xml:space="preserve">, « il </w:t>
      </w:r>
      <w:r w:rsidR="000A77A7">
        <w:rPr>
          <w:i/>
          <w:iCs/>
          <w:color w:val="000000"/>
        </w:rPr>
        <w:t xml:space="preserve">les </w:t>
      </w:r>
      <w:r w:rsidR="000A77A7">
        <w:rPr>
          <w:color w:val="000000"/>
        </w:rPr>
        <w:t>créa »</w:t>
      </w:r>
      <w:r w:rsidR="00357330">
        <w:rPr>
          <w:color w:val="000000"/>
        </w:rPr>
        <w:t>)</w:t>
      </w:r>
      <w:r w:rsidR="00745E92">
        <w:rPr>
          <w:rStyle w:val="Appelnotedebasdep"/>
          <w:color w:val="000000"/>
        </w:rPr>
        <w:footnoteReference w:id="68"/>
      </w:r>
      <w:r w:rsidR="00357330">
        <w:rPr>
          <w:color w:val="000000"/>
        </w:rPr>
        <w:t>.</w:t>
      </w:r>
      <w:r w:rsidR="000A77A7">
        <w:rPr>
          <w:color w:val="000000"/>
        </w:rPr>
        <w:t xml:space="preserve"> Dans le second cas, masculin et féminin sont bien séparés. Dans le premier, ils sont confondus en une même entité, </w:t>
      </w:r>
      <w:proofErr w:type="spellStart"/>
      <w:r w:rsidR="000A77A7" w:rsidRPr="00014EDE">
        <w:rPr>
          <w:rFonts w:hint="cs"/>
          <w:color w:val="000000"/>
        </w:rPr>
        <w:t>הָאָדָם</w:t>
      </w:r>
      <w:proofErr w:type="spellEnd"/>
      <w:r w:rsidR="000A77A7">
        <w:rPr>
          <w:color w:val="000000"/>
        </w:rPr>
        <w:t xml:space="preserve">, </w:t>
      </w:r>
      <w:proofErr w:type="spellStart"/>
      <w:r w:rsidR="000A77A7">
        <w:rPr>
          <w:i/>
          <w:iCs/>
          <w:color w:val="000000"/>
        </w:rPr>
        <w:t>ha’adam</w:t>
      </w:r>
      <w:proofErr w:type="spellEnd"/>
      <w:r w:rsidR="000A77A7">
        <w:rPr>
          <w:color w:val="000000"/>
        </w:rPr>
        <w:t xml:space="preserve">, « le </w:t>
      </w:r>
      <w:r w:rsidR="0089701C">
        <w:rPr>
          <w:color w:val="000000"/>
        </w:rPr>
        <w:t>terreux</w:t>
      </w:r>
      <w:r w:rsidR="000A77A7">
        <w:rPr>
          <w:color w:val="000000"/>
        </w:rPr>
        <w:t> », qui est en même temps masculin et féminin</w:t>
      </w:r>
      <w:r w:rsidR="00CB100D">
        <w:rPr>
          <w:rStyle w:val="Appelnotedebasdep"/>
          <w:color w:val="000000"/>
        </w:rPr>
        <w:footnoteReference w:id="69"/>
      </w:r>
      <w:r w:rsidR="000A77A7">
        <w:rPr>
          <w:color w:val="000000"/>
        </w:rPr>
        <w:t>.</w:t>
      </w:r>
      <w:r w:rsidR="00477501">
        <w:rPr>
          <w:color w:val="000000"/>
        </w:rPr>
        <w:t xml:space="preserve"> De plus, cet être</w:t>
      </w:r>
      <w:r w:rsidR="0053335D">
        <w:rPr>
          <w:color w:val="000000"/>
        </w:rPr>
        <w:t xml:space="preserve"> </w:t>
      </w:r>
      <w:r w:rsidR="00477501">
        <w:rPr>
          <w:color w:val="000000"/>
        </w:rPr>
        <w:t>est présenté comme créé « dans une image » (</w:t>
      </w:r>
      <w:r w:rsidR="00477501" w:rsidRPr="00014EDE">
        <w:rPr>
          <w:rFonts w:hint="cs"/>
          <w:color w:val="000000"/>
        </w:rPr>
        <w:t>בְּ</w:t>
      </w:r>
      <w:proofErr w:type="spellStart"/>
      <w:r w:rsidR="00477501" w:rsidRPr="00014EDE">
        <w:rPr>
          <w:rFonts w:hint="cs"/>
          <w:color w:val="000000"/>
        </w:rPr>
        <w:t>צֶלֶם</w:t>
      </w:r>
      <w:proofErr w:type="spellEnd"/>
      <w:r w:rsidR="00477501">
        <w:rPr>
          <w:color w:val="000000"/>
        </w:rPr>
        <w:t xml:space="preserve">, </w:t>
      </w:r>
      <w:proofErr w:type="spellStart"/>
      <w:r w:rsidR="00477501">
        <w:rPr>
          <w:i/>
          <w:iCs/>
          <w:color w:val="000000"/>
        </w:rPr>
        <w:t>bétsêlêm</w:t>
      </w:r>
      <w:proofErr w:type="spellEnd"/>
      <w:r w:rsidR="00477501">
        <w:rPr>
          <w:color w:val="000000"/>
        </w:rPr>
        <w:t xml:space="preserve">) d’une entité qui est elle-même à la fois pluriel et singulier : pluriel parce que le nom qui la désigne – </w:t>
      </w:r>
      <w:proofErr w:type="spellStart"/>
      <w:r w:rsidR="00477501" w:rsidRPr="00014EDE">
        <w:rPr>
          <w:rFonts w:hint="cs"/>
          <w:color w:val="000000"/>
        </w:rPr>
        <w:t>אֱלֹהִים</w:t>
      </w:r>
      <w:proofErr w:type="spellEnd"/>
      <w:r w:rsidR="00477501">
        <w:rPr>
          <w:color w:val="000000"/>
        </w:rPr>
        <w:t xml:space="preserve">, </w:t>
      </w:r>
      <w:proofErr w:type="spellStart"/>
      <w:r w:rsidR="00477501">
        <w:rPr>
          <w:i/>
          <w:iCs/>
          <w:color w:val="000000"/>
        </w:rPr>
        <w:t>êlohim</w:t>
      </w:r>
      <w:proofErr w:type="spellEnd"/>
      <w:r w:rsidR="00477501">
        <w:rPr>
          <w:color w:val="000000"/>
        </w:rPr>
        <w:t xml:space="preserve"> – est grammaticalement le pluriel de </w:t>
      </w:r>
      <w:proofErr w:type="spellStart"/>
      <w:r w:rsidR="00477501" w:rsidRPr="00477501">
        <w:rPr>
          <w:color w:val="000000"/>
        </w:rPr>
        <w:t>אֵל</w:t>
      </w:r>
      <w:proofErr w:type="spellEnd"/>
      <w:r w:rsidR="00477501">
        <w:rPr>
          <w:color w:val="000000"/>
        </w:rPr>
        <w:t xml:space="preserve">, </w:t>
      </w:r>
      <w:proofErr w:type="spellStart"/>
      <w:r w:rsidR="00477501">
        <w:rPr>
          <w:i/>
          <w:iCs/>
          <w:color w:val="000000"/>
        </w:rPr>
        <w:t>él</w:t>
      </w:r>
      <w:proofErr w:type="spellEnd"/>
      <w:r w:rsidR="00477501">
        <w:rPr>
          <w:color w:val="000000"/>
        </w:rPr>
        <w:t xml:space="preserve"> « dieu » ; singulier parce que, malgré cela, le verbe dont il est sujet – </w:t>
      </w:r>
      <w:r w:rsidR="00477501" w:rsidRPr="00014EDE">
        <w:rPr>
          <w:rFonts w:hint="cs"/>
          <w:color w:val="000000"/>
        </w:rPr>
        <w:t>בָּ</w:t>
      </w:r>
      <w:proofErr w:type="spellStart"/>
      <w:r w:rsidR="00477501" w:rsidRPr="00014EDE">
        <w:rPr>
          <w:rFonts w:hint="cs"/>
          <w:color w:val="000000"/>
        </w:rPr>
        <w:t>רָא</w:t>
      </w:r>
      <w:proofErr w:type="spellEnd"/>
      <w:r w:rsidR="00477501">
        <w:rPr>
          <w:color w:val="000000"/>
        </w:rPr>
        <w:t xml:space="preserve">, </w:t>
      </w:r>
      <w:proofErr w:type="spellStart"/>
      <w:r w:rsidR="00477501">
        <w:rPr>
          <w:i/>
          <w:iCs/>
          <w:color w:val="000000"/>
        </w:rPr>
        <w:t>bara</w:t>
      </w:r>
      <w:proofErr w:type="spellEnd"/>
      <w:r w:rsidR="00477501">
        <w:rPr>
          <w:i/>
          <w:iCs/>
          <w:color w:val="000000"/>
        </w:rPr>
        <w:t>’</w:t>
      </w:r>
      <w:r w:rsidR="00477501">
        <w:rPr>
          <w:color w:val="000000"/>
        </w:rPr>
        <w:t>, « créa » – est conjugué au singulier.</w:t>
      </w:r>
      <w:r w:rsidR="00A40CF2">
        <w:rPr>
          <w:color w:val="000000"/>
        </w:rPr>
        <w:t xml:space="preserve"> Par ces deux procédés, masculin et féminin apparaissent comme séparés, mais aussi comme confondus. </w:t>
      </w:r>
    </w:p>
    <w:p w14:paraId="3464CC76" w14:textId="71C07857" w:rsidR="00A62DBA" w:rsidRDefault="00A40CF2" w:rsidP="00745E92">
      <w:pPr>
        <w:jc w:val="both"/>
      </w:pPr>
      <w:r>
        <w:rPr>
          <w:color w:val="000000"/>
        </w:rPr>
        <w:t xml:space="preserve">À cette séparation / non-séparation entre masculin et féminin s’ajoute, dans le verset, une séparation / non-séparation entre « dieux » et « le terreux ». C’est ainsi que j’interpréterais la </w:t>
      </w:r>
      <w:r w:rsidR="00DF29E1">
        <w:rPr>
          <w:color w:val="000000"/>
        </w:rPr>
        <w:t>construction de la phrase : le fait qu’elle comporte d’abord un chiasme – « </w:t>
      </w:r>
      <w:r w:rsidR="00DF29E1" w:rsidRPr="00014EDE">
        <w:rPr>
          <w:color w:val="000000"/>
        </w:rPr>
        <w:t>Et il créa, dieux, le terreux dans son image, dans une image dieux le créa</w:t>
      </w:r>
      <w:r w:rsidR="00DF29E1">
        <w:rPr>
          <w:color w:val="000000"/>
        </w:rPr>
        <w:t xml:space="preserve"> » – puis ce qui pourrait être un </w:t>
      </w:r>
      <w:r w:rsidR="00DF29E1">
        <w:rPr>
          <w:color w:val="000000"/>
        </w:rPr>
        <w:lastRenderedPageBreak/>
        <w:t xml:space="preserve">parallélisme – littéralement « dieux créa le ; mâle et femelle créa eux ». Les deux éléments du chiasme se différencient par la présence d’un suffixe possessif dans le premier et par son absence dans le second. On passe ainsi de </w:t>
      </w:r>
      <w:r w:rsidR="00DF29E1" w:rsidRPr="00014EDE">
        <w:rPr>
          <w:rFonts w:hint="cs"/>
          <w:color w:val="000000"/>
        </w:rPr>
        <w:t>בְּ</w:t>
      </w:r>
      <w:proofErr w:type="spellStart"/>
      <w:r w:rsidR="00DF29E1" w:rsidRPr="00014EDE">
        <w:rPr>
          <w:rFonts w:hint="cs"/>
          <w:color w:val="000000"/>
        </w:rPr>
        <w:t>צַלְמו</w:t>
      </w:r>
      <w:proofErr w:type="spellEnd"/>
      <w:r w:rsidR="00DF29E1" w:rsidRPr="00014EDE">
        <w:rPr>
          <w:rFonts w:hint="cs"/>
          <w:color w:val="000000"/>
        </w:rPr>
        <w:t>ֹ</w:t>
      </w:r>
      <w:r w:rsidR="00DF29E1" w:rsidRPr="00014EDE">
        <w:rPr>
          <w:color w:val="000000"/>
        </w:rPr>
        <w:t xml:space="preserve">, </w:t>
      </w:r>
      <w:proofErr w:type="spellStart"/>
      <w:r w:rsidR="00DF29E1">
        <w:rPr>
          <w:i/>
          <w:iCs/>
          <w:color w:val="000000"/>
        </w:rPr>
        <w:t>bétsalémô</w:t>
      </w:r>
      <w:proofErr w:type="spellEnd"/>
      <w:r w:rsidR="00DF29E1">
        <w:rPr>
          <w:color w:val="000000"/>
        </w:rPr>
        <w:t xml:space="preserve">, « dans son image » à </w:t>
      </w:r>
      <w:r w:rsidR="00DF29E1" w:rsidRPr="00014EDE">
        <w:rPr>
          <w:rFonts w:hint="cs"/>
          <w:color w:val="000000"/>
        </w:rPr>
        <w:t>בְּ</w:t>
      </w:r>
      <w:proofErr w:type="spellStart"/>
      <w:r w:rsidR="00DF29E1" w:rsidRPr="00014EDE">
        <w:rPr>
          <w:rFonts w:hint="cs"/>
          <w:color w:val="000000"/>
        </w:rPr>
        <w:t>צֶלֶם</w:t>
      </w:r>
      <w:proofErr w:type="spellEnd"/>
      <w:r w:rsidR="00DF29E1">
        <w:rPr>
          <w:color w:val="000000"/>
        </w:rPr>
        <w:t xml:space="preserve">, </w:t>
      </w:r>
      <w:proofErr w:type="spellStart"/>
      <w:r w:rsidR="00DF29E1">
        <w:rPr>
          <w:i/>
          <w:iCs/>
          <w:color w:val="000000"/>
        </w:rPr>
        <w:t>bétsêlêm</w:t>
      </w:r>
      <w:proofErr w:type="spellEnd"/>
      <w:r w:rsidR="00DF29E1">
        <w:rPr>
          <w:color w:val="000000"/>
        </w:rPr>
        <w:t xml:space="preserve">, « dans une image », ce qui marquerait une plus grande distinction vis-à-vis de « dieux ». </w:t>
      </w:r>
      <w:r w:rsidR="007A0A69">
        <w:rPr>
          <w:color w:val="000000"/>
        </w:rPr>
        <w:t xml:space="preserve">On pourrait envisager que le texte superpose deux situations : l’une où le </w:t>
      </w:r>
      <w:r w:rsidR="0089701C">
        <w:rPr>
          <w:color w:val="000000"/>
        </w:rPr>
        <w:t>terreux</w:t>
      </w:r>
      <w:r w:rsidR="007A0A69">
        <w:rPr>
          <w:color w:val="000000"/>
        </w:rPr>
        <w:t xml:space="preserve"> est à l’image de dieux : l’autre où il est </w:t>
      </w:r>
      <w:r w:rsidR="0038460E">
        <w:rPr>
          <w:color w:val="000000"/>
        </w:rPr>
        <w:t>à l’image de quelque d’autre ou d’autre chose, sans qu’on sache de quoi exactement – ou bien, où il est, simplement, une image, u</w:t>
      </w:r>
      <w:r w:rsidR="00123CB9">
        <w:rPr>
          <w:color w:val="000000"/>
        </w:rPr>
        <w:t>ne « figure », une « forme »</w:t>
      </w:r>
      <w:r w:rsidR="00123CB9">
        <w:rPr>
          <w:rStyle w:val="Appelnotedebasdep"/>
          <w:color w:val="000000"/>
        </w:rPr>
        <w:footnoteReference w:id="70"/>
      </w:r>
      <w:r w:rsidR="00123CB9">
        <w:rPr>
          <w:color w:val="000000"/>
        </w:rPr>
        <w:t xml:space="preserve"> </w:t>
      </w:r>
      <w:r w:rsidR="0038460E">
        <w:rPr>
          <w:color w:val="000000"/>
        </w:rPr>
        <w:t xml:space="preserve">– ce qui est un autre sens de </w:t>
      </w:r>
      <w:r w:rsidR="00123CB9">
        <w:t>צֶֽ</w:t>
      </w:r>
      <w:proofErr w:type="spellStart"/>
      <w:r w:rsidR="00123CB9">
        <w:t>לֶם</w:t>
      </w:r>
      <w:proofErr w:type="spellEnd"/>
      <w:r w:rsidR="00123CB9">
        <w:t xml:space="preserve">, </w:t>
      </w:r>
      <w:proofErr w:type="spellStart"/>
      <w:r w:rsidR="00123CB9">
        <w:rPr>
          <w:i/>
          <w:iCs/>
        </w:rPr>
        <w:t>tsêlêm</w:t>
      </w:r>
      <w:proofErr w:type="spellEnd"/>
      <w:r w:rsidR="00123CB9">
        <w:t xml:space="preserve"> – quelque chose de « coupé » – d</w:t>
      </w:r>
      <w:r w:rsidR="0053335D">
        <w:t>u verbe</w:t>
      </w:r>
      <w:r w:rsidR="00123CB9">
        <w:t xml:space="preserve"> </w:t>
      </w:r>
      <w:proofErr w:type="spellStart"/>
      <w:r w:rsidR="00123CB9" w:rsidRPr="00123CB9">
        <w:t>צלם</w:t>
      </w:r>
      <w:proofErr w:type="spellEnd"/>
      <w:r w:rsidR="00123CB9">
        <w:t xml:space="preserve"> </w:t>
      </w:r>
      <w:proofErr w:type="spellStart"/>
      <w:r w:rsidR="00123CB9">
        <w:rPr>
          <w:i/>
          <w:iCs/>
        </w:rPr>
        <w:t>tslm</w:t>
      </w:r>
      <w:proofErr w:type="spellEnd"/>
      <w:r w:rsidR="00123CB9">
        <w:t xml:space="preserve"> « couper »</w:t>
      </w:r>
      <w:r w:rsidR="00123CB9">
        <w:rPr>
          <w:rStyle w:val="Appelnotedebasdep"/>
          <w:color w:val="000000"/>
        </w:rPr>
        <w:footnoteReference w:id="71"/>
      </w:r>
      <w:r w:rsidR="00123CB9">
        <w:t xml:space="preserve">. Dans la première situation, le </w:t>
      </w:r>
      <w:r w:rsidR="0089701C">
        <w:t>terreux</w:t>
      </w:r>
      <w:r w:rsidR="00123CB9">
        <w:t xml:space="preserve"> est très proche de « dieux » – d’autant plus si on donne à צֶֽ</w:t>
      </w:r>
      <w:proofErr w:type="spellStart"/>
      <w:r w:rsidR="00123CB9">
        <w:t>לֶם</w:t>
      </w:r>
      <w:proofErr w:type="spellEnd"/>
      <w:r w:rsidR="00123CB9">
        <w:t xml:space="preserve">, </w:t>
      </w:r>
      <w:proofErr w:type="spellStart"/>
      <w:r w:rsidR="00123CB9">
        <w:rPr>
          <w:i/>
          <w:iCs/>
        </w:rPr>
        <w:t>tsêlêm</w:t>
      </w:r>
      <w:proofErr w:type="spellEnd"/>
      <w:r w:rsidR="00123CB9">
        <w:t xml:space="preserve"> le sens d’ « ombre</w:t>
      </w:r>
      <w:r w:rsidR="00123CB9">
        <w:rPr>
          <w:rStyle w:val="Appelnotedebasdep"/>
        </w:rPr>
        <w:footnoteReference w:id="72"/>
      </w:r>
      <w:r w:rsidR="00123CB9">
        <w:t> » ; dans la seconde,</w:t>
      </w:r>
      <w:r w:rsidR="004D612C">
        <w:t xml:space="preserve"> il en est plus éloigné. Le parallélisme qui suit éclaire encore d’une autre façon le lien entre « dieux » et le (ou les) </w:t>
      </w:r>
      <w:r w:rsidR="0089701C">
        <w:t>terreux</w:t>
      </w:r>
      <w:r w:rsidR="004D612C">
        <w:t xml:space="preserve">(·se)(s). </w:t>
      </w:r>
      <w:r w:rsidR="0053335D">
        <w:t>Si</w:t>
      </w:r>
      <w:r w:rsidR="004D612C">
        <w:t xml:space="preserve"> le pluriel « dieux » est le sujet d’un verbe au singulier, rien n’empêche de voir « mâle et femelle » (</w:t>
      </w:r>
      <w:proofErr w:type="spellStart"/>
      <w:r w:rsidR="004D612C" w:rsidRPr="00014EDE">
        <w:rPr>
          <w:rFonts w:hint="cs"/>
          <w:color w:val="000000"/>
        </w:rPr>
        <w:t>זָכָר</w:t>
      </w:r>
      <w:proofErr w:type="spellEnd"/>
      <w:r w:rsidR="004D612C" w:rsidRPr="00014EDE">
        <w:rPr>
          <w:color w:val="000000"/>
        </w:rPr>
        <w:t xml:space="preserve"> </w:t>
      </w:r>
      <w:proofErr w:type="spellStart"/>
      <w:r w:rsidR="004D612C" w:rsidRPr="00014EDE">
        <w:rPr>
          <w:rFonts w:hint="cs"/>
          <w:color w:val="000000"/>
        </w:rPr>
        <w:t>וּנְקֵבָה</w:t>
      </w:r>
      <w:proofErr w:type="spellEnd"/>
      <w:r w:rsidR="004D612C">
        <w:rPr>
          <w:color w:val="000000"/>
        </w:rPr>
        <w:t xml:space="preserve">, </w:t>
      </w:r>
      <w:proofErr w:type="spellStart"/>
      <w:r w:rsidR="004D612C">
        <w:rPr>
          <w:i/>
          <w:iCs/>
          <w:color w:val="000000"/>
        </w:rPr>
        <w:t>zakar</w:t>
      </w:r>
      <w:proofErr w:type="spellEnd"/>
      <w:r w:rsidR="004D612C">
        <w:rPr>
          <w:i/>
          <w:iCs/>
          <w:color w:val="000000"/>
        </w:rPr>
        <w:t xml:space="preserve"> </w:t>
      </w:r>
      <w:proofErr w:type="spellStart"/>
      <w:r w:rsidR="004D612C">
        <w:rPr>
          <w:i/>
          <w:iCs/>
          <w:color w:val="000000"/>
        </w:rPr>
        <w:t>ounékêbah</w:t>
      </w:r>
      <w:proofErr w:type="spellEnd"/>
      <w:r w:rsidR="004D612C">
        <w:rPr>
          <w:color w:val="000000"/>
        </w:rPr>
        <w:t>) comme le sujet du verbe au singulier qui suit. Dans ce cas, c’est « mâle et femelle » qui « </w:t>
      </w:r>
      <w:proofErr w:type="spellStart"/>
      <w:r w:rsidR="004D612C">
        <w:rPr>
          <w:color w:val="000000"/>
        </w:rPr>
        <w:t>cré</w:t>
      </w:r>
      <w:proofErr w:type="spellEnd"/>
      <w:r w:rsidR="004D612C">
        <w:rPr>
          <w:color w:val="000000"/>
        </w:rPr>
        <w:t>[</w:t>
      </w:r>
      <w:proofErr w:type="spellStart"/>
      <w:r w:rsidR="004D612C">
        <w:rPr>
          <w:color w:val="000000"/>
        </w:rPr>
        <w:t>erait</w:t>
      </w:r>
      <w:proofErr w:type="spellEnd"/>
      <w:r w:rsidR="004D612C">
        <w:rPr>
          <w:color w:val="000000"/>
        </w:rPr>
        <w:t xml:space="preserve">] » eux. Si on admet cette hypothèse, « mâle et femelle » pourrait être une façon de désigner « dieux » et le sens de « dans son image » serait </w:t>
      </w:r>
      <w:r w:rsidR="0053335D">
        <w:rPr>
          <w:color w:val="000000"/>
        </w:rPr>
        <w:t>« </w:t>
      </w:r>
      <w:r w:rsidR="004D612C">
        <w:rPr>
          <w:color w:val="000000"/>
        </w:rPr>
        <w:t>dans une binarité de genre déjà présente dans dieux</w:t>
      </w:r>
      <w:r w:rsidR="0053335D">
        <w:rPr>
          <w:color w:val="000000"/>
        </w:rPr>
        <w:t> »</w:t>
      </w:r>
      <w:r w:rsidR="004D612C">
        <w:rPr>
          <w:color w:val="000000"/>
        </w:rPr>
        <w:t xml:space="preserve"> : dieux serait pluriel et singulier à la fois parce qu’il serait </w:t>
      </w:r>
      <w:r w:rsidR="0053335D">
        <w:rPr>
          <w:color w:val="000000"/>
        </w:rPr>
        <w:t xml:space="preserve">lui aussi </w:t>
      </w:r>
      <w:r w:rsidR="004D612C">
        <w:rPr>
          <w:color w:val="000000"/>
        </w:rPr>
        <w:t>en même temps masculin et féminin ; c’est pourquoi il créerait « dans son image » un « </w:t>
      </w:r>
      <w:r w:rsidR="0089701C">
        <w:rPr>
          <w:color w:val="000000"/>
        </w:rPr>
        <w:t>terreux</w:t>
      </w:r>
      <w:r w:rsidR="004D612C">
        <w:rPr>
          <w:color w:val="000000"/>
        </w:rPr>
        <w:t> » lui-même pluriel, « mâle et femelle » tout à la fois</w:t>
      </w:r>
      <w:r w:rsidR="0053335D">
        <w:rPr>
          <w:rStyle w:val="Appelnotedebasdep"/>
          <w:color w:val="000000"/>
        </w:rPr>
        <w:footnoteReference w:id="73"/>
      </w:r>
      <w:r w:rsidR="004D612C">
        <w:rPr>
          <w:color w:val="000000"/>
        </w:rPr>
        <w:t>.</w:t>
      </w:r>
      <w:r w:rsidR="00745E92">
        <w:rPr>
          <w:color w:val="000000"/>
        </w:rPr>
        <w:t xml:space="preserve"> </w:t>
      </w:r>
    </w:p>
    <w:p w14:paraId="7616EEA9" w14:textId="38976F5F" w:rsidR="00402F0A" w:rsidRPr="00402F0A" w:rsidRDefault="00745E92" w:rsidP="0089701C">
      <w:pPr>
        <w:jc w:val="both"/>
        <w:rPr>
          <w:color w:val="000000"/>
          <w:lang w:val="fr-FR"/>
        </w:rPr>
      </w:pPr>
      <w:r>
        <w:t xml:space="preserve">Ainsi, </w:t>
      </w:r>
      <w:r w:rsidR="00166CB2">
        <w:t xml:space="preserve">contrairement à </w:t>
      </w:r>
      <w:r w:rsidR="0053335D">
        <w:t>ce que dit</w:t>
      </w:r>
      <w:r w:rsidR="00166CB2">
        <w:t xml:space="preserve"> la </w:t>
      </w:r>
      <w:r w:rsidR="00166CB2">
        <w:rPr>
          <w:i/>
          <w:iCs/>
          <w:color w:val="000000"/>
          <w:lang w:val="fr-FR"/>
        </w:rPr>
        <w:t>Lettre aux évêques de l’Église catholique… dans le monde</w:t>
      </w:r>
      <w:r w:rsidR="00166CB2">
        <w:rPr>
          <w:color w:val="000000"/>
          <w:lang w:val="fr-FR"/>
        </w:rPr>
        <w:t xml:space="preserve">, </w:t>
      </w:r>
      <w:r w:rsidR="00166CB2">
        <w:rPr>
          <w:i/>
          <w:iCs/>
          <w:color w:val="000000"/>
          <w:lang w:val="fr-FR"/>
        </w:rPr>
        <w:t>Genèse</w:t>
      </w:r>
      <w:r w:rsidR="00166CB2">
        <w:rPr>
          <w:color w:val="000000"/>
          <w:lang w:val="fr-FR"/>
        </w:rPr>
        <w:t xml:space="preserve"> 1, 27 ne présente pas une séparation nette entre masculin et féminin – pas plus qu’il ne présente de séparation nette entre humain et divin.</w:t>
      </w:r>
      <w:r w:rsidR="00402F0A">
        <w:rPr>
          <w:color w:val="000000"/>
          <w:lang w:val="fr-FR"/>
        </w:rPr>
        <w:t xml:space="preserve"> La </w:t>
      </w:r>
      <w:r w:rsidR="00402F0A">
        <w:rPr>
          <w:i/>
          <w:iCs/>
          <w:color w:val="000000"/>
          <w:lang w:val="fr-FR"/>
        </w:rPr>
        <w:t>Lettre</w:t>
      </w:r>
      <w:r w:rsidR="00402F0A">
        <w:rPr>
          <w:color w:val="000000"/>
          <w:lang w:val="fr-FR"/>
        </w:rPr>
        <w:t xml:space="preserve"> participe </w:t>
      </w:r>
      <w:r w:rsidR="0053335D">
        <w:rPr>
          <w:color w:val="000000"/>
          <w:lang w:val="fr-FR"/>
        </w:rPr>
        <w:t xml:space="preserve">ainsi </w:t>
      </w:r>
      <w:r w:rsidR="00402F0A">
        <w:rPr>
          <w:color w:val="000000"/>
          <w:lang w:val="fr-FR"/>
        </w:rPr>
        <w:t>d’une construction culturelle des genres masculin et féminin, qui n’a rien de naturel</w:t>
      </w:r>
      <w:r w:rsidR="00402F0A">
        <w:rPr>
          <w:rStyle w:val="Appelnotedebasdep"/>
          <w:color w:val="000000"/>
          <w:lang w:val="fr-FR"/>
        </w:rPr>
        <w:footnoteReference w:id="74"/>
      </w:r>
      <w:r w:rsidR="00402F0A">
        <w:rPr>
          <w:color w:val="000000"/>
          <w:lang w:val="fr-FR"/>
        </w:rPr>
        <w:t xml:space="preserve"> – et peut-être rien de biblique. C’est elle qui, avec d’autres documents de la tradition catholique, sépare le masculin et le féminin et prétend que cette séparation correspond à la réalité</w:t>
      </w:r>
      <w:r w:rsidR="00DF39C5">
        <w:rPr>
          <w:rStyle w:val="Appelnotedebasdep"/>
          <w:color w:val="000000"/>
          <w:lang w:val="fr-FR"/>
        </w:rPr>
        <w:footnoteReference w:id="75"/>
      </w:r>
      <w:r w:rsidR="00402F0A">
        <w:rPr>
          <w:color w:val="000000"/>
          <w:lang w:val="fr-FR"/>
        </w:rPr>
        <w:t xml:space="preserve"> – et à la Bible.</w:t>
      </w:r>
    </w:p>
    <w:p w14:paraId="24AAAFAC" w14:textId="47268FE6" w:rsidR="00166CB2" w:rsidRDefault="00166CB2" w:rsidP="0089701C">
      <w:pPr>
        <w:jc w:val="both"/>
        <w:rPr>
          <w:color w:val="000000"/>
          <w:lang w:val="fr-FR"/>
        </w:rPr>
      </w:pPr>
      <w:r>
        <w:rPr>
          <w:color w:val="000000"/>
          <w:lang w:val="fr-FR"/>
        </w:rPr>
        <w:t xml:space="preserve">Qu’en est-il dans le deuxième chapitre de </w:t>
      </w:r>
      <w:r w:rsidR="0053335D">
        <w:rPr>
          <w:i/>
          <w:iCs/>
          <w:color w:val="000000"/>
          <w:lang w:val="fr-FR"/>
        </w:rPr>
        <w:t>Genèse</w:t>
      </w:r>
      <w:r>
        <w:rPr>
          <w:color w:val="000000"/>
          <w:lang w:val="fr-FR"/>
        </w:rPr>
        <w:t> ?</w:t>
      </w:r>
    </w:p>
    <w:p w14:paraId="7B8C1793" w14:textId="2D6B4FC9" w:rsidR="006601F7" w:rsidRDefault="00166CB2" w:rsidP="0089701C">
      <w:pPr>
        <w:jc w:val="both"/>
        <w:rPr>
          <w:color w:val="000000"/>
          <w:lang w:val="fr-FR"/>
        </w:rPr>
      </w:pPr>
      <w:r>
        <w:rPr>
          <w:i/>
          <w:iCs/>
          <w:color w:val="000000"/>
          <w:lang w:val="fr-FR"/>
        </w:rPr>
        <w:t>Genèse</w:t>
      </w:r>
      <w:r>
        <w:rPr>
          <w:color w:val="000000"/>
          <w:lang w:val="fr-FR"/>
        </w:rPr>
        <w:t xml:space="preserve"> 2, 21-2</w:t>
      </w:r>
      <w:r w:rsidR="00A406FF">
        <w:rPr>
          <w:color w:val="000000"/>
          <w:lang w:val="fr-FR"/>
        </w:rPr>
        <w:t>5</w:t>
      </w:r>
      <w:r>
        <w:rPr>
          <w:color w:val="000000"/>
          <w:lang w:val="fr-FR"/>
        </w:rPr>
        <w:t xml:space="preserve"> </w:t>
      </w:r>
      <w:r w:rsidR="00C708D1">
        <w:rPr>
          <w:color w:val="000000"/>
          <w:lang w:val="fr-FR"/>
        </w:rPr>
        <w:t>peut être compris à partir</w:t>
      </w:r>
      <w:r>
        <w:rPr>
          <w:color w:val="000000"/>
          <w:lang w:val="fr-FR"/>
        </w:rPr>
        <w:t xml:space="preserve"> </w:t>
      </w:r>
      <w:r w:rsidR="00C708D1">
        <w:rPr>
          <w:color w:val="000000"/>
          <w:lang w:val="fr-FR"/>
        </w:rPr>
        <w:t>de l’idée d’une</w:t>
      </w:r>
      <w:r>
        <w:rPr>
          <w:color w:val="000000"/>
          <w:lang w:val="fr-FR"/>
        </w:rPr>
        <w:t xml:space="preserve"> binarité de genre du « </w:t>
      </w:r>
      <w:r w:rsidR="0089701C">
        <w:rPr>
          <w:color w:val="000000"/>
          <w:lang w:val="fr-FR"/>
        </w:rPr>
        <w:t>terreux</w:t>
      </w:r>
      <w:r>
        <w:rPr>
          <w:color w:val="000000"/>
          <w:lang w:val="fr-FR"/>
        </w:rPr>
        <w:t xml:space="preserve"> » : « Et il fit tomber, IHWH </w:t>
      </w:r>
      <w:r w:rsidR="00C708D1">
        <w:rPr>
          <w:color w:val="000000"/>
          <w:lang w:val="fr-FR"/>
        </w:rPr>
        <w:t xml:space="preserve">dieux, un sommeil profond sur le </w:t>
      </w:r>
      <w:r w:rsidR="0089701C">
        <w:rPr>
          <w:color w:val="000000"/>
          <w:lang w:val="fr-FR"/>
        </w:rPr>
        <w:t>terreux</w:t>
      </w:r>
      <w:r w:rsidR="00A7042D">
        <w:rPr>
          <w:color w:val="000000"/>
          <w:lang w:val="fr-FR"/>
        </w:rPr>
        <w:t xml:space="preserve"> (</w:t>
      </w:r>
      <w:proofErr w:type="spellStart"/>
      <w:r w:rsidR="00A7042D" w:rsidRPr="00014EDE">
        <w:rPr>
          <w:rFonts w:hint="cs"/>
          <w:color w:val="000000"/>
        </w:rPr>
        <w:t>הָאָדָם</w:t>
      </w:r>
      <w:proofErr w:type="spellEnd"/>
      <w:r w:rsidR="00A7042D">
        <w:rPr>
          <w:color w:val="000000"/>
        </w:rPr>
        <w:t xml:space="preserve">, </w:t>
      </w:r>
      <w:proofErr w:type="spellStart"/>
      <w:r w:rsidR="00A7042D">
        <w:rPr>
          <w:i/>
          <w:iCs/>
          <w:color w:val="000000"/>
        </w:rPr>
        <w:t>ha’adam</w:t>
      </w:r>
      <w:proofErr w:type="spellEnd"/>
      <w:r w:rsidR="00A7042D">
        <w:rPr>
          <w:color w:val="000000"/>
          <w:lang w:val="fr-FR"/>
        </w:rPr>
        <w:t>)</w:t>
      </w:r>
      <w:r w:rsidR="00BD5A11">
        <w:rPr>
          <w:color w:val="000000"/>
          <w:lang w:val="fr-FR"/>
        </w:rPr>
        <w:t>,</w:t>
      </w:r>
      <w:r w:rsidR="00C76A93">
        <w:rPr>
          <w:color w:val="000000"/>
          <w:lang w:val="fr-FR"/>
        </w:rPr>
        <w:t xml:space="preserve"> et il s’endormit</w:t>
      </w:r>
      <w:r w:rsidR="00BD5A11">
        <w:rPr>
          <w:color w:val="000000"/>
          <w:lang w:val="fr-FR"/>
        </w:rPr>
        <w:t xml:space="preserve"> ; et il enleva </w:t>
      </w:r>
      <w:r w:rsidR="00BD5A11" w:rsidRPr="00A7042D">
        <w:rPr>
          <w:color w:val="000000"/>
          <w:lang w:val="fr-FR"/>
        </w:rPr>
        <w:t>un</w:t>
      </w:r>
      <w:r w:rsidR="00A7042D">
        <w:rPr>
          <w:color w:val="000000"/>
          <w:lang w:val="fr-FR"/>
        </w:rPr>
        <w:t xml:space="preserve"> seul (</w:t>
      </w:r>
      <w:proofErr w:type="spellStart"/>
      <w:r w:rsidR="00A7042D" w:rsidRPr="00A7042D">
        <w:rPr>
          <w:color w:val="000000"/>
          <w:lang w:val="fr-FR"/>
        </w:rPr>
        <w:t>אַחַת</w:t>
      </w:r>
      <w:proofErr w:type="spellEnd"/>
      <w:r w:rsidR="00A7042D">
        <w:rPr>
          <w:color w:val="000000"/>
          <w:lang w:val="fr-FR"/>
        </w:rPr>
        <w:t>, ‘</w:t>
      </w:r>
      <w:proofErr w:type="spellStart"/>
      <w:r w:rsidR="00A7042D" w:rsidRPr="00A7042D">
        <w:rPr>
          <w:i/>
          <w:iCs/>
          <w:color w:val="000000"/>
          <w:lang w:val="fr-FR"/>
        </w:rPr>
        <w:t>ahat</w:t>
      </w:r>
      <w:proofErr w:type="spellEnd"/>
      <w:r w:rsidR="00A7042D">
        <w:rPr>
          <w:color w:val="000000"/>
          <w:lang w:val="fr-FR"/>
        </w:rPr>
        <w:t>)</w:t>
      </w:r>
      <w:r w:rsidR="00BD5A11">
        <w:rPr>
          <w:color w:val="000000"/>
          <w:lang w:val="fr-FR"/>
        </w:rPr>
        <w:t xml:space="preserve"> de ses côtés (</w:t>
      </w:r>
      <w:proofErr w:type="spellStart"/>
      <w:r w:rsidR="00FB696A" w:rsidRPr="00FB696A">
        <w:rPr>
          <w:color w:val="000000"/>
          <w:lang w:val="fr-FR"/>
        </w:rPr>
        <w:t>צֵלָעִים</w:t>
      </w:r>
      <w:proofErr w:type="spellEnd"/>
      <w:r w:rsidR="00FB696A">
        <w:rPr>
          <w:color w:val="000000"/>
          <w:lang w:val="fr-FR"/>
        </w:rPr>
        <w:t xml:space="preserve">, </w:t>
      </w:r>
      <w:proofErr w:type="spellStart"/>
      <w:r w:rsidR="00FB696A">
        <w:rPr>
          <w:i/>
          <w:iCs/>
          <w:color w:val="000000"/>
          <w:lang w:val="fr-FR"/>
        </w:rPr>
        <w:t>tsélahim</w:t>
      </w:r>
      <w:proofErr w:type="spellEnd"/>
      <w:r w:rsidR="00BD5A11">
        <w:rPr>
          <w:color w:val="000000"/>
          <w:lang w:val="fr-FR"/>
        </w:rPr>
        <w:t xml:space="preserve">) et il </w:t>
      </w:r>
      <w:r w:rsidR="00BD5A11" w:rsidRPr="00A12A8E">
        <w:rPr>
          <w:color w:val="000000"/>
          <w:lang w:val="fr-FR"/>
        </w:rPr>
        <w:t>ferma une chair</w:t>
      </w:r>
      <w:r w:rsidR="00A7042D">
        <w:rPr>
          <w:color w:val="000000"/>
          <w:lang w:val="fr-FR"/>
        </w:rPr>
        <w:t xml:space="preserve"> (</w:t>
      </w:r>
      <w:r w:rsidR="00A7042D" w:rsidRPr="00166CB2">
        <w:rPr>
          <w:color w:val="000000"/>
          <w:lang w:val="fr-FR"/>
        </w:rPr>
        <w:t>בָּשָׂר</w:t>
      </w:r>
      <w:r w:rsidR="00A7042D">
        <w:rPr>
          <w:color w:val="000000"/>
          <w:lang w:val="fr-FR"/>
        </w:rPr>
        <w:t xml:space="preserve">, </w:t>
      </w:r>
      <w:proofErr w:type="spellStart"/>
      <w:r w:rsidR="00A7042D">
        <w:rPr>
          <w:i/>
          <w:iCs/>
          <w:color w:val="000000"/>
          <w:lang w:val="fr-FR"/>
        </w:rPr>
        <w:t>basar</w:t>
      </w:r>
      <w:proofErr w:type="spellEnd"/>
      <w:r w:rsidR="00A7042D">
        <w:rPr>
          <w:color w:val="000000"/>
          <w:lang w:val="fr-FR"/>
        </w:rPr>
        <w:t>)</w:t>
      </w:r>
      <w:r w:rsidR="00BD5A11">
        <w:rPr>
          <w:color w:val="000000"/>
          <w:lang w:val="fr-FR"/>
        </w:rPr>
        <w:t xml:space="preserve"> à sa place. </w:t>
      </w:r>
      <w:r w:rsidR="00FB696A">
        <w:rPr>
          <w:color w:val="000000"/>
          <w:lang w:val="fr-FR"/>
        </w:rPr>
        <w:t xml:space="preserve">Et il construisit, IHWH dieux, le côté qu’il avait pris au </w:t>
      </w:r>
      <w:r w:rsidR="0089701C">
        <w:rPr>
          <w:color w:val="000000"/>
          <w:lang w:val="fr-FR"/>
        </w:rPr>
        <w:t>terreux</w:t>
      </w:r>
      <w:r w:rsidR="00FB696A">
        <w:rPr>
          <w:color w:val="000000"/>
          <w:lang w:val="fr-FR"/>
        </w:rPr>
        <w:t xml:space="preserve"> en une femme (</w:t>
      </w:r>
      <w:proofErr w:type="spellStart"/>
      <w:r w:rsidR="00FB696A" w:rsidRPr="00FB696A">
        <w:rPr>
          <w:color w:val="000000"/>
          <w:lang w:val="fr-FR"/>
        </w:rPr>
        <w:t>אִש</w:t>
      </w:r>
      <w:proofErr w:type="spellEnd"/>
      <w:r w:rsidR="00FB696A" w:rsidRPr="00FB696A">
        <w:rPr>
          <w:color w:val="000000"/>
          <w:lang w:val="fr-FR"/>
        </w:rPr>
        <w:t>ָּׁה</w:t>
      </w:r>
      <w:r w:rsidR="00FB696A">
        <w:rPr>
          <w:color w:val="000000"/>
          <w:lang w:val="fr-FR"/>
        </w:rPr>
        <w:t xml:space="preserve">, </w:t>
      </w:r>
      <w:r w:rsidR="00FB696A">
        <w:rPr>
          <w:i/>
          <w:iCs/>
          <w:color w:val="000000"/>
          <w:lang w:val="fr-FR"/>
        </w:rPr>
        <w:t>‘</w:t>
      </w:r>
      <w:proofErr w:type="spellStart"/>
      <w:r w:rsidR="00FB696A">
        <w:rPr>
          <w:i/>
          <w:iCs/>
          <w:color w:val="000000"/>
          <w:lang w:val="fr-FR"/>
        </w:rPr>
        <w:t>ishah</w:t>
      </w:r>
      <w:proofErr w:type="spellEnd"/>
      <w:r w:rsidR="00FB696A">
        <w:rPr>
          <w:color w:val="000000"/>
          <w:lang w:val="fr-FR"/>
        </w:rPr>
        <w:t xml:space="preserve">) </w:t>
      </w:r>
      <w:r w:rsidR="0008627B">
        <w:rPr>
          <w:color w:val="000000"/>
          <w:lang w:val="fr-FR"/>
        </w:rPr>
        <w:t xml:space="preserve">et il la conduisit </w:t>
      </w:r>
      <w:r w:rsidR="00FB696A">
        <w:rPr>
          <w:color w:val="000000"/>
          <w:lang w:val="fr-FR"/>
        </w:rPr>
        <w:t xml:space="preserve">au </w:t>
      </w:r>
      <w:r w:rsidR="0089701C">
        <w:rPr>
          <w:color w:val="000000"/>
          <w:lang w:val="fr-FR"/>
        </w:rPr>
        <w:t>terreux</w:t>
      </w:r>
      <w:r w:rsidR="0008627B">
        <w:rPr>
          <w:color w:val="000000"/>
          <w:lang w:val="fr-FR"/>
        </w:rPr>
        <w:t>.</w:t>
      </w:r>
      <w:r w:rsidR="00A21EBC">
        <w:rPr>
          <w:color w:val="000000"/>
          <w:lang w:val="fr-FR"/>
        </w:rPr>
        <w:t xml:space="preserve"> Et il dit, le </w:t>
      </w:r>
      <w:r w:rsidR="0089701C">
        <w:rPr>
          <w:color w:val="000000"/>
          <w:lang w:val="fr-FR"/>
        </w:rPr>
        <w:t>terreux</w:t>
      </w:r>
      <w:r w:rsidR="00A21EBC">
        <w:rPr>
          <w:color w:val="000000"/>
          <w:lang w:val="fr-FR"/>
        </w:rPr>
        <w:t xml:space="preserve"> : </w:t>
      </w:r>
      <w:r w:rsidR="00A21EBC">
        <w:rPr>
          <w:color w:val="000000"/>
          <w:lang w:val="en-US"/>
        </w:rPr>
        <w:t>“</w:t>
      </w:r>
      <w:r w:rsidR="00A21EBC">
        <w:rPr>
          <w:color w:val="000000"/>
          <w:lang w:val="fr-FR"/>
        </w:rPr>
        <w:t>Celle-ci</w:t>
      </w:r>
      <w:r w:rsidR="00A12A8E">
        <w:rPr>
          <w:color w:val="000000"/>
          <w:lang w:val="fr-FR"/>
        </w:rPr>
        <w:t xml:space="preserve">, cette fois, </w:t>
      </w:r>
      <w:r w:rsidR="000A694B">
        <w:rPr>
          <w:color w:val="000000"/>
          <w:lang w:val="fr-FR"/>
        </w:rPr>
        <w:t xml:space="preserve">est un os tiré de mes os et une chair tirée de ma chair ; </w:t>
      </w:r>
      <w:r w:rsidR="005432EF">
        <w:rPr>
          <w:color w:val="000000"/>
          <w:lang w:val="fr-FR"/>
        </w:rPr>
        <w:t>pour</w:t>
      </w:r>
      <w:r w:rsidR="00351C4A">
        <w:rPr>
          <w:color w:val="000000"/>
          <w:lang w:val="fr-FR"/>
        </w:rPr>
        <w:t xml:space="preserve"> elle il sera crié « femme » parce que c’est de « homme »</w:t>
      </w:r>
      <w:r w:rsidR="00A7042D">
        <w:rPr>
          <w:color w:val="000000"/>
          <w:lang w:val="fr-FR"/>
        </w:rPr>
        <w:t xml:space="preserve"> (</w:t>
      </w:r>
      <w:proofErr w:type="spellStart"/>
      <w:r w:rsidR="00A7042D" w:rsidRPr="00A21EBC">
        <w:rPr>
          <w:color w:val="000000"/>
          <w:lang w:val="fr-FR"/>
        </w:rPr>
        <w:t>אִיש</w:t>
      </w:r>
      <w:proofErr w:type="spellEnd"/>
      <w:r w:rsidR="00A7042D" w:rsidRPr="00A21EBC">
        <w:rPr>
          <w:color w:val="000000"/>
          <w:lang w:val="fr-FR"/>
        </w:rPr>
        <w:t>ׁ</w:t>
      </w:r>
      <w:r w:rsidR="00A7042D">
        <w:rPr>
          <w:color w:val="000000"/>
          <w:lang w:val="fr-FR"/>
        </w:rPr>
        <w:t xml:space="preserve">, </w:t>
      </w:r>
      <w:r w:rsidR="00A7042D">
        <w:rPr>
          <w:i/>
          <w:iCs/>
          <w:color w:val="000000"/>
          <w:lang w:val="fr-FR"/>
        </w:rPr>
        <w:t>‘</w:t>
      </w:r>
      <w:proofErr w:type="spellStart"/>
      <w:r w:rsidR="00A7042D">
        <w:rPr>
          <w:i/>
          <w:iCs/>
          <w:color w:val="000000"/>
          <w:lang w:val="fr-FR"/>
        </w:rPr>
        <w:t>ish</w:t>
      </w:r>
      <w:proofErr w:type="spellEnd"/>
      <w:r w:rsidR="00A7042D">
        <w:rPr>
          <w:color w:val="000000"/>
          <w:lang w:val="fr-FR"/>
        </w:rPr>
        <w:t>)</w:t>
      </w:r>
      <w:r w:rsidR="00351C4A">
        <w:rPr>
          <w:color w:val="000000"/>
          <w:lang w:val="fr-FR"/>
        </w:rPr>
        <w:t xml:space="preserve"> </w:t>
      </w:r>
      <w:r w:rsidR="004F3C88">
        <w:rPr>
          <w:color w:val="000000"/>
          <w:lang w:val="fr-FR"/>
        </w:rPr>
        <w:t>qu’elle a été enlevée.</w:t>
      </w:r>
      <w:r w:rsidR="004F3C88">
        <w:rPr>
          <w:color w:val="000000"/>
          <w:lang w:val="en-CA"/>
        </w:rPr>
        <w:t>”</w:t>
      </w:r>
      <w:r w:rsidR="004F3C88">
        <w:rPr>
          <w:color w:val="000000"/>
          <w:lang w:val="fr-FR"/>
        </w:rPr>
        <w:t xml:space="preserve"> C’est pourquoi </w:t>
      </w:r>
      <w:r w:rsidR="000E19A3">
        <w:rPr>
          <w:color w:val="000000"/>
          <w:lang w:val="fr-FR"/>
        </w:rPr>
        <w:t xml:space="preserve">il quittera, </w:t>
      </w:r>
      <w:r w:rsidR="004F3C88">
        <w:rPr>
          <w:color w:val="000000"/>
          <w:lang w:val="fr-FR"/>
        </w:rPr>
        <w:t>un homme</w:t>
      </w:r>
      <w:r w:rsidR="000E19A3">
        <w:rPr>
          <w:color w:val="000000"/>
          <w:lang w:val="fr-FR"/>
        </w:rPr>
        <w:t xml:space="preserve">, </w:t>
      </w:r>
      <w:r w:rsidR="004F3C88">
        <w:rPr>
          <w:color w:val="000000"/>
          <w:lang w:val="fr-FR"/>
        </w:rPr>
        <w:t xml:space="preserve">son père et sa mère et il </w:t>
      </w:r>
      <w:r w:rsidR="004F3C88" w:rsidRPr="00A7042D">
        <w:rPr>
          <w:color w:val="000000"/>
          <w:lang w:val="fr-FR"/>
        </w:rPr>
        <w:t>s’attachera</w:t>
      </w:r>
      <w:r w:rsidR="004F3C88">
        <w:rPr>
          <w:color w:val="000000"/>
          <w:lang w:val="fr-FR"/>
        </w:rPr>
        <w:t xml:space="preserve"> </w:t>
      </w:r>
      <w:r w:rsidR="00A7042D">
        <w:rPr>
          <w:color w:val="000000"/>
          <w:lang w:val="fr-FR"/>
        </w:rPr>
        <w:t>à</w:t>
      </w:r>
      <w:r w:rsidR="004F3C88">
        <w:rPr>
          <w:color w:val="000000"/>
          <w:lang w:val="fr-FR"/>
        </w:rPr>
        <w:t xml:space="preserve"> sa femme</w:t>
      </w:r>
      <w:r w:rsidR="00A7042D">
        <w:rPr>
          <w:color w:val="000000"/>
          <w:lang w:val="fr-FR"/>
        </w:rPr>
        <w:t xml:space="preserve"> et ils seront vers une seule (</w:t>
      </w:r>
      <w:proofErr w:type="spellStart"/>
      <w:r w:rsidR="00A7042D" w:rsidRPr="004F3C88">
        <w:rPr>
          <w:color w:val="000000"/>
          <w:lang w:val="fr-FR"/>
        </w:rPr>
        <w:t>אֶחָד</w:t>
      </w:r>
      <w:proofErr w:type="spellEnd"/>
      <w:r w:rsidR="00A7042D">
        <w:rPr>
          <w:color w:val="000000"/>
          <w:lang w:val="fr-FR"/>
        </w:rPr>
        <w:t xml:space="preserve">, </w:t>
      </w:r>
      <w:r w:rsidR="00A7042D">
        <w:rPr>
          <w:i/>
          <w:iCs/>
          <w:color w:val="000000"/>
          <w:lang w:val="fr-FR"/>
        </w:rPr>
        <w:t>‘</w:t>
      </w:r>
      <w:proofErr w:type="spellStart"/>
      <w:r w:rsidR="00A7042D">
        <w:rPr>
          <w:i/>
          <w:iCs/>
          <w:color w:val="000000"/>
          <w:lang w:val="fr-FR"/>
        </w:rPr>
        <w:t>êhad</w:t>
      </w:r>
      <w:proofErr w:type="spellEnd"/>
      <w:r w:rsidR="00A7042D">
        <w:rPr>
          <w:color w:val="000000"/>
          <w:lang w:val="fr-FR"/>
        </w:rPr>
        <w:t>) chair</w:t>
      </w:r>
      <w:r w:rsidR="004C2395">
        <w:rPr>
          <w:color w:val="000000"/>
          <w:lang w:val="fr-FR"/>
        </w:rPr>
        <w:t>. Et ils étaient</w:t>
      </w:r>
      <w:r w:rsidR="00A406FF">
        <w:rPr>
          <w:color w:val="000000"/>
          <w:lang w:val="fr-FR"/>
        </w:rPr>
        <w:t xml:space="preserve"> deux (</w:t>
      </w:r>
      <w:r w:rsidR="00A406FF" w:rsidRPr="004C2395">
        <w:rPr>
          <w:color w:val="000000"/>
          <w:lang w:val="fr-FR"/>
        </w:rPr>
        <w:t>שְׁ</w:t>
      </w:r>
      <w:proofErr w:type="spellStart"/>
      <w:r w:rsidR="00A406FF" w:rsidRPr="004C2395">
        <w:rPr>
          <w:color w:val="000000"/>
          <w:lang w:val="fr-FR"/>
        </w:rPr>
        <w:t>נֵיהֶם</w:t>
      </w:r>
      <w:proofErr w:type="spellEnd"/>
      <w:r w:rsidR="00A406FF">
        <w:rPr>
          <w:color w:val="000000"/>
          <w:lang w:val="fr-FR"/>
        </w:rPr>
        <w:t xml:space="preserve">, </w:t>
      </w:r>
      <w:proofErr w:type="spellStart"/>
      <w:r w:rsidR="00A406FF">
        <w:rPr>
          <w:i/>
          <w:iCs/>
          <w:color w:val="000000"/>
          <w:lang w:val="fr-FR"/>
        </w:rPr>
        <w:t>shnéihêm</w:t>
      </w:r>
      <w:proofErr w:type="spellEnd"/>
      <w:r w:rsidR="00A406FF">
        <w:rPr>
          <w:color w:val="000000"/>
          <w:lang w:val="fr-FR"/>
        </w:rPr>
        <w:t>) nus</w:t>
      </w:r>
      <w:r w:rsidR="006601F7">
        <w:rPr>
          <w:color w:val="000000"/>
          <w:lang w:val="fr-FR"/>
        </w:rPr>
        <w:t xml:space="preserve"> (</w:t>
      </w:r>
      <w:proofErr w:type="spellStart"/>
      <w:r w:rsidR="006601F7" w:rsidRPr="004C2395">
        <w:rPr>
          <w:color w:val="000000"/>
          <w:lang w:val="fr-FR"/>
        </w:rPr>
        <w:t>עֲרוּמ</w:t>
      </w:r>
      <w:proofErr w:type="spellEnd"/>
      <w:r w:rsidR="006601F7" w:rsidRPr="004C2395">
        <w:rPr>
          <w:color w:val="000000"/>
          <w:lang w:val="fr-FR"/>
        </w:rPr>
        <w:t>ִּ</w:t>
      </w:r>
      <w:proofErr w:type="spellStart"/>
      <w:r w:rsidR="006601F7" w:rsidRPr="004C2395">
        <w:rPr>
          <w:color w:val="000000"/>
          <w:lang w:val="fr-FR"/>
        </w:rPr>
        <w:t>ים</w:t>
      </w:r>
      <w:proofErr w:type="spellEnd"/>
      <w:r w:rsidR="006601F7">
        <w:rPr>
          <w:color w:val="000000"/>
          <w:lang w:val="fr-FR"/>
        </w:rPr>
        <w:t xml:space="preserve">, </w:t>
      </w:r>
      <w:proofErr w:type="spellStart"/>
      <w:r w:rsidR="006601F7">
        <w:rPr>
          <w:i/>
          <w:iCs/>
          <w:color w:val="000000"/>
          <w:lang w:val="fr-FR"/>
        </w:rPr>
        <w:t>haroumim</w:t>
      </w:r>
      <w:proofErr w:type="spellEnd"/>
      <w:r w:rsidR="006601F7">
        <w:rPr>
          <w:color w:val="000000"/>
          <w:lang w:val="fr-FR"/>
        </w:rPr>
        <w:t>)</w:t>
      </w:r>
      <w:r w:rsidR="00A406FF">
        <w:rPr>
          <w:color w:val="000000"/>
          <w:lang w:val="fr-FR"/>
        </w:rPr>
        <w:t xml:space="preserve">, le </w:t>
      </w:r>
      <w:r w:rsidR="0089701C">
        <w:rPr>
          <w:color w:val="000000"/>
          <w:lang w:val="fr-FR"/>
        </w:rPr>
        <w:t>terreux</w:t>
      </w:r>
      <w:r w:rsidR="00A406FF">
        <w:rPr>
          <w:color w:val="000000"/>
          <w:lang w:val="fr-FR"/>
        </w:rPr>
        <w:t xml:space="preserve"> et sa femme ; et ils n’avaient pas honte</w:t>
      </w:r>
      <w:r w:rsidR="004C2395">
        <w:rPr>
          <w:rStyle w:val="Appelnotedebasdep"/>
          <w:color w:val="000000"/>
          <w:lang w:val="fr-FR"/>
        </w:rPr>
        <w:footnoteReference w:id="76"/>
      </w:r>
      <w:r w:rsidR="00A7042D">
        <w:rPr>
          <w:color w:val="000000"/>
          <w:lang w:val="fr-FR"/>
        </w:rPr>
        <w:t>. »</w:t>
      </w:r>
      <w:r w:rsidR="00A406FF">
        <w:rPr>
          <w:color w:val="000000"/>
          <w:lang w:val="fr-FR"/>
        </w:rPr>
        <w:t xml:space="preserve"> </w:t>
      </w:r>
    </w:p>
    <w:p w14:paraId="5BF43FDE" w14:textId="3F4003EA" w:rsidR="005B316A" w:rsidRDefault="00A406FF" w:rsidP="0089701C">
      <w:pPr>
        <w:jc w:val="both"/>
        <w:rPr>
          <w:color w:val="000000"/>
          <w:lang w:val="fr-FR"/>
        </w:rPr>
      </w:pPr>
      <w:r>
        <w:rPr>
          <w:color w:val="000000"/>
          <w:lang w:val="fr-FR"/>
        </w:rPr>
        <w:t>Une créature ayant les deux genres – le « </w:t>
      </w:r>
      <w:r w:rsidR="0089701C">
        <w:rPr>
          <w:color w:val="000000"/>
          <w:lang w:val="fr-FR"/>
        </w:rPr>
        <w:t>terreux</w:t>
      </w:r>
      <w:r>
        <w:rPr>
          <w:color w:val="000000"/>
          <w:lang w:val="fr-FR"/>
        </w:rPr>
        <w:t xml:space="preserve"> » – devient deux créatures différentes, l’une masculine – </w:t>
      </w:r>
      <w:proofErr w:type="gramStart"/>
      <w:r>
        <w:rPr>
          <w:color w:val="000000"/>
          <w:lang w:val="fr-FR"/>
        </w:rPr>
        <w:t>l’ «</w:t>
      </w:r>
      <w:proofErr w:type="gramEnd"/>
      <w:r>
        <w:rPr>
          <w:color w:val="000000"/>
          <w:lang w:val="fr-FR"/>
        </w:rPr>
        <w:t> homme » (</w:t>
      </w:r>
      <w:proofErr w:type="spellStart"/>
      <w:r w:rsidRPr="00A21EBC">
        <w:rPr>
          <w:color w:val="000000"/>
          <w:lang w:val="fr-FR"/>
        </w:rPr>
        <w:t>אִיש</w:t>
      </w:r>
      <w:proofErr w:type="spellEnd"/>
      <w:r w:rsidRPr="00A21EBC">
        <w:rPr>
          <w:color w:val="000000"/>
          <w:lang w:val="fr-FR"/>
        </w:rPr>
        <w:t>ׁ</w:t>
      </w:r>
      <w:r>
        <w:rPr>
          <w:color w:val="000000"/>
          <w:lang w:val="fr-FR"/>
        </w:rPr>
        <w:t xml:space="preserve">, </w:t>
      </w:r>
      <w:r>
        <w:rPr>
          <w:i/>
          <w:iCs/>
          <w:color w:val="000000"/>
          <w:lang w:val="fr-FR"/>
        </w:rPr>
        <w:t>‘</w:t>
      </w:r>
      <w:proofErr w:type="spellStart"/>
      <w:r>
        <w:rPr>
          <w:i/>
          <w:iCs/>
          <w:color w:val="000000"/>
          <w:lang w:val="fr-FR"/>
        </w:rPr>
        <w:t>ish</w:t>
      </w:r>
      <w:proofErr w:type="spellEnd"/>
      <w:r>
        <w:rPr>
          <w:color w:val="000000"/>
          <w:lang w:val="fr-FR"/>
        </w:rPr>
        <w:t>) –, l’autre féminine – la « femme » (</w:t>
      </w:r>
      <w:proofErr w:type="spellStart"/>
      <w:r w:rsidRPr="00FB696A">
        <w:rPr>
          <w:color w:val="000000"/>
          <w:lang w:val="fr-FR"/>
        </w:rPr>
        <w:t>אִש</w:t>
      </w:r>
      <w:proofErr w:type="spellEnd"/>
      <w:r w:rsidRPr="00FB696A">
        <w:rPr>
          <w:color w:val="000000"/>
          <w:lang w:val="fr-FR"/>
        </w:rPr>
        <w:t>ָּׁה</w:t>
      </w:r>
      <w:r>
        <w:rPr>
          <w:color w:val="000000"/>
          <w:lang w:val="fr-FR"/>
        </w:rPr>
        <w:t xml:space="preserve">, </w:t>
      </w:r>
      <w:r>
        <w:rPr>
          <w:i/>
          <w:iCs/>
          <w:color w:val="000000"/>
          <w:lang w:val="fr-FR"/>
        </w:rPr>
        <w:t>‘</w:t>
      </w:r>
      <w:proofErr w:type="spellStart"/>
      <w:r>
        <w:rPr>
          <w:i/>
          <w:iCs/>
          <w:color w:val="000000"/>
          <w:lang w:val="fr-FR"/>
        </w:rPr>
        <w:t>ishah</w:t>
      </w:r>
      <w:proofErr w:type="spellEnd"/>
      <w:r>
        <w:rPr>
          <w:color w:val="000000"/>
          <w:lang w:val="fr-FR"/>
        </w:rPr>
        <w:t xml:space="preserve">) – après </w:t>
      </w:r>
      <w:r>
        <w:rPr>
          <w:color w:val="000000"/>
          <w:lang w:val="fr-FR"/>
        </w:rPr>
        <w:lastRenderedPageBreak/>
        <w:t>que dieux, l’ayant endormie, a prélevé l’un de ses « côtés » (</w:t>
      </w:r>
      <w:proofErr w:type="spellStart"/>
      <w:r w:rsidRPr="00FB696A">
        <w:rPr>
          <w:color w:val="000000"/>
          <w:lang w:val="fr-FR"/>
        </w:rPr>
        <w:t>צֵלָעִים</w:t>
      </w:r>
      <w:proofErr w:type="spellEnd"/>
      <w:r>
        <w:rPr>
          <w:color w:val="000000"/>
          <w:lang w:val="fr-FR"/>
        </w:rPr>
        <w:t xml:space="preserve">, </w:t>
      </w:r>
      <w:proofErr w:type="spellStart"/>
      <w:r>
        <w:rPr>
          <w:i/>
          <w:iCs/>
          <w:color w:val="000000"/>
          <w:lang w:val="fr-FR"/>
        </w:rPr>
        <w:t>tsélahim</w:t>
      </w:r>
      <w:proofErr w:type="spellEnd"/>
      <w:r>
        <w:rPr>
          <w:color w:val="000000"/>
          <w:lang w:val="fr-FR"/>
        </w:rPr>
        <w:t xml:space="preserve">) pour en faire la femme, tandis que la partie restante devient l’homme. </w:t>
      </w:r>
      <w:r w:rsidR="0089701C">
        <w:rPr>
          <w:color w:val="000000"/>
          <w:lang w:val="fr-FR"/>
        </w:rPr>
        <w:t xml:space="preserve">Le mot hébreu </w:t>
      </w:r>
      <w:proofErr w:type="spellStart"/>
      <w:r w:rsidR="0089701C">
        <w:t>צֵל</w:t>
      </w:r>
      <w:proofErr w:type="spellEnd"/>
      <w:r w:rsidR="0089701C">
        <w:t xml:space="preserve">ָֽע, </w:t>
      </w:r>
      <w:proofErr w:type="spellStart"/>
      <w:r w:rsidR="0089701C">
        <w:rPr>
          <w:i/>
          <w:iCs/>
        </w:rPr>
        <w:t>tsélah</w:t>
      </w:r>
      <w:proofErr w:type="spellEnd"/>
      <w:r w:rsidR="0089701C">
        <w:rPr>
          <w:i/>
          <w:iCs/>
        </w:rPr>
        <w:t xml:space="preserve"> </w:t>
      </w:r>
      <w:r w:rsidR="0089701C">
        <w:t>signifie en effet le « côté » – celui d’une montagne par exemple</w:t>
      </w:r>
      <w:r w:rsidR="005B316A">
        <w:rPr>
          <w:rStyle w:val="Appelnotedebasdep"/>
        </w:rPr>
        <w:footnoteReference w:id="77"/>
      </w:r>
      <w:r w:rsidR="00F26912">
        <w:t xml:space="preserve"> ou celui du « tabernacle » en </w:t>
      </w:r>
      <w:r w:rsidR="00F26912">
        <w:rPr>
          <w:i/>
          <w:iCs/>
        </w:rPr>
        <w:t>Exode</w:t>
      </w:r>
      <w:r w:rsidR="00F26912">
        <w:t xml:space="preserve"> 26, 20</w:t>
      </w:r>
      <w:r w:rsidR="00F26912">
        <w:rPr>
          <w:rStyle w:val="Appelnotedebasdep"/>
        </w:rPr>
        <w:footnoteReference w:id="78"/>
      </w:r>
      <w:r w:rsidR="005B316A">
        <w:t xml:space="preserve"> – et pas seulement la « côte », sens que retiendront les traducteurs du passage en grec (</w:t>
      </w:r>
      <w:r w:rsidR="005B316A" w:rsidRPr="005B316A">
        <w:t>π</w:t>
      </w:r>
      <w:proofErr w:type="spellStart"/>
      <w:r w:rsidR="005B316A" w:rsidRPr="005B316A">
        <w:t>λευρά</w:t>
      </w:r>
      <w:proofErr w:type="spellEnd"/>
      <w:r w:rsidR="005B316A">
        <w:t xml:space="preserve">, </w:t>
      </w:r>
      <w:r w:rsidR="005B316A">
        <w:rPr>
          <w:i/>
          <w:iCs/>
        </w:rPr>
        <w:t>pleura</w:t>
      </w:r>
      <w:r w:rsidR="005B316A">
        <w:t>, « côte »)</w:t>
      </w:r>
      <w:r w:rsidR="005B316A">
        <w:rPr>
          <w:rStyle w:val="Appelnotedebasdep"/>
        </w:rPr>
        <w:footnoteReference w:id="79"/>
      </w:r>
      <w:r w:rsidR="005B316A">
        <w:t xml:space="preserve"> et en latin (</w:t>
      </w:r>
      <w:proofErr w:type="spellStart"/>
      <w:r w:rsidR="005B316A">
        <w:rPr>
          <w:i/>
          <w:iCs/>
        </w:rPr>
        <w:t>costa</w:t>
      </w:r>
      <w:proofErr w:type="spellEnd"/>
      <w:r w:rsidR="005B316A">
        <w:t>, « côte »)</w:t>
      </w:r>
      <w:r w:rsidR="005B316A">
        <w:rPr>
          <w:rStyle w:val="Appelnotedebasdep"/>
        </w:rPr>
        <w:footnoteReference w:id="80"/>
      </w:r>
      <w:r w:rsidR="005B316A">
        <w:t xml:space="preserve">. Ce choix de traduction est fondamental pour la question des rapports entre l’homme et la femme. Si la femme est formée à partir d’un « côté », elle existe dans une égalité avec l’homme. Si elle est issue d’une simple « côte », elle </w:t>
      </w:r>
      <w:r w:rsidR="00F26912">
        <w:t>vient</w:t>
      </w:r>
      <w:r w:rsidR="005B316A">
        <w:t xml:space="preserve"> seulement </w:t>
      </w:r>
      <w:r w:rsidR="00F26912">
        <w:t>« d’</w:t>
      </w:r>
      <w:r w:rsidR="00F26912" w:rsidRPr="00F26912">
        <w:t>un os surnuméraire</w:t>
      </w:r>
      <w:r w:rsidR="00F26912">
        <w:rPr>
          <w:rStyle w:val="Appelnotedebasdep"/>
        </w:rPr>
        <w:footnoteReference w:id="81"/>
      </w:r>
      <w:r w:rsidR="00F26912">
        <w:t xml:space="preserve"> ». Par-delà une question éthique, </w:t>
      </w:r>
      <w:r w:rsidR="0053335D">
        <w:t>l’idée de « côté » est</w:t>
      </w:r>
      <w:r w:rsidR="00F26912">
        <w:t xml:space="preserve"> aussi l’interprétation qui</w:t>
      </w:r>
      <w:r w:rsidR="006601F7">
        <w:t xml:space="preserve"> permet</w:t>
      </w:r>
      <w:r w:rsidR="00F26912">
        <w:t xml:space="preserve"> </w:t>
      </w:r>
      <w:r w:rsidR="006601F7">
        <w:t>le mieux de</w:t>
      </w:r>
      <w:r w:rsidR="00F26912">
        <w:t xml:space="preserve"> saisir</w:t>
      </w:r>
      <w:r w:rsidR="006601F7">
        <w:t xml:space="preserve"> le sens</w:t>
      </w:r>
      <w:r w:rsidR="00F26912">
        <w:t xml:space="preserve"> </w:t>
      </w:r>
      <w:r w:rsidR="006601F7">
        <w:t>du</w:t>
      </w:r>
      <w:r w:rsidR="00F26912">
        <w:t xml:space="preserve"> passage : d’une entité masculine et féminine est extraite son « côté » féminin, ce qui demeure étant le côté masculin</w:t>
      </w:r>
      <w:r w:rsidR="00CB100D">
        <w:rPr>
          <w:rStyle w:val="Appelnotedebasdep"/>
        </w:rPr>
        <w:footnoteReference w:id="82"/>
      </w:r>
      <w:r w:rsidR="00F26912">
        <w:t>.</w:t>
      </w:r>
      <w:r w:rsidR="006601F7">
        <w:t xml:space="preserve"> Le terreux devient ainsi « </w:t>
      </w:r>
      <w:r w:rsidR="006601F7">
        <w:rPr>
          <w:color w:val="000000"/>
          <w:lang w:val="fr-FR"/>
        </w:rPr>
        <w:t>deux » (</w:t>
      </w:r>
      <w:r w:rsidR="006601F7" w:rsidRPr="004C2395">
        <w:rPr>
          <w:color w:val="000000"/>
          <w:lang w:val="fr-FR"/>
        </w:rPr>
        <w:t>שְׁ</w:t>
      </w:r>
      <w:proofErr w:type="spellStart"/>
      <w:r w:rsidR="006601F7" w:rsidRPr="004C2395">
        <w:rPr>
          <w:color w:val="000000"/>
          <w:lang w:val="fr-FR"/>
        </w:rPr>
        <w:t>נֵיהֶם</w:t>
      </w:r>
      <w:proofErr w:type="spellEnd"/>
      <w:r w:rsidR="006601F7">
        <w:rPr>
          <w:color w:val="000000"/>
          <w:lang w:val="fr-FR"/>
        </w:rPr>
        <w:t xml:space="preserve">, </w:t>
      </w:r>
      <w:proofErr w:type="spellStart"/>
      <w:r w:rsidR="006601F7">
        <w:rPr>
          <w:i/>
          <w:iCs/>
          <w:color w:val="000000"/>
          <w:lang w:val="fr-FR"/>
        </w:rPr>
        <w:t>shnéihêm</w:t>
      </w:r>
      <w:proofErr w:type="spellEnd"/>
      <w:r w:rsidR="006601F7">
        <w:rPr>
          <w:color w:val="000000"/>
          <w:lang w:val="fr-FR"/>
        </w:rPr>
        <w:t>), la superposition avec l’adjectif « nus » (</w:t>
      </w:r>
      <w:proofErr w:type="spellStart"/>
      <w:r w:rsidR="006601F7" w:rsidRPr="004C2395">
        <w:rPr>
          <w:color w:val="000000"/>
          <w:lang w:val="fr-FR"/>
        </w:rPr>
        <w:t>עֲרוּמ</w:t>
      </w:r>
      <w:proofErr w:type="spellEnd"/>
      <w:r w:rsidR="006601F7" w:rsidRPr="004C2395">
        <w:rPr>
          <w:color w:val="000000"/>
          <w:lang w:val="fr-FR"/>
        </w:rPr>
        <w:t>ִּ</w:t>
      </w:r>
      <w:proofErr w:type="spellStart"/>
      <w:r w:rsidR="006601F7" w:rsidRPr="004C2395">
        <w:rPr>
          <w:color w:val="000000"/>
          <w:lang w:val="fr-FR"/>
        </w:rPr>
        <w:t>ים</w:t>
      </w:r>
      <w:proofErr w:type="spellEnd"/>
      <w:r w:rsidR="006601F7">
        <w:rPr>
          <w:color w:val="000000"/>
          <w:lang w:val="fr-FR"/>
        </w:rPr>
        <w:t xml:space="preserve">, </w:t>
      </w:r>
      <w:proofErr w:type="spellStart"/>
      <w:r w:rsidR="006601F7">
        <w:rPr>
          <w:i/>
          <w:iCs/>
          <w:color w:val="000000"/>
          <w:lang w:val="fr-FR"/>
        </w:rPr>
        <w:t>haroumim</w:t>
      </w:r>
      <w:proofErr w:type="spellEnd"/>
      <w:r w:rsidR="006601F7">
        <w:rPr>
          <w:color w:val="000000"/>
          <w:lang w:val="fr-FR"/>
        </w:rPr>
        <w:t xml:space="preserve">) pouvant suggérer que cette dualité est liée, notamment, aux corps nus des deux personnages et à </w:t>
      </w:r>
      <w:r w:rsidR="0053335D">
        <w:rPr>
          <w:color w:val="000000"/>
          <w:lang w:val="fr-FR"/>
        </w:rPr>
        <w:t>la</w:t>
      </w:r>
      <w:r w:rsidR="006601F7">
        <w:rPr>
          <w:color w:val="000000"/>
          <w:lang w:val="fr-FR"/>
        </w:rPr>
        <w:t xml:space="preserve"> génitalité différente</w:t>
      </w:r>
      <w:r w:rsidR="0053335D">
        <w:rPr>
          <w:color w:val="000000"/>
          <w:lang w:val="fr-FR"/>
        </w:rPr>
        <w:t xml:space="preserve"> que cette nudité fait apparaître</w:t>
      </w:r>
      <w:r w:rsidR="006601F7">
        <w:rPr>
          <w:color w:val="000000"/>
          <w:lang w:val="fr-FR"/>
        </w:rPr>
        <w:t xml:space="preserve">. </w:t>
      </w:r>
    </w:p>
    <w:p w14:paraId="07FF93CC" w14:textId="3E03F295" w:rsidR="00372CDE" w:rsidRDefault="006601F7" w:rsidP="0089701C">
      <w:pPr>
        <w:jc w:val="both"/>
        <w:rPr>
          <w:color w:val="000000"/>
          <w:lang w:val="fr-FR"/>
        </w:rPr>
      </w:pPr>
      <w:r>
        <w:rPr>
          <w:color w:val="000000"/>
          <w:lang w:val="fr-FR"/>
        </w:rPr>
        <w:t xml:space="preserve">Pourtant, le passage est ambigu </w:t>
      </w:r>
      <w:r w:rsidR="00BD548B">
        <w:rPr>
          <w:color w:val="000000"/>
          <w:lang w:val="fr-FR"/>
        </w:rPr>
        <w:t xml:space="preserve">concernant la personne qui fait face à la « femme ». L’idée de séparation voudrait </w:t>
      </w:r>
      <w:r w:rsidR="00B477DA">
        <w:rPr>
          <w:color w:val="000000"/>
          <w:lang w:val="fr-FR"/>
        </w:rPr>
        <w:t xml:space="preserve">que cette personne soit seulement le </w:t>
      </w:r>
      <w:r w:rsidR="00BD548B">
        <w:rPr>
          <w:color w:val="000000"/>
          <w:lang w:val="fr-FR"/>
        </w:rPr>
        <w:t>second côté du terreux, nommée « homme » (</w:t>
      </w:r>
      <w:proofErr w:type="spellStart"/>
      <w:r w:rsidR="00BD548B" w:rsidRPr="00A21EBC">
        <w:rPr>
          <w:color w:val="000000"/>
          <w:lang w:val="fr-FR"/>
        </w:rPr>
        <w:t>אִיש</w:t>
      </w:r>
      <w:proofErr w:type="spellEnd"/>
      <w:r w:rsidR="00BD548B" w:rsidRPr="00A21EBC">
        <w:rPr>
          <w:color w:val="000000"/>
          <w:lang w:val="fr-FR"/>
        </w:rPr>
        <w:t>ׁ</w:t>
      </w:r>
      <w:r w:rsidR="00BD548B">
        <w:rPr>
          <w:color w:val="000000"/>
          <w:lang w:val="fr-FR"/>
        </w:rPr>
        <w:t xml:space="preserve">, </w:t>
      </w:r>
      <w:r w:rsidR="00BD548B">
        <w:rPr>
          <w:i/>
          <w:iCs/>
          <w:color w:val="000000"/>
          <w:lang w:val="fr-FR"/>
        </w:rPr>
        <w:t>‘</w:t>
      </w:r>
      <w:proofErr w:type="spellStart"/>
      <w:r w:rsidR="00BD548B">
        <w:rPr>
          <w:i/>
          <w:iCs/>
          <w:color w:val="000000"/>
          <w:lang w:val="fr-FR"/>
        </w:rPr>
        <w:t>ish</w:t>
      </w:r>
      <w:proofErr w:type="spellEnd"/>
      <w:r w:rsidR="00BD548B">
        <w:rPr>
          <w:color w:val="000000"/>
          <w:lang w:val="fr-FR"/>
        </w:rPr>
        <w:t>). De fait, on trouve la distinction entre ces deux termes dans la phase « C’est pourquoi il quittera, un homme (</w:t>
      </w:r>
      <w:proofErr w:type="spellStart"/>
      <w:r w:rsidR="00BD548B" w:rsidRPr="00A21EBC">
        <w:rPr>
          <w:color w:val="000000"/>
          <w:lang w:val="fr-FR"/>
        </w:rPr>
        <w:t>אִיש</w:t>
      </w:r>
      <w:proofErr w:type="spellEnd"/>
      <w:r w:rsidR="00BD548B" w:rsidRPr="00A21EBC">
        <w:rPr>
          <w:color w:val="000000"/>
          <w:lang w:val="fr-FR"/>
        </w:rPr>
        <w:t>ׁ</w:t>
      </w:r>
      <w:r w:rsidR="00BD548B">
        <w:rPr>
          <w:color w:val="000000"/>
          <w:lang w:val="fr-FR"/>
        </w:rPr>
        <w:t xml:space="preserve">, </w:t>
      </w:r>
      <w:r w:rsidR="00BD548B">
        <w:rPr>
          <w:i/>
          <w:iCs/>
          <w:color w:val="000000"/>
          <w:lang w:val="fr-FR"/>
        </w:rPr>
        <w:t>‘</w:t>
      </w:r>
      <w:proofErr w:type="spellStart"/>
      <w:r w:rsidR="00BD548B">
        <w:rPr>
          <w:i/>
          <w:iCs/>
          <w:color w:val="000000"/>
          <w:lang w:val="fr-FR"/>
        </w:rPr>
        <w:t>ish</w:t>
      </w:r>
      <w:proofErr w:type="spellEnd"/>
      <w:r w:rsidR="00BD548B">
        <w:rPr>
          <w:color w:val="000000"/>
          <w:lang w:val="fr-FR"/>
        </w:rPr>
        <w:t xml:space="preserve">), son père et sa mère et il </w:t>
      </w:r>
      <w:r w:rsidR="00BD548B" w:rsidRPr="00A7042D">
        <w:rPr>
          <w:color w:val="000000"/>
          <w:lang w:val="fr-FR"/>
        </w:rPr>
        <w:t>s’attachera</w:t>
      </w:r>
      <w:r w:rsidR="00BD548B">
        <w:rPr>
          <w:color w:val="000000"/>
          <w:lang w:val="fr-FR"/>
        </w:rPr>
        <w:t xml:space="preserve"> à sa femme (</w:t>
      </w:r>
      <w:proofErr w:type="spellStart"/>
      <w:r w:rsidR="00BD548B" w:rsidRPr="00FB696A">
        <w:rPr>
          <w:color w:val="000000"/>
          <w:lang w:val="fr-FR"/>
        </w:rPr>
        <w:t>אִש</w:t>
      </w:r>
      <w:proofErr w:type="spellEnd"/>
      <w:r w:rsidR="00BD548B" w:rsidRPr="00FB696A">
        <w:rPr>
          <w:color w:val="000000"/>
          <w:lang w:val="fr-FR"/>
        </w:rPr>
        <w:t>ָּׁה</w:t>
      </w:r>
      <w:r w:rsidR="00BD548B">
        <w:rPr>
          <w:color w:val="000000"/>
          <w:lang w:val="fr-FR"/>
        </w:rPr>
        <w:t xml:space="preserve">, </w:t>
      </w:r>
      <w:r w:rsidR="00BD548B">
        <w:rPr>
          <w:i/>
          <w:iCs/>
          <w:color w:val="000000"/>
          <w:lang w:val="fr-FR"/>
        </w:rPr>
        <w:t>‘</w:t>
      </w:r>
      <w:proofErr w:type="spellStart"/>
      <w:r w:rsidR="00BD548B">
        <w:rPr>
          <w:i/>
          <w:iCs/>
          <w:color w:val="000000"/>
          <w:lang w:val="fr-FR"/>
        </w:rPr>
        <w:t>ishah</w:t>
      </w:r>
      <w:proofErr w:type="spellEnd"/>
      <w:r w:rsidR="00BD548B">
        <w:rPr>
          <w:color w:val="000000"/>
          <w:lang w:val="fr-FR"/>
        </w:rPr>
        <w:t xml:space="preserve">) ». Pourtant, la personne à qui IHWH dieux « conduit » la « femme » n’est pas </w:t>
      </w:r>
      <w:proofErr w:type="gramStart"/>
      <w:r w:rsidR="00BD548B">
        <w:rPr>
          <w:color w:val="000000"/>
          <w:lang w:val="fr-FR"/>
        </w:rPr>
        <w:t>l’ «</w:t>
      </w:r>
      <w:proofErr w:type="gramEnd"/>
      <w:r w:rsidR="00BD548B">
        <w:rPr>
          <w:color w:val="000000"/>
          <w:lang w:val="fr-FR"/>
        </w:rPr>
        <w:t xml:space="preserve"> homme » mais le « terreux », qui devrait pourtant ne plus exister comme </w:t>
      </w:r>
      <w:r w:rsidR="00B477DA">
        <w:rPr>
          <w:color w:val="000000"/>
          <w:lang w:val="fr-FR"/>
        </w:rPr>
        <w:t>tel</w:t>
      </w:r>
      <w:r w:rsidR="00BD548B">
        <w:rPr>
          <w:color w:val="000000"/>
          <w:lang w:val="fr-FR"/>
        </w:rPr>
        <w:t xml:space="preserve"> puisque son androgynie vient d’être scindée en deux. C’est aussi le nom de « terreux » qui est employé dans la suite du texte pour parler de l’homme : « Et il dit, le terreux » ; « Et ils étaient deux nus, le terreux et sa femme ». </w:t>
      </w:r>
      <w:r w:rsidR="00372CDE">
        <w:rPr>
          <w:color w:val="000000"/>
          <w:lang w:val="fr-FR"/>
        </w:rPr>
        <w:t xml:space="preserve">L’ambiguïté inverse apparaît dans les mots du « terreux », selon lesquels « c’est de </w:t>
      </w:r>
      <w:r w:rsidR="00C66760">
        <w:rPr>
          <w:color w:val="000000"/>
          <w:lang w:val="en-CA"/>
        </w:rPr>
        <w:t>“</w:t>
      </w:r>
      <w:r w:rsidR="00372CDE">
        <w:rPr>
          <w:color w:val="000000"/>
          <w:lang w:val="fr-FR"/>
        </w:rPr>
        <w:t>homme</w:t>
      </w:r>
      <w:r w:rsidR="00C66760">
        <w:rPr>
          <w:color w:val="000000"/>
          <w:lang w:val="en-CA"/>
        </w:rPr>
        <w:t>”</w:t>
      </w:r>
      <w:r w:rsidR="00372CDE">
        <w:rPr>
          <w:color w:val="000000"/>
          <w:lang w:val="fr-FR"/>
        </w:rPr>
        <w:t xml:space="preserve"> (</w:t>
      </w:r>
      <w:proofErr w:type="spellStart"/>
      <w:r w:rsidR="00372CDE" w:rsidRPr="00A21EBC">
        <w:rPr>
          <w:color w:val="000000"/>
          <w:lang w:val="fr-FR"/>
        </w:rPr>
        <w:t>אִיש</w:t>
      </w:r>
      <w:proofErr w:type="spellEnd"/>
      <w:r w:rsidR="00372CDE" w:rsidRPr="00A21EBC">
        <w:rPr>
          <w:color w:val="000000"/>
          <w:lang w:val="fr-FR"/>
        </w:rPr>
        <w:t>ׁ</w:t>
      </w:r>
      <w:r w:rsidR="00372CDE">
        <w:rPr>
          <w:color w:val="000000"/>
          <w:lang w:val="fr-FR"/>
        </w:rPr>
        <w:t xml:space="preserve">, </w:t>
      </w:r>
      <w:r w:rsidR="00372CDE">
        <w:rPr>
          <w:i/>
          <w:iCs/>
          <w:color w:val="000000"/>
          <w:lang w:val="fr-FR"/>
        </w:rPr>
        <w:t>‘</w:t>
      </w:r>
      <w:proofErr w:type="spellStart"/>
      <w:r w:rsidR="00372CDE">
        <w:rPr>
          <w:i/>
          <w:iCs/>
          <w:color w:val="000000"/>
          <w:lang w:val="fr-FR"/>
        </w:rPr>
        <w:t>ish</w:t>
      </w:r>
      <w:proofErr w:type="spellEnd"/>
      <w:r w:rsidR="00372CDE">
        <w:rPr>
          <w:color w:val="000000"/>
          <w:lang w:val="fr-FR"/>
        </w:rPr>
        <w:t xml:space="preserve">) qu’elle [la femme] a été enlevée » alors qu’elle a été enlevée </w:t>
      </w:r>
      <w:r w:rsidR="00C66760">
        <w:rPr>
          <w:color w:val="000000"/>
          <w:lang w:val="fr-FR"/>
        </w:rPr>
        <w:t xml:space="preserve">non de </w:t>
      </w:r>
      <w:proofErr w:type="gramStart"/>
      <w:r w:rsidR="00C66760">
        <w:rPr>
          <w:color w:val="000000"/>
          <w:lang w:val="fr-FR"/>
        </w:rPr>
        <w:t>l’ «</w:t>
      </w:r>
      <w:proofErr w:type="gramEnd"/>
      <w:r w:rsidR="00C66760">
        <w:rPr>
          <w:color w:val="000000"/>
          <w:lang w:val="fr-FR"/>
        </w:rPr>
        <w:t> homme », mais du</w:t>
      </w:r>
      <w:r w:rsidR="00372CDE">
        <w:rPr>
          <w:color w:val="000000"/>
          <w:lang w:val="fr-FR"/>
        </w:rPr>
        <w:t xml:space="preserve"> « terreux ». Ces détails brouillent ainsi la distinction entre le « terreux » (</w:t>
      </w:r>
      <w:proofErr w:type="spellStart"/>
      <w:r w:rsidR="00372CDE" w:rsidRPr="00014EDE">
        <w:rPr>
          <w:rFonts w:hint="cs"/>
          <w:color w:val="000000"/>
        </w:rPr>
        <w:t>הָאָדָם</w:t>
      </w:r>
      <w:proofErr w:type="spellEnd"/>
      <w:r w:rsidR="00372CDE">
        <w:rPr>
          <w:color w:val="000000"/>
        </w:rPr>
        <w:t xml:space="preserve">, </w:t>
      </w:r>
      <w:proofErr w:type="spellStart"/>
      <w:r w:rsidR="00372CDE">
        <w:rPr>
          <w:i/>
          <w:iCs/>
          <w:color w:val="000000"/>
        </w:rPr>
        <w:t>ha’adam</w:t>
      </w:r>
      <w:proofErr w:type="spellEnd"/>
      <w:r w:rsidR="00372CDE">
        <w:rPr>
          <w:color w:val="000000"/>
          <w:lang w:val="fr-FR"/>
        </w:rPr>
        <w:t xml:space="preserve">) androgyne et l’homme masculin, d’autant plus </w:t>
      </w:r>
      <w:proofErr w:type="gramStart"/>
      <w:r w:rsidR="00372CDE">
        <w:rPr>
          <w:color w:val="000000"/>
          <w:lang w:val="fr-FR"/>
        </w:rPr>
        <w:t>qu’ «</w:t>
      </w:r>
      <w:proofErr w:type="gramEnd"/>
      <w:r w:rsidR="00372CDE">
        <w:rPr>
          <w:color w:val="000000"/>
          <w:lang w:val="fr-FR"/>
        </w:rPr>
        <w:t xml:space="preserve"> Adam » – littéralement « le Terreux » </w:t>
      </w:r>
      <w:r w:rsidR="00B477DA">
        <w:rPr>
          <w:color w:val="000000"/>
          <w:lang w:val="fr-FR"/>
        </w:rPr>
        <w:t xml:space="preserve">– </w:t>
      </w:r>
      <w:r w:rsidR="0053335D">
        <w:rPr>
          <w:color w:val="000000"/>
          <w:lang w:val="fr-FR"/>
        </w:rPr>
        <w:t>sera le</w:t>
      </w:r>
      <w:r w:rsidR="00CE0580">
        <w:rPr>
          <w:color w:val="000000"/>
          <w:lang w:val="fr-FR"/>
        </w:rPr>
        <w:t xml:space="preserve"> nom propre du premier homme, dans la suite de la </w:t>
      </w:r>
      <w:r w:rsidR="00CE0580">
        <w:rPr>
          <w:i/>
          <w:iCs/>
          <w:color w:val="000000"/>
          <w:lang w:val="fr-FR"/>
        </w:rPr>
        <w:t>Genèse</w:t>
      </w:r>
      <w:r w:rsidR="00CE0580">
        <w:rPr>
          <w:color w:val="000000"/>
          <w:lang w:val="fr-FR"/>
        </w:rPr>
        <w:t xml:space="preserve"> notamment</w:t>
      </w:r>
      <w:r w:rsidR="00CE0580" w:rsidRPr="00CE0580">
        <w:rPr>
          <w:rStyle w:val="Appelnotedebasdep"/>
          <w:color w:val="000000"/>
          <w:lang w:val="fr-FR"/>
        </w:rPr>
        <w:footnoteReference w:id="83"/>
      </w:r>
      <w:r w:rsidR="00372CDE" w:rsidRPr="00CE0580">
        <w:rPr>
          <w:color w:val="000000"/>
          <w:lang w:val="fr-FR"/>
        </w:rPr>
        <w:t>.</w:t>
      </w:r>
      <w:r w:rsidR="00372CDE">
        <w:rPr>
          <w:color w:val="000000"/>
          <w:lang w:val="fr-FR"/>
        </w:rPr>
        <w:t xml:space="preserve"> On pourrait y voir </w:t>
      </w:r>
      <w:r w:rsidR="00CE0580">
        <w:rPr>
          <w:color w:val="000000"/>
          <w:lang w:val="fr-FR"/>
        </w:rPr>
        <w:t>le signe d’</w:t>
      </w:r>
      <w:r w:rsidR="00372CDE">
        <w:rPr>
          <w:color w:val="000000"/>
          <w:lang w:val="fr-FR"/>
        </w:rPr>
        <w:t xml:space="preserve">un trouble maintenu entre le masculin et le féminin, séparés et unis en même temps. Ce trouble apparaît </w:t>
      </w:r>
      <w:r w:rsidR="00CE0580">
        <w:rPr>
          <w:color w:val="000000"/>
          <w:lang w:val="fr-FR"/>
        </w:rPr>
        <w:t xml:space="preserve">d’ailleurs aussi dans les propos du narrateur qui suivent les mots du « terreux ». Après que femme et homme ont été distingués à partir de la chair unique du terreux androgyne, </w:t>
      </w:r>
      <w:r w:rsidR="00B477DA">
        <w:rPr>
          <w:color w:val="000000"/>
          <w:lang w:val="fr-FR"/>
        </w:rPr>
        <w:t>le narrateur ou la narratrice affirme qu</w:t>
      </w:r>
      <w:proofErr w:type="gramStart"/>
      <w:r w:rsidR="00B477DA">
        <w:rPr>
          <w:color w:val="000000"/>
          <w:lang w:val="fr-FR"/>
        </w:rPr>
        <w:t>’</w:t>
      </w:r>
      <w:r w:rsidR="00CE0580">
        <w:rPr>
          <w:color w:val="000000"/>
          <w:lang w:val="fr-FR"/>
        </w:rPr>
        <w:t>«</w:t>
      </w:r>
      <w:proofErr w:type="gramEnd"/>
      <w:r w:rsidR="00CE0580">
        <w:rPr>
          <w:color w:val="000000"/>
          <w:lang w:val="fr-FR"/>
        </w:rPr>
        <w:t xml:space="preserve"> ils seront vers une seule chair », que cette phrase soit une manière de parler de l’union sexuelle ou qu’elle désigne un possible retour à l’androgynie, dans un futur plus lointain. </w:t>
      </w:r>
    </w:p>
    <w:p w14:paraId="7603C698" w14:textId="33F15ACE" w:rsidR="00C66760" w:rsidRDefault="00286C1F" w:rsidP="00B477DA">
      <w:pPr>
        <w:jc w:val="both"/>
        <w:rPr>
          <w:color w:val="000000"/>
          <w:lang w:val="fr-FR"/>
        </w:rPr>
      </w:pPr>
      <w:r>
        <w:rPr>
          <w:color w:val="000000"/>
          <w:lang w:val="fr-FR"/>
        </w:rPr>
        <w:t xml:space="preserve">Masculin et féminin apparaissent ainsi ici comme à la fois séparés et toujours confondus, non seulement dans ce qui est raconté mais dans la façon dont cet événement est relaté. </w:t>
      </w:r>
      <w:r w:rsidR="00C66760">
        <w:rPr>
          <w:color w:val="000000"/>
          <w:lang w:val="fr-FR"/>
        </w:rPr>
        <w:t>Deux autres éléments contribuent à une non-séparation partielle des deux genres. D’une part, l</w:t>
      </w:r>
      <w:proofErr w:type="gramStart"/>
      <w:r w:rsidR="00C66760">
        <w:rPr>
          <w:color w:val="000000"/>
          <w:lang w:val="fr-FR"/>
        </w:rPr>
        <w:t>’</w:t>
      </w:r>
      <w:r w:rsidR="00B477DA">
        <w:rPr>
          <w:color w:val="000000"/>
          <w:lang w:val="fr-FR"/>
        </w:rPr>
        <w:t>«</w:t>
      </w:r>
      <w:proofErr w:type="gramEnd"/>
      <w:r w:rsidR="00B477DA">
        <w:rPr>
          <w:color w:val="000000"/>
          <w:lang w:val="fr-FR"/>
        </w:rPr>
        <w:t> homme » et la « femme »</w:t>
      </w:r>
      <w:r w:rsidR="005073E7">
        <w:rPr>
          <w:color w:val="000000"/>
          <w:lang w:val="fr-FR"/>
        </w:rPr>
        <w:t xml:space="preserve"> ne se différencient</w:t>
      </w:r>
      <w:r w:rsidR="00C66760">
        <w:rPr>
          <w:color w:val="000000"/>
          <w:lang w:val="fr-FR"/>
        </w:rPr>
        <w:t xml:space="preserve"> </w:t>
      </w:r>
      <w:r w:rsidR="00B477DA">
        <w:rPr>
          <w:color w:val="000000"/>
          <w:lang w:val="fr-FR"/>
        </w:rPr>
        <w:t xml:space="preserve">que </w:t>
      </w:r>
      <w:r w:rsidR="005073E7">
        <w:rPr>
          <w:color w:val="000000"/>
          <w:lang w:val="fr-FR"/>
        </w:rPr>
        <w:t>d’une seule lettre</w:t>
      </w:r>
      <w:r w:rsidR="009F18DA">
        <w:rPr>
          <w:color w:val="000000"/>
          <w:lang w:val="fr-FR"/>
        </w:rPr>
        <w:t xml:space="preserve">. Dans le texte hébreu le plus ancien – sans voyelle et sans signe diacritique – </w:t>
      </w:r>
      <w:r w:rsidR="00B477DA">
        <w:rPr>
          <w:color w:val="000000"/>
          <w:lang w:val="fr-FR"/>
        </w:rPr>
        <w:t>ils</w:t>
      </w:r>
      <w:r w:rsidR="009F18DA">
        <w:rPr>
          <w:color w:val="000000"/>
          <w:lang w:val="fr-FR"/>
        </w:rPr>
        <w:t> sont respectivement</w:t>
      </w:r>
      <w:r w:rsidR="00B477DA">
        <w:rPr>
          <w:color w:val="000000"/>
          <w:lang w:val="fr-FR"/>
        </w:rPr>
        <w:t xml:space="preserve"> </w:t>
      </w:r>
      <w:proofErr w:type="spellStart"/>
      <w:r w:rsidR="00B477DA" w:rsidRPr="00B477DA">
        <w:rPr>
          <w:color w:val="000000"/>
          <w:lang w:val="fr-FR"/>
        </w:rPr>
        <w:t>איש</w:t>
      </w:r>
      <w:proofErr w:type="spellEnd"/>
      <w:r w:rsidR="00B477DA">
        <w:rPr>
          <w:color w:val="000000"/>
          <w:lang w:val="fr-FR"/>
        </w:rPr>
        <w:t xml:space="preserve">, </w:t>
      </w:r>
      <w:r w:rsidR="00B477DA">
        <w:rPr>
          <w:i/>
          <w:iCs/>
          <w:color w:val="000000"/>
          <w:lang w:val="fr-FR"/>
        </w:rPr>
        <w:t>‘</w:t>
      </w:r>
      <w:proofErr w:type="spellStart"/>
      <w:r w:rsidR="00B477DA">
        <w:rPr>
          <w:i/>
          <w:iCs/>
          <w:color w:val="000000"/>
          <w:lang w:val="fr-FR"/>
        </w:rPr>
        <w:t>ish</w:t>
      </w:r>
      <w:proofErr w:type="spellEnd"/>
      <w:r w:rsidR="009F18DA">
        <w:rPr>
          <w:color w:val="000000"/>
          <w:lang w:val="fr-FR"/>
        </w:rPr>
        <w:t xml:space="preserve"> </w:t>
      </w:r>
      <w:r w:rsidR="00B477DA">
        <w:rPr>
          <w:color w:val="000000"/>
          <w:lang w:val="fr-FR"/>
        </w:rPr>
        <w:t xml:space="preserve">et </w:t>
      </w:r>
      <w:proofErr w:type="spellStart"/>
      <w:r w:rsidR="00B477DA" w:rsidRPr="00B477DA">
        <w:rPr>
          <w:color w:val="000000"/>
          <w:lang w:val="fr-FR"/>
        </w:rPr>
        <w:t>אשה</w:t>
      </w:r>
      <w:proofErr w:type="spellEnd"/>
      <w:r w:rsidR="00B477DA">
        <w:rPr>
          <w:color w:val="000000"/>
          <w:lang w:val="fr-FR"/>
        </w:rPr>
        <w:t xml:space="preserve">, </w:t>
      </w:r>
      <w:r w:rsidR="00B477DA">
        <w:rPr>
          <w:i/>
          <w:iCs/>
          <w:color w:val="000000"/>
          <w:lang w:val="fr-FR"/>
        </w:rPr>
        <w:t>‘</w:t>
      </w:r>
      <w:proofErr w:type="spellStart"/>
      <w:r w:rsidR="00B477DA">
        <w:rPr>
          <w:i/>
          <w:iCs/>
          <w:color w:val="000000"/>
          <w:lang w:val="fr-FR"/>
        </w:rPr>
        <w:t>shh</w:t>
      </w:r>
      <w:proofErr w:type="spellEnd"/>
      <w:r w:rsidR="00B477DA">
        <w:rPr>
          <w:color w:val="000000"/>
          <w:lang w:val="fr-FR"/>
        </w:rPr>
        <w:t xml:space="preserve"> – </w:t>
      </w:r>
      <w:proofErr w:type="spellStart"/>
      <w:r w:rsidR="00B477DA" w:rsidRPr="00FB696A">
        <w:rPr>
          <w:color w:val="000000"/>
          <w:lang w:val="fr-FR"/>
        </w:rPr>
        <w:t>אִש</w:t>
      </w:r>
      <w:proofErr w:type="spellEnd"/>
      <w:r w:rsidR="00B477DA" w:rsidRPr="00FB696A">
        <w:rPr>
          <w:color w:val="000000"/>
          <w:lang w:val="fr-FR"/>
        </w:rPr>
        <w:t>ָּׁה</w:t>
      </w:r>
      <w:r w:rsidR="00B477DA">
        <w:rPr>
          <w:color w:val="000000"/>
          <w:lang w:val="fr-FR"/>
        </w:rPr>
        <w:t xml:space="preserve">, </w:t>
      </w:r>
      <w:r w:rsidR="00B477DA">
        <w:rPr>
          <w:i/>
          <w:iCs/>
          <w:color w:val="000000"/>
          <w:lang w:val="fr-FR"/>
        </w:rPr>
        <w:t>‘</w:t>
      </w:r>
      <w:proofErr w:type="spellStart"/>
      <w:r w:rsidR="00B477DA">
        <w:rPr>
          <w:i/>
          <w:iCs/>
          <w:color w:val="000000"/>
          <w:lang w:val="fr-FR"/>
        </w:rPr>
        <w:t>ishah</w:t>
      </w:r>
      <w:proofErr w:type="spellEnd"/>
      <w:r w:rsidR="00B477DA">
        <w:rPr>
          <w:color w:val="000000"/>
          <w:lang w:val="fr-FR"/>
        </w:rPr>
        <w:t xml:space="preserve"> et </w:t>
      </w:r>
      <w:proofErr w:type="spellStart"/>
      <w:r w:rsidR="00B477DA" w:rsidRPr="00A21EBC">
        <w:rPr>
          <w:color w:val="000000"/>
          <w:lang w:val="fr-FR"/>
        </w:rPr>
        <w:t>אִיש</w:t>
      </w:r>
      <w:proofErr w:type="spellEnd"/>
      <w:r w:rsidR="00B477DA" w:rsidRPr="00A21EBC">
        <w:rPr>
          <w:color w:val="000000"/>
          <w:lang w:val="fr-FR"/>
        </w:rPr>
        <w:t>ׁ</w:t>
      </w:r>
      <w:r w:rsidR="00B477DA">
        <w:rPr>
          <w:color w:val="000000"/>
          <w:lang w:val="fr-FR"/>
        </w:rPr>
        <w:t xml:space="preserve">, </w:t>
      </w:r>
      <w:r w:rsidR="00B477DA">
        <w:rPr>
          <w:i/>
          <w:iCs/>
          <w:color w:val="000000"/>
          <w:lang w:val="fr-FR"/>
        </w:rPr>
        <w:t>‘</w:t>
      </w:r>
      <w:proofErr w:type="spellStart"/>
      <w:r w:rsidR="00B477DA">
        <w:rPr>
          <w:i/>
          <w:iCs/>
          <w:color w:val="000000"/>
          <w:lang w:val="fr-FR"/>
        </w:rPr>
        <w:t>ish</w:t>
      </w:r>
      <w:proofErr w:type="spellEnd"/>
      <w:r w:rsidR="00B477DA">
        <w:rPr>
          <w:color w:val="000000"/>
          <w:lang w:val="fr-FR"/>
        </w:rPr>
        <w:t xml:space="preserve"> dans le texte avec vocalisation.</w:t>
      </w:r>
      <w:r w:rsidR="00C66760">
        <w:rPr>
          <w:color w:val="000000"/>
          <w:lang w:val="fr-FR"/>
        </w:rPr>
        <w:t xml:space="preserve"> D’autre part, on pourrait comprendre à partir de cette non-séparation l’étrangeté de la place et des noms des personnages dans la phrase : « Et </w:t>
      </w:r>
      <w:r w:rsidR="00C66760">
        <w:rPr>
          <w:color w:val="000000"/>
          <w:lang w:val="fr-FR"/>
        </w:rPr>
        <w:lastRenderedPageBreak/>
        <w:t xml:space="preserve">il dit, le terreux : </w:t>
      </w:r>
      <w:r w:rsidR="00C66760">
        <w:rPr>
          <w:color w:val="000000"/>
          <w:lang w:val="en-US"/>
        </w:rPr>
        <w:t>“</w:t>
      </w:r>
      <w:r w:rsidR="00C66760">
        <w:rPr>
          <w:color w:val="000000"/>
          <w:lang w:val="fr-FR"/>
        </w:rPr>
        <w:t>Celle-ci, cette fois, est un os tiré de mes os et une chair tirée de ma chair ; pour elle il sera crié « femme » parce que c’est de « homme » qu’elle a été enlevée.</w:t>
      </w:r>
      <w:r w:rsidR="00C66760">
        <w:rPr>
          <w:color w:val="000000"/>
          <w:lang w:val="en-CA"/>
        </w:rPr>
        <w:t>”</w:t>
      </w:r>
      <w:r w:rsidR="00C66760">
        <w:rPr>
          <w:color w:val="000000"/>
          <w:lang w:val="fr-FR"/>
        </w:rPr>
        <w:t xml:space="preserve"> » </w:t>
      </w:r>
      <w:r w:rsidR="0053335D">
        <w:rPr>
          <w:color w:val="000000"/>
          <w:lang w:val="fr-FR"/>
        </w:rPr>
        <w:t>Comme on l’a vu, le</w:t>
      </w:r>
      <w:r w:rsidR="00C66760">
        <w:rPr>
          <w:color w:val="000000"/>
          <w:lang w:val="fr-FR"/>
        </w:rPr>
        <w:t xml:space="preserve"> « terreux » ne devrait plus exister</w:t>
      </w:r>
      <w:r w:rsidR="0053335D">
        <w:rPr>
          <w:color w:val="000000"/>
          <w:lang w:val="fr-FR"/>
        </w:rPr>
        <w:t xml:space="preserve"> à ce point du récit</w:t>
      </w:r>
      <w:r w:rsidR="00C66760">
        <w:rPr>
          <w:color w:val="000000"/>
          <w:lang w:val="fr-FR"/>
        </w:rPr>
        <w:t xml:space="preserve">, à moins de considérer qu’il </w:t>
      </w:r>
      <w:r w:rsidR="0053335D">
        <w:rPr>
          <w:color w:val="000000"/>
          <w:lang w:val="fr-FR"/>
        </w:rPr>
        <w:t>s’agit ici</w:t>
      </w:r>
      <w:r w:rsidR="00C66760">
        <w:rPr>
          <w:color w:val="000000"/>
          <w:lang w:val="fr-FR"/>
        </w:rPr>
        <w:t xml:space="preserve"> d’une autre manière de désigner </w:t>
      </w:r>
      <w:proofErr w:type="gramStart"/>
      <w:r w:rsidR="00C66760">
        <w:rPr>
          <w:color w:val="000000"/>
          <w:lang w:val="fr-FR"/>
        </w:rPr>
        <w:t>l’ «</w:t>
      </w:r>
      <w:proofErr w:type="gramEnd"/>
      <w:r w:rsidR="00C66760">
        <w:rPr>
          <w:color w:val="000000"/>
          <w:lang w:val="fr-FR"/>
        </w:rPr>
        <w:t> homme » masculin. Néanmoins, on pourrait aussi penser que ce sont deux personnes qui s’expriment ici </w:t>
      </w:r>
      <w:r w:rsidR="007B07AC">
        <w:rPr>
          <w:color w:val="000000"/>
          <w:lang w:val="fr-FR"/>
        </w:rPr>
        <w:t xml:space="preserve">en même temps </w:t>
      </w:r>
      <w:r w:rsidR="00C66760">
        <w:rPr>
          <w:color w:val="000000"/>
          <w:lang w:val="fr-FR"/>
        </w:rPr>
        <w:t xml:space="preserve">: « homme » et « femme » </w:t>
      </w:r>
      <w:r w:rsidR="007B07AC">
        <w:rPr>
          <w:color w:val="000000"/>
          <w:lang w:val="fr-FR"/>
        </w:rPr>
        <w:t xml:space="preserve">créent </w:t>
      </w:r>
      <w:r w:rsidR="007B07AC" w:rsidRPr="0053335D">
        <w:rPr>
          <w:i/>
          <w:iCs/>
          <w:color w:val="000000"/>
          <w:lang w:val="fr-FR"/>
        </w:rPr>
        <w:t>ensemble</w:t>
      </w:r>
      <w:r w:rsidR="007B07AC">
        <w:rPr>
          <w:color w:val="000000"/>
          <w:lang w:val="fr-FR"/>
        </w:rPr>
        <w:t xml:space="preserve"> les noms qui les désignent et constatent</w:t>
      </w:r>
      <w:r w:rsidR="0053335D">
        <w:rPr>
          <w:color w:val="000000"/>
          <w:lang w:val="fr-FR"/>
        </w:rPr>
        <w:t xml:space="preserve"> </w:t>
      </w:r>
      <w:r w:rsidR="0053335D">
        <w:rPr>
          <w:i/>
          <w:iCs/>
          <w:color w:val="000000"/>
          <w:lang w:val="fr-FR"/>
        </w:rPr>
        <w:t>ensemble</w:t>
      </w:r>
      <w:r w:rsidR="007B07AC">
        <w:rPr>
          <w:color w:val="000000"/>
          <w:lang w:val="fr-FR"/>
        </w:rPr>
        <w:t xml:space="preserve"> leur séparation autant que leur identité de nature (« un os tiré de mes os » ; « une chair tirée de ma chair ») ; c’est ainsi bel et bien le « terreux » androgyne qui s’exprime ici, mais un terreux qui existe désormais dans deux corps distincts et différents.</w:t>
      </w:r>
    </w:p>
    <w:p w14:paraId="279ABEAA" w14:textId="004CF31F" w:rsidR="0063398A" w:rsidRPr="00484900" w:rsidRDefault="00480387" w:rsidP="00484900">
      <w:pPr>
        <w:jc w:val="both"/>
        <w:rPr>
          <w:color w:val="000000"/>
          <w:lang w:val="fr-FR"/>
        </w:rPr>
      </w:pPr>
      <w:r>
        <w:rPr>
          <w:color w:val="000000"/>
          <w:lang w:val="fr-FR"/>
        </w:rPr>
        <w:t xml:space="preserve">Comme </w:t>
      </w:r>
      <w:r>
        <w:rPr>
          <w:i/>
          <w:iCs/>
          <w:color w:val="000000"/>
          <w:lang w:val="fr-FR"/>
        </w:rPr>
        <w:t>Genèse</w:t>
      </w:r>
      <w:r>
        <w:rPr>
          <w:color w:val="000000"/>
          <w:lang w:val="fr-FR"/>
        </w:rPr>
        <w:t xml:space="preserve"> 1, 27, ce second passage présente aussi d’autres dispositif de brouillage, qui créent </w:t>
      </w:r>
      <w:r w:rsidR="0073793F">
        <w:rPr>
          <w:color w:val="000000"/>
          <w:lang w:val="fr-FR"/>
        </w:rPr>
        <w:t>deux autres</w:t>
      </w:r>
      <w:r>
        <w:rPr>
          <w:color w:val="000000"/>
          <w:lang w:val="fr-FR"/>
        </w:rPr>
        <w:t xml:space="preserve"> troubles, s’ajoutant à celui entre masculin et féminin. Lorsque le narrateur écrit « il fit tomber, IHWH dieux, un sommeil profond sur le terreux, et il s’endormit », celui qui s’endort est-il le terreux ou est-ce IHWH dieux, puisque les deux sont grammaticalement possibles ? Un autre détail brouille les limites entre humain et divin. Le terreux donne son nom à la « femme », ainsi que, en lien avec elle, à </w:t>
      </w:r>
      <w:proofErr w:type="gramStart"/>
      <w:r>
        <w:rPr>
          <w:color w:val="000000"/>
          <w:lang w:val="fr-FR"/>
        </w:rPr>
        <w:t>l’ «</w:t>
      </w:r>
      <w:proofErr w:type="gramEnd"/>
      <w:r>
        <w:rPr>
          <w:color w:val="000000"/>
          <w:lang w:val="fr-FR"/>
        </w:rPr>
        <w:t> homme » : « </w:t>
      </w:r>
      <w:r w:rsidR="005432EF">
        <w:rPr>
          <w:color w:val="000000"/>
          <w:lang w:val="fr-FR"/>
        </w:rPr>
        <w:t>pour</w:t>
      </w:r>
      <w:r>
        <w:rPr>
          <w:color w:val="000000"/>
          <w:lang w:val="fr-FR"/>
        </w:rPr>
        <w:t xml:space="preserve"> elle il sera crié (</w:t>
      </w:r>
      <w:proofErr w:type="spellStart"/>
      <w:r w:rsidRPr="00480387">
        <w:rPr>
          <w:color w:val="000000"/>
          <w:lang w:val="fr-FR"/>
        </w:rPr>
        <w:t>יִק</w:t>
      </w:r>
      <w:proofErr w:type="spellEnd"/>
      <w:r w:rsidRPr="00480387">
        <w:rPr>
          <w:color w:val="000000"/>
          <w:lang w:val="fr-FR"/>
        </w:rPr>
        <w:t>ָּ</w:t>
      </w:r>
      <w:proofErr w:type="spellStart"/>
      <w:r w:rsidRPr="00480387">
        <w:rPr>
          <w:color w:val="000000"/>
          <w:lang w:val="fr-FR"/>
        </w:rPr>
        <w:t>רֵא</w:t>
      </w:r>
      <w:proofErr w:type="spellEnd"/>
      <w:r>
        <w:rPr>
          <w:color w:val="000000"/>
          <w:lang w:val="fr-FR"/>
        </w:rPr>
        <w:t xml:space="preserve">, </w:t>
      </w:r>
      <w:proofErr w:type="spellStart"/>
      <w:r>
        <w:rPr>
          <w:i/>
          <w:iCs/>
          <w:color w:val="000000"/>
          <w:lang w:val="fr-FR"/>
        </w:rPr>
        <w:t>yikar</w:t>
      </w:r>
      <w:proofErr w:type="spellEnd"/>
      <w:r>
        <w:rPr>
          <w:i/>
          <w:iCs/>
          <w:color w:val="000000"/>
          <w:lang w:val="fr-FR"/>
        </w:rPr>
        <w:t>’</w:t>
      </w:r>
      <w:r>
        <w:rPr>
          <w:color w:val="000000"/>
          <w:lang w:val="fr-FR"/>
        </w:rPr>
        <w:t xml:space="preserve">) </w:t>
      </w:r>
      <w:r>
        <w:rPr>
          <w:color w:val="000000"/>
          <w:lang w:val="en-CA"/>
        </w:rPr>
        <w:t>“</w:t>
      </w:r>
      <w:r w:rsidRPr="00480387">
        <w:rPr>
          <w:color w:val="000000"/>
          <w:lang w:val="en-CA"/>
        </w:rPr>
        <w:t>femme</w:t>
      </w:r>
      <w:r>
        <w:rPr>
          <w:color w:val="000000"/>
          <w:lang w:val="en-CA"/>
        </w:rPr>
        <w:t>”</w:t>
      </w:r>
      <w:r>
        <w:rPr>
          <w:color w:val="000000"/>
          <w:lang w:val="fr-FR"/>
        </w:rPr>
        <w:t xml:space="preserve"> parce que c’est de </w:t>
      </w:r>
      <w:r>
        <w:rPr>
          <w:color w:val="000000"/>
          <w:lang w:val="en-CA"/>
        </w:rPr>
        <w:t>“</w:t>
      </w:r>
      <w:r>
        <w:rPr>
          <w:color w:val="000000"/>
          <w:lang w:val="fr-FR"/>
        </w:rPr>
        <w:t>homme</w:t>
      </w:r>
      <w:r>
        <w:rPr>
          <w:color w:val="000000"/>
          <w:lang w:val="en-CA"/>
        </w:rPr>
        <w:t>”</w:t>
      </w:r>
      <w:r>
        <w:rPr>
          <w:color w:val="000000"/>
          <w:lang w:val="fr-FR"/>
        </w:rPr>
        <w:t xml:space="preserve"> (</w:t>
      </w:r>
      <w:proofErr w:type="spellStart"/>
      <w:r w:rsidRPr="00A21EBC">
        <w:rPr>
          <w:color w:val="000000"/>
          <w:lang w:val="fr-FR"/>
        </w:rPr>
        <w:t>אִיש</w:t>
      </w:r>
      <w:proofErr w:type="spellEnd"/>
      <w:r w:rsidRPr="00A21EBC">
        <w:rPr>
          <w:color w:val="000000"/>
          <w:lang w:val="fr-FR"/>
        </w:rPr>
        <w:t>ׁ</w:t>
      </w:r>
      <w:r>
        <w:rPr>
          <w:color w:val="000000"/>
          <w:lang w:val="fr-FR"/>
        </w:rPr>
        <w:t xml:space="preserve">, </w:t>
      </w:r>
      <w:r>
        <w:rPr>
          <w:i/>
          <w:iCs/>
          <w:color w:val="000000"/>
          <w:lang w:val="fr-FR"/>
        </w:rPr>
        <w:t>‘</w:t>
      </w:r>
      <w:proofErr w:type="spellStart"/>
      <w:r>
        <w:rPr>
          <w:i/>
          <w:iCs/>
          <w:color w:val="000000"/>
          <w:lang w:val="fr-FR"/>
        </w:rPr>
        <w:t>ish</w:t>
      </w:r>
      <w:proofErr w:type="spellEnd"/>
      <w:r>
        <w:rPr>
          <w:color w:val="000000"/>
          <w:lang w:val="fr-FR"/>
        </w:rPr>
        <w:t xml:space="preserve">) qu’elle a été enlevée ». </w:t>
      </w:r>
      <w:r w:rsidR="007F07AA">
        <w:rPr>
          <w:color w:val="000000"/>
          <w:lang w:val="fr-FR"/>
        </w:rPr>
        <w:t>De la même façon, dans le même chapitre, il avait « cri[é] (</w:t>
      </w:r>
      <w:proofErr w:type="spellStart"/>
      <w:r w:rsidR="007F07AA" w:rsidRPr="00480387">
        <w:rPr>
          <w:color w:val="000000"/>
          <w:lang w:val="fr-FR"/>
        </w:rPr>
        <w:t>קרא</w:t>
      </w:r>
      <w:proofErr w:type="spellEnd"/>
      <w:r w:rsidR="007F07AA">
        <w:rPr>
          <w:color w:val="000000"/>
          <w:lang w:val="fr-FR"/>
        </w:rPr>
        <w:t xml:space="preserve">, </w:t>
      </w:r>
      <w:proofErr w:type="spellStart"/>
      <w:r w:rsidR="007F07AA">
        <w:rPr>
          <w:i/>
          <w:iCs/>
          <w:color w:val="000000"/>
          <w:lang w:val="fr-FR"/>
        </w:rPr>
        <w:t>kr</w:t>
      </w:r>
      <w:proofErr w:type="spellEnd"/>
      <w:r w:rsidR="007F07AA">
        <w:rPr>
          <w:i/>
          <w:iCs/>
          <w:color w:val="000000"/>
          <w:lang w:val="fr-FR"/>
        </w:rPr>
        <w:t>’</w:t>
      </w:r>
      <w:r w:rsidR="007F07AA">
        <w:rPr>
          <w:color w:val="000000"/>
          <w:lang w:val="fr-FR"/>
        </w:rPr>
        <w:t>) des noms » pour les animaux</w:t>
      </w:r>
      <w:r w:rsidR="007F07AA">
        <w:rPr>
          <w:rStyle w:val="Appelnotedebasdep"/>
          <w:color w:val="000000"/>
          <w:lang w:val="fr-FR"/>
        </w:rPr>
        <w:footnoteReference w:id="84"/>
      </w:r>
      <w:r w:rsidR="007F07AA">
        <w:rPr>
          <w:color w:val="000000"/>
          <w:lang w:val="fr-FR"/>
        </w:rPr>
        <w:t xml:space="preserve">. </w:t>
      </w:r>
      <w:r>
        <w:rPr>
          <w:color w:val="000000"/>
          <w:lang w:val="fr-FR"/>
        </w:rPr>
        <w:t xml:space="preserve">Or, </w:t>
      </w:r>
      <w:r w:rsidR="007F07AA">
        <w:rPr>
          <w:color w:val="000000"/>
          <w:lang w:val="fr-FR"/>
        </w:rPr>
        <w:t xml:space="preserve">cet acte de nomination le rapproche de « dieux » qui, dans le premier chapitre, </w:t>
      </w:r>
      <w:r>
        <w:rPr>
          <w:color w:val="000000"/>
          <w:lang w:val="fr-FR"/>
        </w:rPr>
        <w:t xml:space="preserve">avait donné </w:t>
      </w:r>
      <w:r w:rsidR="007F07AA">
        <w:rPr>
          <w:color w:val="000000"/>
          <w:lang w:val="fr-FR"/>
        </w:rPr>
        <w:t>des</w:t>
      </w:r>
      <w:r>
        <w:rPr>
          <w:color w:val="000000"/>
          <w:lang w:val="fr-FR"/>
        </w:rPr>
        <w:t xml:space="preserve"> noms </w:t>
      </w:r>
      <w:r w:rsidR="007F07AA">
        <w:rPr>
          <w:color w:val="000000"/>
          <w:lang w:val="fr-FR"/>
        </w:rPr>
        <w:t>à plusieurs</w:t>
      </w:r>
      <w:r>
        <w:rPr>
          <w:color w:val="000000"/>
          <w:lang w:val="fr-FR"/>
        </w:rPr>
        <w:t xml:space="preserve"> créations</w:t>
      </w:r>
      <w:r w:rsidR="007F07AA">
        <w:rPr>
          <w:color w:val="000000"/>
          <w:lang w:val="fr-FR"/>
        </w:rPr>
        <w:t>, ce qui avait été à chaque fois exprimé au moyen du verbe</w:t>
      </w:r>
      <w:r>
        <w:rPr>
          <w:color w:val="000000"/>
          <w:lang w:val="fr-FR"/>
        </w:rPr>
        <w:t xml:space="preserve"> </w:t>
      </w:r>
      <w:proofErr w:type="spellStart"/>
      <w:r w:rsidRPr="00480387">
        <w:rPr>
          <w:color w:val="000000"/>
          <w:lang w:val="fr-FR"/>
        </w:rPr>
        <w:t>קרא</w:t>
      </w:r>
      <w:proofErr w:type="spellEnd"/>
      <w:r>
        <w:rPr>
          <w:color w:val="000000"/>
          <w:lang w:val="fr-FR"/>
        </w:rPr>
        <w:t xml:space="preserve">, </w:t>
      </w:r>
      <w:proofErr w:type="spellStart"/>
      <w:r>
        <w:rPr>
          <w:i/>
          <w:iCs/>
          <w:color w:val="000000"/>
          <w:lang w:val="fr-FR"/>
        </w:rPr>
        <w:t>kr</w:t>
      </w:r>
      <w:proofErr w:type="spellEnd"/>
      <w:r>
        <w:rPr>
          <w:i/>
          <w:iCs/>
          <w:color w:val="000000"/>
          <w:lang w:val="fr-FR"/>
        </w:rPr>
        <w:t>’</w:t>
      </w:r>
      <w:r w:rsidR="007F07AA">
        <w:rPr>
          <w:i/>
          <w:iCs/>
          <w:color w:val="000000"/>
          <w:lang w:val="fr-FR"/>
        </w:rPr>
        <w:t xml:space="preserve"> </w:t>
      </w:r>
      <w:r w:rsidR="007F07AA">
        <w:rPr>
          <w:color w:val="000000"/>
          <w:lang w:val="fr-FR"/>
        </w:rPr>
        <w:t>« crier »</w:t>
      </w:r>
      <w:r w:rsidR="00A442C4">
        <w:rPr>
          <w:color w:val="000000"/>
          <w:lang w:val="fr-FR"/>
        </w:rPr>
        <w:t xml:space="preserve"> également</w:t>
      </w:r>
      <w:r w:rsidR="007F07AA">
        <w:rPr>
          <w:color w:val="000000"/>
          <w:lang w:val="fr-FR"/>
        </w:rPr>
        <w:t xml:space="preserve"> : </w:t>
      </w:r>
      <w:r>
        <w:rPr>
          <w:color w:val="000000"/>
          <w:lang w:val="fr-FR"/>
        </w:rPr>
        <w:t>« Et il cria (</w:t>
      </w:r>
      <w:proofErr w:type="spellStart"/>
      <w:r w:rsidRPr="00480387">
        <w:rPr>
          <w:color w:val="000000"/>
          <w:lang w:val="fr-FR"/>
        </w:rPr>
        <w:t>וַי</w:t>
      </w:r>
      <w:proofErr w:type="spellEnd"/>
      <w:r w:rsidRPr="00480387">
        <w:rPr>
          <w:color w:val="000000"/>
          <w:lang w:val="fr-FR"/>
        </w:rPr>
        <w:t>ִּ</w:t>
      </w:r>
      <w:proofErr w:type="spellStart"/>
      <w:r w:rsidRPr="00480387">
        <w:rPr>
          <w:color w:val="000000"/>
          <w:lang w:val="fr-FR"/>
        </w:rPr>
        <w:t>קְרָא</w:t>
      </w:r>
      <w:proofErr w:type="spellEnd"/>
      <w:r>
        <w:rPr>
          <w:color w:val="000000"/>
          <w:lang w:val="fr-FR"/>
        </w:rPr>
        <w:t xml:space="preserve">, </w:t>
      </w:r>
      <w:proofErr w:type="spellStart"/>
      <w:r>
        <w:rPr>
          <w:i/>
          <w:iCs/>
          <w:color w:val="000000"/>
          <w:lang w:val="fr-FR"/>
        </w:rPr>
        <w:t>wayikra</w:t>
      </w:r>
      <w:proofErr w:type="spellEnd"/>
      <w:r>
        <w:rPr>
          <w:i/>
          <w:iCs/>
          <w:color w:val="000000"/>
          <w:lang w:val="fr-FR"/>
        </w:rPr>
        <w:t>’</w:t>
      </w:r>
      <w:r>
        <w:rPr>
          <w:color w:val="000000"/>
          <w:lang w:val="fr-FR"/>
        </w:rPr>
        <w:t xml:space="preserve">), dieux, pour la lumière </w:t>
      </w:r>
      <w:r w:rsidR="001E3D43">
        <w:rPr>
          <w:color w:val="000000"/>
          <w:lang w:val="en-CA"/>
        </w:rPr>
        <w:t>“</w:t>
      </w:r>
      <w:r>
        <w:rPr>
          <w:color w:val="000000"/>
          <w:lang w:val="fr-FR"/>
        </w:rPr>
        <w:t>jour</w:t>
      </w:r>
      <w:r w:rsidR="001E3D43">
        <w:rPr>
          <w:color w:val="000000"/>
          <w:lang w:val="en-CA"/>
        </w:rPr>
        <w:t>”</w:t>
      </w:r>
      <w:r>
        <w:rPr>
          <w:color w:val="000000"/>
          <w:lang w:val="fr-FR"/>
        </w:rPr>
        <w:t xml:space="preserve"> et pour</w:t>
      </w:r>
      <w:r w:rsidR="001E3D43">
        <w:rPr>
          <w:color w:val="000000"/>
          <w:lang w:val="fr-FR"/>
        </w:rPr>
        <w:t xml:space="preserve"> l’obscurité</w:t>
      </w:r>
      <w:r>
        <w:rPr>
          <w:color w:val="000000"/>
          <w:lang w:val="fr-FR"/>
        </w:rPr>
        <w:t xml:space="preserve"> </w:t>
      </w:r>
      <w:r w:rsidR="001E3D43">
        <w:rPr>
          <w:color w:val="000000"/>
          <w:lang w:val="fr-FR"/>
        </w:rPr>
        <w:t>il cria (</w:t>
      </w:r>
      <w:proofErr w:type="spellStart"/>
      <w:r w:rsidR="001E3D43" w:rsidRPr="00480387">
        <w:rPr>
          <w:color w:val="000000"/>
          <w:lang w:val="fr-FR"/>
        </w:rPr>
        <w:t>קָרָא</w:t>
      </w:r>
      <w:proofErr w:type="spellEnd"/>
      <w:r w:rsidR="001E3D43">
        <w:rPr>
          <w:color w:val="000000"/>
          <w:lang w:val="fr-FR"/>
        </w:rPr>
        <w:t xml:space="preserve">, </w:t>
      </w:r>
      <w:proofErr w:type="spellStart"/>
      <w:r w:rsidR="001E3D43">
        <w:rPr>
          <w:i/>
          <w:iCs/>
          <w:color w:val="000000"/>
          <w:lang w:val="fr-FR"/>
        </w:rPr>
        <w:t>kara</w:t>
      </w:r>
      <w:proofErr w:type="spellEnd"/>
      <w:r w:rsidR="001E3D43">
        <w:rPr>
          <w:i/>
          <w:iCs/>
          <w:color w:val="000000"/>
          <w:lang w:val="fr-FR"/>
        </w:rPr>
        <w:t>’</w:t>
      </w:r>
      <w:r w:rsidR="001E3D43">
        <w:rPr>
          <w:color w:val="000000"/>
          <w:lang w:val="fr-FR"/>
        </w:rPr>
        <w:t xml:space="preserve">) </w:t>
      </w:r>
      <w:r w:rsidR="001E3D43">
        <w:rPr>
          <w:color w:val="000000"/>
          <w:lang w:val="en-CA"/>
        </w:rPr>
        <w:t>“</w:t>
      </w:r>
      <w:r w:rsidR="001E3D43">
        <w:rPr>
          <w:color w:val="000000"/>
          <w:lang w:val="fr-FR"/>
        </w:rPr>
        <w:t>nuit</w:t>
      </w:r>
      <w:r w:rsidR="001E3D43">
        <w:rPr>
          <w:color w:val="000000"/>
          <w:lang w:val="en-CA"/>
        </w:rPr>
        <w:t>”</w:t>
      </w:r>
      <w:r w:rsidR="001E3D43">
        <w:rPr>
          <w:rStyle w:val="Appelnotedebasdep"/>
          <w:color w:val="000000"/>
          <w:lang w:val="en-CA"/>
        </w:rPr>
        <w:footnoteReference w:id="85"/>
      </w:r>
      <w:r w:rsidR="001E3D43">
        <w:rPr>
          <w:color w:val="000000"/>
          <w:lang w:val="fr-FR"/>
        </w:rPr>
        <w:t> »</w:t>
      </w:r>
      <w:r w:rsidR="007F07AA">
        <w:rPr>
          <w:color w:val="000000"/>
          <w:lang w:val="fr-FR"/>
        </w:rPr>
        <w:t xml:space="preserve"> ; </w:t>
      </w:r>
      <w:r w:rsidR="005432EF">
        <w:rPr>
          <w:color w:val="000000"/>
          <w:lang w:val="fr-FR"/>
        </w:rPr>
        <w:t>« Et il cria (</w:t>
      </w:r>
      <w:proofErr w:type="spellStart"/>
      <w:r w:rsidR="005432EF" w:rsidRPr="00480387">
        <w:rPr>
          <w:color w:val="000000"/>
          <w:lang w:val="fr-FR"/>
        </w:rPr>
        <w:t>וַי</w:t>
      </w:r>
      <w:proofErr w:type="spellEnd"/>
      <w:r w:rsidR="005432EF" w:rsidRPr="00480387">
        <w:rPr>
          <w:color w:val="000000"/>
          <w:lang w:val="fr-FR"/>
        </w:rPr>
        <w:t>ִּ</w:t>
      </w:r>
      <w:proofErr w:type="spellStart"/>
      <w:r w:rsidR="005432EF" w:rsidRPr="00480387">
        <w:rPr>
          <w:color w:val="000000"/>
          <w:lang w:val="fr-FR"/>
        </w:rPr>
        <w:t>קְרָא</w:t>
      </w:r>
      <w:proofErr w:type="spellEnd"/>
      <w:r w:rsidR="005432EF">
        <w:rPr>
          <w:color w:val="000000"/>
          <w:lang w:val="fr-FR"/>
        </w:rPr>
        <w:t xml:space="preserve">, </w:t>
      </w:r>
      <w:proofErr w:type="spellStart"/>
      <w:r w:rsidR="005432EF">
        <w:rPr>
          <w:i/>
          <w:iCs/>
          <w:color w:val="000000"/>
          <w:lang w:val="fr-FR"/>
        </w:rPr>
        <w:t>wayikra</w:t>
      </w:r>
      <w:proofErr w:type="spellEnd"/>
      <w:r w:rsidR="005432EF">
        <w:rPr>
          <w:i/>
          <w:iCs/>
          <w:color w:val="000000"/>
          <w:lang w:val="fr-FR"/>
        </w:rPr>
        <w:t>’</w:t>
      </w:r>
      <w:r w:rsidR="005432EF">
        <w:rPr>
          <w:color w:val="000000"/>
          <w:lang w:val="fr-FR"/>
        </w:rPr>
        <w:t xml:space="preserve">), dieux, pour la surface </w:t>
      </w:r>
      <w:r w:rsidR="005432EF">
        <w:rPr>
          <w:color w:val="000000"/>
          <w:lang w:val="en-CA"/>
        </w:rPr>
        <w:t>“</w:t>
      </w:r>
      <w:r w:rsidR="005432EF">
        <w:rPr>
          <w:color w:val="000000"/>
          <w:lang w:val="fr-FR"/>
        </w:rPr>
        <w:t>cieux</w:t>
      </w:r>
      <w:r w:rsidR="005432EF">
        <w:rPr>
          <w:color w:val="000000"/>
          <w:lang w:val="en-CA"/>
        </w:rPr>
        <w:t>”</w:t>
      </w:r>
      <w:r w:rsidR="005432EF">
        <w:rPr>
          <w:rStyle w:val="Appelnotedebasdep"/>
          <w:color w:val="000000"/>
          <w:lang w:val="en-CA"/>
        </w:rPr>
        <w:footnoteReference w:id="86"/>
      </w:r>
      <w:r w:rsidR="005432EF">
        <w:rPr>
          <w:color w:val="000000"/>
          <w:lang w:val="fr-FR"/>
        </w:rPr>
        <w:t> » : « Et il cria (</w:t>
      </w:r>
      <w:proofErr w:type="spellStart"/>
      <w:r w:rsidR="005432EF" w:rsidRPr="00480387">
        <w:rPr>
          <w:color w:val="000000"/>
          <w:lang w:val="fr-FR"/>
        </w:rPr>
        <w:t>וַי</w:t>
      </w:r>
      <w:proofErr w:type="spellEnd"/>
      <w:r w:rsidR="005432EF" w:rsidRPr="00480387">
        <w:rPr>
          <w:color w:val="000000"/>
          <w:lang w:val="fr-FR"/>
        </w:rPr>
        <w:t>ִּ</w:t>
      </w:r>
      <w:proofErr w:type="spellStart"/>
      <w:r w:rsidR="005432EF" w:rsidRPr="00480387">
        <w:rPr>
          <w:color w:val="000000"/>
          <w:lang w:val="fr-FR"/>
        </w:rPr>
        <w:t>קְרָא</w:t>
      </w:r>
      <w:proofErr w:type="spellEnd"/>
      <w:r w:rsidR="005432EF">
        <w:rPr>
          <w:color w:val="000000"/>
          <w:lang w:val="fr-FR"/>
        </w:rPr>
        <w:t xml:space="preserve">, </w:t>
      </w:r>
      <w:proofErr w:type="spellStart"/>
      <w:r w:rsidR="005432EF">
        <w:rPr>
          <w:i/>
          <w:iCs/>
          <w:color w:val="000000"/>
          <w:lang w:val="fr-FR"/>
        </w:rPr>
        <w:t>wayikra</w:t>
      </w:r>
      <w:proofErr w:type="spellEnd"/>
      <w:r w:rsidR="005432EF">
        <w:rPr>
          <w:i/>
          <w:iCs/>
          <w:color w:val="000000"/>
          <w:lang w:val="fr-FR"/>
        </w:rPr>
        <w:t>’</w:t>
      </w:r>
      <w:r w:rsidR="005432EF">
        <w:rPr>
          <w:color w:val="000000"/>
          <w:lang w:val="fr-FR"/>
        </w:rPr>
        <w:t xml:space="preserve">), dieux, pour le sec </w:t>
      </w:r>
      <w:r w:rsidR="005432EF">
        <w:rPr>
          <w:color w:val="000000"/>
          <w:lang w:val="en-CA"/>
        </w:rPr>
        <w:t>“</w:t>
      </w:r>
      <w:r w:rsidR="005432EF">
        <w:rPr>
          <w:color w:val="000000"/>
          <w:lang w:val="fr-FR"/>
        </w:rPr>
        <w:t>terre</w:t>
      </w:r>
      <w:r w:rsidR="005432EF">
        <w:rPr>
          <w:color w:val="000000"/>
          <w:lang w:val="en-CA"/>
        </w:rPr>
        <w:t xml:space="preserve">” et pour </w:t>
      </w:r>
      <w:proofErr w:type="spellStart"/>
      <w:r w:rsidR="005F136A">
        <w:rPr>
          <w:color w:val="000000"/>
          <w:lang w:val="en-CA"/>
        </w:rPr>
        <w:t>l’agglomération</w:t>
      </w:r>
      <w:proofErr w:type="spellEnd"/>
      <w:r w:rsidR="005F136A">
        <w:rPr>
          <w:color w:val="000000"/>
          <w:lang w:val="en-CA"/>
        </w:rPr>
        <w:t xml:space="preserve"> des eaux il </w:t>
      </w:r>
      <w:proofErr w:type="spellStart"/>
      <w:r w:rsidR="005F136A">
        <w:rPr>
          <w:color w:val="000000"/>
          <w:lang w:val="en-CA"/>
        </w:rPr>
        <w:t>cria</w:t>
      </w:r>
      <w:proofErr w:type="spellEnd"/>
      <w:r w:rsidR="005F136A">
        <w:rPr>
          <w:color w:val="000000"/>
          <w:lang w:val="en-CA"/>
        </w:rPr>
        <w:t xml:space="preserve"> </w:t>
      </w:r>
      <w:r w:rsidR="005F136A">
        <w:rPr>
          <w:color w:val="000000"/>
          <w:lang w:val="fr-FR"/>
        </w:rPr>
        <w:t>(</w:t>
      </w:r>
      <w:proofErr w:type="spellStart"/>
      <w:r w:rsidR="005F136A" w:rsidRPr="00480387">
        <w:rPr>
          <w:color w:val="000000"/>
          <w:lang w:val="fr-FR"/>
        </w:rPr>
        <w:t>קָרָא</w:t>
      </w:r>
      <w:proofErr w:type="spellEnd"/>
      <w:r w:rsidR="005F136A">
        <w:rPr>
          <w:color w:val="000000"/>
          <w:lang w:val="fr-FR"/>
        </w:rPr>
        <w:t xml:space="preserve">, </w:t>
      </w:r>
      <w:proofErr w:type="spellStart"/>
      <w:r w:rsidR="005F136A">
        <w:rPr>
          <w:i/>
          <w:iCs/>
          <w:color w:val="000000"/>
          <w:lang w:val="fr-FR"/>
        </w:rPr>
        <w:t>kara</w:t>
      </w:r>
      <w:proofErr w:type="spellEnd"/>
      <w:r w:rsidR="005F136A">
        <w:rPr>
          <w:i/>
          <w:iCs/>
          <w:color w:val="000000"/>
          <w:lang w:val="fr-FR"/>
        </w:rPr>
        <w:t>’</w:t>
      </w:r>
      <w:r w:rsidR="005F136A">
        <w:rPr>
          <w:color w:val="000000"/>
          <w:lang w:val="fr-FR"/>
        </w:rPr>
        <w:t xml:space="preserve">) </w:t>
      </w:r>
      <w:r w:rsidR="005F136A">
        <w:rPr>
          <w:color w:val="000000"/>
          <w:lang w:val="en-CA"/>
        </w:rPr>
        <w:t>“</w:t>
      </w:r>
      <w:r w:rsidR="005F136A">
        <w:rPr>
          <w:color w:val="000000"/>
          <w:lang w:val="fr-FR"/>
        </w:rPr>
        <w:t>mers</w:t>
      </w:r>
      <w:r w:rsidR="005F136A">
        <w:rPr>
          <w:color w:val="000000"/>
          <w:lang w:val="en-CA"/>
        </w:rPr>
        <w:t>”</w:t>
      </w:r>
      <w:r w:rsidR="005F136A">
        <w:rPr>
          <w:rStyle w:val="Appelnotedebasdep"/>
          <w:color w:val="000000"/>
          <w:lang w:val="en-CA"/>
        </w:rPr>
        <w:footnoteReference w:id="87"/>
      </w:r>
      <w:r w:rsidR="005F136A">
        <w:rPr>
          <w:color w:val="000000"/>
          <w:lang w:val="fr-FR"/>
        </w:rPr>
        <w:t> ».</w:t>
      </w:r>
      <w:r w:rsidR="00477A6C">
        <w:rPr>
          <w:color w:val="000000"/>
          <w:lang w:val="fr-FR"/>
        </w:rPr>
        <w:t xml:space="preserve"> </w:t>
      </w:r>
      <w:r w:rsidR="0073793F" w:rsidRPr="0073793F">
        <w:rPr>
          <w:color w:val="000000"/>
          <w:lang w:val="fr-FR"/>
        </w:rPr>
        <w:t>Enfin, que l’homme et la femme puisse</w:t>
      </w:r>
      <w:r w:rsidR="003A4F77">
        <w:rPr>
          <w:color w:val="000000"/>
          <w:lang w:val="fr-FR"/>
        </w:rPr>
        <w:t>nt</w:t>
      </w:r>
      <w:r w:rsidR="0073793F" w:rsidRPr="0073793F">
        <w:rPr>
          <w:color w:val="000000"/>
          <w:lang w:val="fr-FR"/>
        </w:rPr>
        <w:t xml:space="preserve"> « [être] vers une seule (</w:t>
      </w:r>
      <w:proofErr w:type="spellStart"/>
      <w:r w:rsidR="0073793F" w:rsidRPr="0073793F">
        <w:rPr>
          <w:color w:val="000000"/>
          <w:lang w:val="fr-FR"/>
        </w:rPr>
        <w:t>אֶחָד</w:t>
      </w:r>
      <w:proofErr w:type="spellEnd"/>
      <w:r w:rsidR="0073793F" w:rsidRPr="0073793F">
        <w:rPr>
          <w:color w:val="000000"/>
          <w:lang w:val="fr-FR"/>
        </w:rPr>
        <w:t xml:space="preserve">, </w:t>
      </w:r>
      <w:r w:rsidR="0073793F" w:rsidRPr="0073793F">
        <w:rPr>
          <w:i/>
          <w:iCs/>
          <w:color w:val="000000"/>
          <w:lang w:val="fr-FR"/>
        </w:rPr>
        <w:t>‘</w:t>
      </w:r>
      <w:proofErr w:type="spellStart"/>
      <w:r w:rsidR="0073793F" w:rsidRPr="0073793F">
        <w:rPr>
          <w:i/>
          <w:iCs/>
          <w:color w:val="000000"/>
          <w:lang w:val="fr-FR"/>
        </w:rPr>
        <w:t>êhad</w:t>
      </w:r>
      <w:proofErr w:type="spellEnd"/>
      <w:r w:rsidR="0073793F" w:rsidRPr="0073793F">
        <w:rPr>
          <w:color w:val="000000"/>
          <w:lang w:val="fr-FR"/>
        </w:rPr>
        <w:t>) chair »</w:t>
      </w:r>
      <w:r w:rsidR="0073793F">
        <w:rPr>
          <w:color w:val="000000"/>
          <w:lang w:val="fr-FR"/>
        </w:rPr>
        <w:t xml:space="preserve"> les rapproche de dieux, si on considère un autre passage biblique, dans le livre du </w:t>
      </w:r>
      <w:r w:rsidR="0073793F">
        <w:rPr>
          <w:i/>
          <w:iCs/>
          <w:color w:val="000000"/>
          <w:lang w:val="fr-FR"/>
        </w:rPr>
        <w:t>Deutéronome</w:t>
      </w:r>
      <w:r w:rsidR="0073793F">
        <w:rPr>
          <w:color w:val="000000"/>
          <w:lang w:val="fr-FR"/>
        </w:rPr>
        <w:t>, où dieux déclare : « Écoute, Israël, IHWH dieux est un seul (</w:t>
      </w:r>
      <w:proofErr w:type="spellStart"/>
      <w:r w:rsidR="0073793F" w:rsidRPr="0073793F">
        <w:rPr>
          <w:color w:val="000000"/>
          <w:lang w:val="fr-FR"/>
        </w:rPr>
        <w:t>אֶחָד</w:t>
      </w:r>
      <w:proofErr w:type="spellEnd"/>
      <w:r w:rsidR="0073793F">
        <w:rPr>
          <w:color w:val="000000"/>
          <w:lang w:val="fr-FR"/>
        </w:rPr>
        <w:t xml:space="preserve">, </w:t>
      </w:r>
      <w:r w:rsidR="0073793F">
        <w:rPr>
          <w:i/>
          <w:iCs/>
          <w:color w:val="000000"/>
          <w:lang w:val="fr-FR"/>
        </w:rPr>
        <w:t>‘</w:t>
      </w:r>
      <w:proofErr w:type="spellStart"/>
      <w:r w:rsidR="0073793F">
        <w:rPr>
          <w:i/>
          <w:iCs/>
          <w:color w:val="000000"/>
          <w:lang w:val="fr-FR"/>
        </w:rPr>
        <w:t>êhad</w:t>
      </w:r>
      <w:proofErr w:type="spellEnd"/>
      <w:r w:rsidR="0073793F">
        <w:rPr>
          <w:color w:val="000000"/>
          <w:lang w:val="fr-FR"/>
        </w:rPr>
        <w:t>)</w:t>
      </w:r>
      <w:r w:rsidR="0073793F">
        <w:rPr>
          <w:rStyle w:val="Appelnotedebasdep"/>
          <w:color w:val="000000"/>
          <w:lang w:val="fr-FR"/>
        </w:rPr>
        <w:footnoteReference w:id="88"/>
      </w:r>
      <w:r w:rsidR="0073793F">
        <w:rPr>
          <w:color w:val="000000"/>
          <w:lang w:val="fr-FR"/>
        </w:rPr>
        <w:t>. »</w:t>
      </w:r>
      <w:r w:rsidR="003A4F77">
        <w:rPr>
          <w:color w:val="000000"/>
          <w:lang w:val="fr-FR"/>
        </w:rPr>
        <w:t xml:space="preserve"> On pourrait également rapprocher la « </w:t>
      </w:r>
      <w:r w:rsidR="003A4F77" w:rsidRPr="0073793F">
        <w:rPr>
          <w:color w:val="000000"/>
          <w:lang w:val="fr-FR"/>
        </w:rPr>
        <w:t>seule (</w:t>
      </w:r>
      <w:proofErr w:type="spellStart"/>
      <w:r w:rsidR="003A4F77" w:rsidRPr="0073793F">
        <w:rPr>
          <w:color w:val="000000"/>
          <w:lang w:val="fr-FR"/>
        </w:rPr>
        <w:t>אֶחָד</w:t>
      </w:r>
      <w:proofErr w:type="spellEnd"/>
      <w:r w:rsidR="003A4F77" w:rsidRPr="0073793F">
        <w:rPr>
          <w:color w:val="000000"/>
          <w:lang w:val="fr-FR"/>
        </w:rPr>
        <w:t xml:space="preserve">, </w:t>
      </w:r>
      <w:r w:rsidR="003A4F77" w:rsidRPr="0073793F">
        <w:rPr>
          <w:i/>
          <w:iCs/>
          <w:color w:val="000000"/>
          <w:lang w:val="fr-FR"/>
        </w:rPr>
        <w:t>‘</w:t>
      </w:r>
      <w:proofErr w:type="spellStart"/>
      <w:r w:rsidR="003A4F77" w:rsidRPr="0073793F">
        <w:rPr>
          <w:i/>
          <w:iCs/>
          <w:color w:val="000000"/>
          <w:lang w:val="fr-FR"/>
        </w:rPr>
        <w:t>êhad</w:t>
      </w:r>
      <w:proofErr w:type="spellEnd"/>
      <w:r w:rsidR="003A4F77" w:rsidRPr="0073793F">
        <w:rPr>
          <w:color w:val="000000"/>
          <w:lang w:val="fr-FR"/>
        </w:rPr>
        <w:t>) chair »</w:t>
      </w:r>
      <w:r w:rsidR="003A4F77">
        <w:rPr>
          <w:color w:val="000000"/>
          <w:lang w:val="fr-FR"/>
        </w:rPr>
        <w:t xml:space="preserve"> que peuvent être l’homme et la femme</w:t>
      </w:r>
      <w:r w:rsidR="00A442C4">
        <w:rPr>
          <w:color w:val="000000"/>
          <w:lang w:val="fr-FR"/>
        </w:rPr>
        <w:t>,</w:t>
      </w:r>
      <w:r w:rsidR="003A4F77">
        <w:rPr>
          <w:color w:val="000000"/>
          <w:lang w:val="fr-FR"/>
        </w:rPr>
        <w:t xml:space="preserve"> d’un autre passage, plus proche. Dans le premier chapitre de </w:t>
      </w:r>
      <w:r w:rsidR="003A4F77">
        <w:rPr>
          <w:i/>
          <w:iCs/>
          <w:color w:val="000000"/>
          <w:lang w:val="fr-FR"/>
        </w:rPr>
        <w:t>Genèse</w:t>
      </w:r>
      <w:r w:rsidR="003A4F77">
        <w:rPr>
          <w:color w:val="000000"/>
          <w:lang w:val="fr-FR"/>
        </w:rPr>
        <w:t>, le jour où dieux sépare « lumière » et « obscurité » et nomme le premier « jour » et le second « nuit » est désigné comme « jour un seul » : « Et il fut jour et il fut soir. Jour un seul (</w:t>
      </w:r>
      <w:proofErr w:type="spellStart"/>
      <w:r w:rsidR="003A4F77" w:rsidRPr="0073793F">
        <w:rPr>
          <w:color w:val="000000"/>
          <w:lang w:val="fr-FR"/>
        </w:rPr>
        <w:t>אֶחָד</w:t>
      </w:r>
      <w:proofErr w:type="spellEnd"/>
      <w:r w:rsidR="003A4F77">
        <w:rPr>
          <w:color w:val="000000"/>
          <w:lang w:val="fr-FR"/>
        </w:rPr>
        <w:t xml:space="preserve">, </w:t>
      </w:r>
      <w:r w:rsidR="003A4F77">
        <w:rPr>
          <w:i/>
          <w:iCs/>
          <w:color w:val="000000"/>
          <w:lang w:val="fr-FR"/>
        </w:rPr>
        <w:t>‘</w:t>
      </w:r>
      <w:proofErr w:type="spellStart"/>
      <w:r w:rsidR="003A4F77">
        <w:rPr>
          <w:i/>
          <w:iCs/>
          <w:color w:val="000000"/>
          <w:lang w:val="fr-FR"/>
        </w:rPr>
        <w:t>êhad</w:t>
      </w:r>
      <w:proofErr w:type="spellEnd"/>
      <w:r w:rsidR="003A4F77">
        <w:rPr>
          <w:color w:val="000000"/>
          <w:lang w:val="fr-FR"/>
        </w:rPr>
        <w:t>)</w:t>
      </w:r>
      <w:r w:rsidR="003A4F77">
        <w:rPr>
          <w:rStyle w:val="Appelnotedebasdep"/>
          <w:color w:val="000000"/>
          <w:lang w:val="fr-FR"/>
        </w:rPr>
        <w:footnoteReference w:id="89"/>
      </w:r>
      <w:r w:rsidR="003A4F77">
        <w:rPr>
          <w:color w:val="000000"/>
          <w:lang w:val="fr-FR"/>
        </w:rPr>
        <w:t xml:space="preserve">. », alors que les autres jours de la Création seront désignés par des </w:t>
      </w:r>
      <w:r w:rsidR="00BA5F60">
        <w:rPr>
          <w:color w:val="000000"/>
          <w:lang w:val="fr-FR"/>
        </w:rPr>
        <w:t>ordinaux. C’est ainsi que le jour de la création du Ciel est le « jour deuxième</w:t>
      </w:r>
      <w:r w:rsidR="00BA5F60">
        <w:rPr>
          <w:rStyle w:val="Appelnotedebasdep"/>
          <w:color w:val="000000"/>
          <w:lang w:val="fr-FR"/>
        </w:rPr>
        <w:footnoteReference w:id="90"/>
      </w:r>
      <w:r w:rsidR="00BA5F60">
        <w:rPr>
          <w:color w:val="000000"/>
          <w:lang w:val="fr-FR"/>
        </w:rPr>
        <w:t> »</w:t>
      </w:r>
      <w:r w:rsidR="00A442C4">
        <w:rPr>
          <w:color w:val="000000"/>
          <w:lang w:val="fr-FR"/>
        </w:rPr>
        <w:t xml:space="preserve"> et</w:t>
      </w:r>
      <w:r w:rsidR="00BA5F60">
        <w:rPr>
          <w:color w:val="000000"/>
          <w:lang w:val="fr-FR"/>
        </w:rPr>
        <w:t xml:space="preserve"> celui de</w:t>
      </w:r>
      <w:r w:rsidR="00A442C4">
        <w:rPr>
          <w:color w:val="000000"/>
          <w:lang w:val="fr-FR"/>
        </w:rPr>
        <w:t xml:space="preserve"> la création de</w:t>
      </w:r>
      <w:r w:rsidR="00BA5F60">
        <w:rPr>
          <w:color w:val="000000"/>
          <w:lang w:val="fr-FR"/>
        </w:rPr>
        <w:t xml:space="preserve"> la terre avec les plantes et des mers le « jour troisième</w:t>
      </w:r>
      <w:r w:rsidR="00BA5F60">
        <w:rPr>
          <w:rStyle w:val="Appelnotedebasdep"/>
          <w:color w:val="000000"/>
          <w:lang w:val="fr-FR"/>
        </w:rPr>
        <w:footnoteReference w:id="91"/>
      </w:r>
      <w:r w:rsidR="00BA5F60">
        <w:rPr>
          <w:color w:val="000000"/>
          <w:lang w:val="fr-FR"/>
        </w:rPr>
        <w:t xml:space="preserve"> ». </w:t>
      </w:r>
      <w:r w:rsidR="00D61981">
        <w:rPr>
          <w:color w:val="000000"/>
          <w:lang w:val="fr-FR"/>
        </w:rPr>
        <w:t>Q</w:t>
      </w:r>
      <w:r w:rsidR="00BA5F60">
        <w:rPr>
          <w:color w:val="000000"/>
          <w:lang w:val="fr-FR"/>
        </w:rPr>
        <w:t>ue le premier jour de la Création soit « </w:t>
      </w:r>
      <w:r w:rsidR="00A442C4">
        <w:rPr>
          <w:color w:val="000000"/>
          <w:lang w:val="fr-FR"/>
        </w:rPr>
        <w:t>j</w:t>
      </w:r>
      <w:r w:rsidR="00BA5F60">
        <w:rPr>
          <w:color w:val="000000"/>
          <w:lang w:val="fr-FR"/>
        </w:rPr>
        <w:t>our un seul » et non pas le « premier jour »</w:t>
      </w:r>
      <w:r w:rsidR="00506D72">
        <w:rPr>
          <w:color w:val="000000"/>
          <w:lang w:val="fr-FR"/>
        </w:rPr>
        <w:t xml:space="preserve"> pourrait indiquer que dieux est alors le « seul » vivant qui existe, qu’il est alors « un seul » dans l’univers</w:t>
      </w:r>
      <w:r w:rsidR="00506D72">
        <w:rPr>
          <w:rStyle w:val="Appelnotedebasdep"/>
          <w:color w:val="000000"/>
          <w:lang w:val="fr-FR"/>
        </w:rPr>
        <w:footnoteReference w:id="92"/>
      </w:r>
      <w:r w:rsidR="00506D72">
        <w:rPr>
          <w:color w:val="000000"/>
          <w:lang w:val="fr-FR"/>
        </w:rPr>
        <w:t>. On pourrait aussi lire ce « jour un seul » par rapport aux récits sur la création du terreux et à sa séparation</w:t>
      </w:r>
      <w:r w:rsidR="0063398A">
        <w:rPr>
          <w:color w:val="000000"/>
          <w:lang w:val="fr-FR"/>
        </w:rPr>
        <w:t xml:space="preserve"> relative entre homme et femme. En effet, le premier verset de </w:t>
      </w:r>
      <w:r w:rsidR="0063398A">
        <w:rPr>
          <w:i/>
          <w:iCs/>
          <w:color w:val="000000"/>
          <w:lang w:val="fr-FR"/>
        </w:rPr>
        <w:t>Genèse</w:t>
      </w:r>
      <w:r w:rsidR="0063398A">
        <w:rPr>
          <w:color w:val="000000"/>
          <w:lang w:val="fr-FR"/>
        </w:rPr>
        <w:t xml:space="preserve"> présente dieux comme à la fois pluriel et singulier, en raison de la particularité grammaticale que nous avons déjà relevée – un sujet au pluriel avec un verbe au </w:t>
      </w:r>
      <w:r w:rsidR="0063398A">
        <w:rPr>
          <w:color w:val="000000"/>
          <w:lang w:val="fr-FR"/>
        </w:rPr>
        <w:lastRenderedPageBreak/>
        <w:t>singulier : « Dans le commencement, il créa, dieux,</w:t>
      </w:r>
      <w:r w:rsidR="00D554A8">
        <w:rPr>
          <w:color w:val="000000"/>
          <w:lang w:val="fr-FR"/>
        </w:rPr>
        <w:t xml:space="preserve"> (</w:t>
      </w:r>
      <w:r w:rsidR="00D554A8" w:rsidRPr="00506D72">
        <w:rPr>
          <w:color w:val="000000"/>
          <w:lang w:val="fr-FR"/>
        </w:rPr>
        <w:t>בָּ</w:t>
      </w:r>
      <w:proofErr w:type="spellStart"/>
      <w:r w:rsidR="00D554A8" w:rsidRPr="00506D72">
        <w:rPr>
          <w:color w:val="000000"/>
          <w:lang w:val="fr-FR"/>
        </w:rPr>
        <w:t>רָא</w:t>
      </w:r>
      <w:proofErr w:type="spellEnd"/>
      <w:r w:rsidR="00D554A8" w:rsidRPr="00506D72">
        <w:rPr>
          <w:color w:val="000000"/>
          <w:lang w:val="fr-FR"/>
        </w:rPr>
        <w:t xml:space="preserve"> </w:t>
      </w:r>
      <w:proofErr w:type="spellStart"/>
      <w:r w:rsidR="00D554A8" w:rsidRPr="00506D72">
        <w:rPr>
          <w:color w:val="000000"/>
          <w:lang w:val="fr-FR"/>
        </w:rPr>
        <w:t>אֱלֹהִים</w:t>
      </w:r>
      <w:proofErr w:type="spellEnd"/>
      <w:r w:rsidR="00D554A8">
        <w:rPr>
          <w:color w:val="000000"/>
          <w:lang w:val="fr-FR"/>
        </w:rPr>
        <w:t xml:space="preserve">, </w:t>
      </w:r>
      <w:proofErr w:type="spellStart"/>
      <w:r w:rsidR="00D554A8">
        <w:rPr>
          <w:i/>
          <w:iCs/>
          <w:color w:val="000000"/>
          <w:lang w:val="fr-FR"/>
        </w:rPr>
        <w:t>bara</w:t>
      </w:r>
      <w:proofErr w:type="spellEnd"/>
      <w:r w:rsidR="00D554A8">
        <w:rPr>
          <w:i/>
          <w:iCs/>
          <w:color w:val="000000"/>
          <w:lang w:val="fr-FR"/>
        </w:rPr>
        <w:t xml:space="preserve">’ </w:t>
      </w:r>
      <w:proofErr w:type="spellStart"/>
      <w:r w:rsidR="00D554A8">
        <w:rPr>
          <w:i/>
          <w:iCs/>
          <w:color w:val="000000"/>
          <w:lang w:val="fr-FR"/>
        </w:rPr>
        <w:t>êlohim</w:t>
      </w:r>
      <w:proofErr w:type="spellEnd"/>
      <w:r w:rsidR="00D554A8">
        <w:rPr>
          <w:color w:val="000000"/>
          <w:lang w:val="fr-FR"/>
        </w:rPr>
        <w:t>)</w:t>
      </w:r>
      <w:r w:rsidR="0063398A">
        <w:rPr>
          <w:color w:val="000000"/>
          <w:lang w:val="fr-FR"/>
        </w:rPr>
        <w:t xml:space="preserve"> l</w:t>
      </w:r>
      <w:r w:rsidR="00E60003">
        <w:rPr>
          <w:color w:val="000000"/>
          <w:lang w:val="fr-FR"/>
        </w:rPr>
        <w:t>es cieux et la terre</w:t>
      </w:r>
      <w:r w:rsidR="00E60003">
        <w:rPr>
          <w:rStyle w:val="Appelnotedebasdep"/>
          <w:color w:val="000000"/>
          <w:lang w:val="fr-FR"/>
        </w:rPr>
        <w:footnoteReference w:id="93"/>
      </w:r>
      <w:r w:rsidR="00E60003">
        <w:rPr>
          <w:color w:val="000000"/>
          <w:lang w:val="fr-FR"/>
        </w:rPr>
        <w:t>. »</w:t>
      </w:r>
      <w:r w:rsidR="00D554A8">
        <w:rPr>
          <w:color w:val="000000"/>
          <w:lang w:val="fr-FR"/>
        </w:rPr>
        <w:t xml:space="preserve"> Dans la suite du récit, on pourrait considérer que la pluralité de « dieux » est accentuée lorsque le narrateur ou la narratrice explique que « le souffle de dieux </w:t>
      </w:r>
      <w:r w:rsidR="00D66A68">
        <w:rPr>
          <w:color w:val="000000"/>
          <w:lang w:val="fr-FR"/>
        </w:rPr>
        <w:t>planait sur les faces (</w:t>
      </w:r>
      <w:r w:rsidR="00D66A68" w:rsidRPr="00506D72">
        <w:rPr>
          <w:color w:val="000000"/>
          <w:lang w:val="fr-FR"/>
        </w:rPr>
        <w:t>פְּ</w:t>
      </w:r>
      <w:proofErr w:type="spellStart"/>
      <w:r w:rsidR="00D66A68" w:rsidRPr="00506D72">
        <w:rPr>
          <w:color w:val="000000"/>
          <w:lang w:val="fr-FR"/>
        </w:rPr>
        <w:t>נֵי</w:t>
      </w:r>
      <w:proofErr w:type="spellEnd"/>
      <w:r w:rsidR="00D66A68">
        <w:rPr>
          <w:color w:val="000000"/>
          <w:lang w:val="fr-FR"/>
        </w:rPr>
        <w:t xml:space="preserve">, </w:t>
      </w:r>
      <w:proofErr w:type="spellStart"/>
      <w:r w:rsidR="00D66A68">
        <w:rPr>
          <w:i/>
          <w:iCs/>
          <w:color w:val="000000"/>
          <w:lang w:val="fr-FR"/>
        </w:rPr>
        <w:t>pénéi</w:t>
      </w:r>
      <w:proofErr w:type="spellEnd"/>
      <w:r w:rsidR="00D66A68">
        <w:rPr>
          <w:color w:val="000000"/>
          <w:lang w:val="fr-FR"/>
        </w:rPr>
        <w:t>) des eaux</w:t>
      </w:r>
      <w:r w:rsidR="00D66A68">
        <w:rPr>
          <w:rStyle w:val="Appelnotedebasdep"/>
          <w:color w:val="000000"/>
          <w:lang w:val="fr-FR"/>
        </w:rPr>
        <w:footnoteReference w:id="94"/>
      </w:r>
      <w:r w:rsidR="00D66A68">
        <w:rPr>
          <w:color w:val="000000"/>
          <w:lang w:val="fr-FR"/>
        </w:rPr>
        <w:t> ».</w:t>
      </w:r>
      <w:r w:rsidR="000D5A88">
        <w:rPr>
          <w:color w:val="000000"/>
          <w:lang w:val="fr-FR"/>
        </w:rPr>
        <w:t xml:space="preserve"> « Dieux » et son souffle semblent ici dissociés, comme si sa respiration était séparée du reste de son être, cette impression étant encore accentuée par le fait que le premier visage mentionné dans ce texte n’est pas celui de « dieux », mais les visages d’un élément naturel : « les faces des eaux ».</w:t>
      </w:r>
      <w:r w:rsidR="00484900">
        <w:rPr>
          <w:color w:val="000000"/>
          <w:lang w:val="fr-FR"/>
        </w:rPr>
        <w:t xml:space="preserve"> La même dissociation de « dieux » pourrait même être présente dès le premier verset si on choisit de tradui</w:t>
      </w:r>
      <w:r w:rsidR="00A442C4">
        <w:rPr>
          <w:color w:val="000000"/>
          <w:lang w:val="fr-FR"/>
        </w:rPr>
        <w:t>re</w:t>
      </w:r>
      <w:r w:rsidR="00484900">
        <w:rPr>
          <w:color w:val="000000"/>
          <w:lang w:val="fr-FR"/>
        </w:rPr>
        <w:t xml:space="preserve"> son premier mot, </w:t>
      </w:r>
      <w:r w:rsidR="00484900" w:rsidRPr="00484900">
        <w:rPr>
          <w:color w:val="000000"/>
          <w:lang w:val="fr-FR"/>
        </w:rPr>
        <w:t>בְּ</w:t>
      </w:r>
      <w:proofErr w:type="spellStart"/>
      <w:r w:rsidR="00484900" w:rsidRPr="00484900">
        <w:rPr>
          <w:color w:val="000000"/>
          <w:lang w:val="fr-FR"/>
        </w:rPr>
        <w:t>רֵאש</w:t>
      </w:r>
      <w:proofErr w:type="spellEnd"/>
      <w:r w:rsidR="00484900" w:rsidRPr="00484900">
        <w:rPr>
          <w:color w:val="000000"/>
          <w:lang w:val="fr-FR"/>
        </w:rPr>
        <w:t>ִׁ</w:t>
      </w:r>
      <w:proofErr w:type="spellStart"/>
      <w:r w:rsidR="00484900" w:rsidRPr="00484900">
        <w:rPr>
          <w:color w:val="000000"/>
          <w:lang w:val="fr-FR"/>
        </w:rPr>
        <w:t>ית</w:t>
      </w:r>
      <w:proofErr w:type="spellEnd"/>
      <w:r w:rsidR="00484900">
        <w:rPr>
          <w:color w:val="000000"/>
          <w:lang w:val="fr-FR"/>
        </w:rPr>
        <w:t xml:space="preserve">, </w:t>
      </w:r>
      <w:proofErr w:type="spellStart"/>
      <w:r w:rsidR="00484900">
        <w:rPr>
          <w:i/>
          <w:iCs/>
          <w:color w:val="000000"/>
          <w:lang w:val="fr-FR"/>
        </w:rPr>
        <w:t>béréshit</w:t>
      </w:r>
      <w:proofErr w:type="spellEnd"/>
      <w:r w:rsidR="00484900">
        <w:rPr>
          <w:color w:val="000000"/>
          <w:lang w:val="fr-FR"/>
        </w:rPr>
        <w:t xml:space="preserve"> par « dans la tête » </w:t>
      </w:r>
      <w:r w:rsidR="00A442C4">
        <w:rPr>
          <w:color w:val="000000"/>
          <w:lang w:val="fr-FR"/>
        </w:rPr>
        <w:t>plutôt</w:t>
      </w:r>
      <w:r w:rsidR="00484900">
        <w:rPr>
          <w:color w:val="000000"/>
          <w:lang w:val="fr-FR"/>
        </w:rPr>
        <w:t xml:space="preserve"> que par « dans le commencement », puisque le nom </w:t>
      </w:r>
      <w:proofErr w:type="spellStart"/>
      <w:r w:rsidR="00484900" w:rsidRPr="00484900">
        <w:rPr>
          <w:color w:val="000000"/>
          <w:lang w:val="fr-FR"/>
        </w:rPr>
        <w:t>רֹאש</w:t>
      </w:r>
      <w:proofErr w:type="spellEnd"/>
      <w:r w:rsidR="00484900" w:rsidRPr="00484900">
        <w:rPr>
          <w:color w:val="000000"/>
          <w:lang w:val="fr-FR"/>
        </w:rPr>
        <w:t>ׁ</w:t>
      </w:r>
      <w:r w:rsidR="00484900">
        <w:rPr>
          <w:color w:val="000000"/>
          <w:lang w:val="fr-FR"/>
        </w:rPr>
        <w:t xml:space="preserve">, </w:t>
      </w:r>
      <w:proofErr w:type="spellStart"/>
      <w:r w:rsidR="00484900">
        <w:rPr>
          <w:i/>
          <w:iCs/>
          <w:color w:val="000000"/>
          <w:lang w:val="fr-FR"/>
        </w:rPr>
        <w:t>rosh</w:t>
      </w:r>
      <w:proofErr w:type="spellEnd"/>
      <w:r w:rsidR="00484900">
        <w:rPr>
          <w:color w:val="000000"/>
          <w:lang w:val="fr-FR"/>
        </w:rPr>
        <w:t xml:space="preserve"> signifie, entre autres, à la fois « commencement » et « tête ». Dans ce cas, le premier verset présenterait une séparation entre « dieux » et sa « tête ».</w:t>
      </w:r>
      <w:r w:rsidR="000D5A88">
        <w:rPr>
          <w:color w:val="000000"/>
          <w:lang w:val="fr-FR"/>
        </w:rPr>
        <w:t xml:space="preserve"> Au contraire, le « Jour un seul » en </w:t>
      </w:r>
      <w:r w:rsidR="000D5A88">
        <w:rPr>
          <w:i/>
          <w:iCs/>
          <w:color w:val="000000"/>
          <w:lang w:val="fr-FR"/>
        </w:rPr>
        <w:t>Genèse</w:t>
      </w:r>
      <w:r w:rsidR="000D5A88">
        <w:rPr>
          <w:color w:val="000000"/>
          <w:lang w:val="fr-FR"/>
        </w:rPr>
        <w:t xml:space="preserve"> 1, 5 </w:t>
      </w:r>
      <w:r w:rsidR="00484900">
        <w:rPr>
          <w:color w:val="000000"/>
          <w:lang w:val="fr-FR"/>
        </w:rPr>
        <w:t>fait de</w:t>
      </w:r>
      <w:r w:rsidR="000D5A88">
        <w:rPr>
          <w:color w:val="000000"/>
          <w:lang w:val="fr-FR"/>
        </w:rPr>
        <w:t xml:space="preserve"> « dieux » </w:t>
      </w:r>
      <w:r w:rsidR="00484900">
        <w:rPr>
          <w:color w:val="000000"/>
          <w:lang w:val="fr-FR"/>
        </w:rPr>
        <w:t xml:space="preserve">une entité « une » </w:t>
      </w:r>
      <w:r w:rsidR="00A442C4">
        <w:rPr>
          <w:color w:val="000000"/>
          <w:lang w:val="fr-FR"/>
        </w:rPr>
        <w:t>et unifiée</w:t>
      </w:r>
      <w:r w:rsidR="00484900">
        <w:rPr>
          <w:color w:val="000000"/>
          <w:lang w:val="fr-FR"/>
        </w:rPr>
        <w:t xml:space="preserve">. Ainsi, dans les premiers versets de la </w:t>
      </w:r>
      <w:r w:rsidR="00484900">
        <w:rPr>
          <w:i/>
          <w:iCs/>
          <w:color w:val="000000"/>
          <w:lang w:val="fr-FR"/>
        </w:rPr>
        <w:t>Genèse</w:t>
      </w:r>
      <w:r w:rsidR="00484900">
        <w:rPr>
          <w:color w:val="000000"/>
          <w:lang w:val="fr-FR"/>
        </w:rPr>
        <w:t xml:space="preserve">, « dieux » existe comme le « terreux » dans les deux passages que nous avons analysés : comme </w:t>
      </w:r>
      <w:r w:rsidR="00D3263D">
        <w:rPr>
          <w:color w:val="000000"/>
          <w:lang w:val="fr-FR"/>
        </w:rPr>
        <w:t>oscillant entre unité et séparation.</w:t>
      </w:r>
    </w:p>
    <w:p w14:paraId="1E06A74A" w14:textId="2DD9ABDA" w:rsidR="005E4B83" w:rsidRDefault="00477A6C" w:rsidP="00477A6C">
      <w:pPr>
        <w:jc w:val="both"/>
        <w:rPr>
          <w:color w:val="000000"/>
          <w:lang w:val="fr-FR"/>
        </w:rPr>
      </w:pPr>
      <w:r>
        <w:rPr>
          <w:color w:val="000000"/>
          <w:lang w:val="fr-FR"/>
        </w:rPr>
        <w:t xml:space="preserve">Enfin, </w:t>
      </w:r>
      <w:r>
        <w:rPr>
          <w:i/>
          <w:iCs/>
          <w:color w:val="000000"/>
          <w:lang w:val="fr-FR"/>
        </w:rPr>
        <w:t>Genèse</w:t>
      </w:r>
      <w:r>
        <w:rPr>
          <w:color w:val="000000"/>
          <w:lang w:val="fr-FR"/>
        </w:rPr>
        <w:t xml:space="preserve"> 2, 21-25 est </w:t>
      </w:r>
      <w:r w:rsidR="00484900">
        <w:rPr>
          <w:color w:val="000000"/>
          <w:lang w:val="fr-FR"/>
        </w:rPr>
        <w:t xml:space="preserve">aussi </w:t>
      </w:r>
      <w:r>
        <w:rPr>
          <w:color w:val="000000"/>
          <w:lang w:val="fr-FR"/>
        </w:rPr>
        <w:t xml:space="preserve">marqué par un brouillage au niveau de la narration. </w:t>
      </w:r>
      <w:r w:rsidR="00946796">
        <w:rPr>
          <w:color w:val="000000"/>
          <w:lang w:val="fr-FR"/>
        </w:rPr>
        <w:t xml:space="preserve">Puisque – quelle que soit la façon dont on </w:t>
      </w:r>
      <w:r w:rsidR="00A442C4">
        <w:rPr>
          <w:color w:val="000000"/>
          <w:lang w:val="fr-FR"/>
        </w:rPr>
        <w:t>comprend</w:t>
      </w:r>
      <w:r w:rsidR="00946796">
        <w:rPr>
          <w:color w:val="000000"/>
          <w:lang w:val="fr-FR"/>
        </w:rPr>
        <w:t xml:space="preserve"> ses mots – le terreux parle de lui-même à la troisième personne (« à elle il sera crié </w:t>
      </w:r>
      <w:r w:rsidR="00946796">
        <w:rPr>
          <w:color w:val="000000"/>
          <w:lang w:val="en-CA"/>
        </w:rPr>
        <w:t>“</w:t>
      </w:r>
      <w:r w:rsidR="00946796">
        <w:rPr>
          <w:color w:val="000000"/>
          <w:lang w:val="fr-FR"/>
        </w:rPr>
        <w:t>femme</w:t>
      </w:r>
      <w:r w:rsidR="00946796">
        <w:rPr>
          <w:color w:val="000000"/>
          <w:lang w:val="en-CA"/>
        </w:rPr>
        <w:t>”</w:t>
      </w:r>
      <w:r w:rsidR="00946796">
        <w:rPr>
          <w:color w:val="000000"/>
          <w:lang w:val="fr-FR"/>
        </w:rPr>
        <w:t xml:space="preserve"> parce que c’est de </w:t>
      </w:r>
      <w:r w:rsidR="00946796">
        <w:rPr>
          <w:color w:val="000000"/>
          <w:lang w:val="en-CA"/>
        </w:rPr>
        <w:t>“</w:t>
      </w:r>
      <w:r w:rsidR="00946796">
        <w:rPr>
          <w:color w:val="000000"/>
          <w:lang w:val="fr-FR"/>
        </w:rPr>
        <w:t>homme</w:t>
      </w:r>
      <w:r w:rsidR="00946796">
        <w:rPr>
          <w:color w:val="000000"/>
          <w:lang w:val="en-CA"/>
        </w:rPr>
        <w:t>”</w:t>
      </w:r>
      <w:r w:rsidR="00946796">
        <w:rPr>
          <w:color w:val="000000"/>
          <w:lang w:val="fr-FR"/>
        </w:rPr>
        <w:t xml:space="preserve"> qu’elle a été enlevée » – et comme il n’y a pas de ponctuation dans le texte hébreu le plus ancien, rien n’empêche que la phrase suivant</w:t>
      </w:r>
      <w:r w:rsidR="00286C1F">
        <w:rPr>
          <w:color w:val="000000"/>
          <w:lang w:val="fr-FR"/>
        </w:rPr>
        <w:t xml:space="preserve">e (« C’est pourquoi il quittera, un homme, son père et sa mère et il </w:t>
      </w:r>
      <w:r w:rsidR="00286C1F" w:rsidRPr="00A7042D">
        <w:rPr>
          <w:color w:val="000000"/>
          <w:lang w:val="fr-FR"/>
        </w:rPr>
        <w:t>s’attachera</w:t>
      </w:r>
      <w:r w:rsidR="00286C1F">
        <w:rPr>
          <w:color w:val="000000"/>
          <w:lang w:val="fr-FR"/>
        </w:rPr>
        <w:t xml:space="preserve"> à sa femme et ils seront vers une seule chair. ») </w:t>
      </w:r>
      <w:r w:rsidR="00946796">
        <w:rPr>
          <w:color w:val="000000"/>
          <w:lang w:val="fr-FR"/>
        </w:rPr>
        <w:t xml:space="preserve">fasse aussi partie des mots </w:t>
      </w:r>
      <w:r w:rsidR="00286C1F">
        <w:rPr>
          <w:color w:val="000000"/>
          <w:lang w:val="fr-FR"/>
        </w:rPr>
        <w:t xml:space="preserve">prononcés par le terreux. On pourrait également considérer, à l’inverse, que seuls les mots « Celle-ci, cette fois, est un os tiré de mes os et une chair tirée de ma chair. » sont des paroles du terreux et que la suite (« à elle il sera crié… ») doit être rattachée à la voix du narrateur ou de la narratrice. Il existe ainsi une zone de floue entre ce que dit le personnage – </w:t>
      </w:r>
      <w:r w:rsidR="00A442C4">
        <w:rPr>
          <w:color w:val="000000"/>
          <w:lang w:val="fr-FR"/>
        </w:rPr>
        <w:t>dont</w:t>
      </w:r>
      <w:r w:rsidR="00286C1F">
        <w:rPr>
          <w:color w:val="000000"/>
          <w:lang w:val="fr-FR"/>
        </w:rPr>
        <w:t xml:space="preserve"> l’identité pos</w:t>
      </w:r>
      <w:r w:rsidR="00A442C4">
        <w:rPr>
          <w:color w:val="000000"/>
          <w:lang w:val="fr-FR"/>
        </w:rPr>
        <w:t>e</w:t>
      </w:r>
      <w:r w:rsidR="00286C1F">
        <w:rPr>
          <w:color w:val="000000"/>
          <w:lang w:val="fr-FR"/>
        </w:rPr>
        <w:t xml:space="preserve"> elle aussi problème – et la narration principale.</w:t>
      </w:r>
      <w:r w:rsidR="007B07AC">
        <w:rPr>
          <w:color w:val="000000"/>
          <w:lang w:val="fr-FR"/>
        </w:rPr>
        <w:t xml:space="preserve"> </w:t>
      </w:r>
    </w:p>
    <w:p w14:paraId="04B27E53" w14:textId="60E8BE3B" w:rsidR="005E4B83" w:rsidRDefault="007B07AC" w:rsidP="002E41A8">
      <w:pPr>
        <w:jc w:val="both"/>
        <w:rPr>
          <w:color w:val="000000"/>
          <w:lang w:val="fr-FR"/>
        </w:rPr>
      </w:pPr>
      <w:r>
        <w:rPr>
          <w:color w:val="000000"/>
          <w:lang w:val="fr-FR"/>
        </w:rPr>
        <w:t xml:space="preserve">Ainsi, le trouble entre masculin et féminin va ici de pair avec un trouble entre </w:t>
      </w:r>
      <w:r w:rsidR="005E4B83">
        <w:rPr>
          <w:color w:val="000000"/>
          <w:lang w:val="fr-FR"/>
        </w:rPr>
        <w:t>humain</w:t>
      </w:r>
      <w:r>
        <w:rPr>
          <w:color w:val="000000"/>
          <w:lang w:val="fr-FR"/>
        </w:rPr>
        <w:t xml:space="preserve"> et </w:t>
      </w:r>
      <w:r w:rsidR="005E4B83">
        <w:rPr>
          <w:color w:val="000000"/>
          <w:lang w:val="fr-FR"/>
        </w:rPr>
        <w:t>divin</w:t>
      </w:r>
      <w:r>
        <w:rPr>
          <w:color w:val="000000"/>
          <w:lang w:val="fr-FR"/>
        </w:rPr>
        <w:t xml:space="preserve">, ainsi qu’avec un trouble qui concerne l’organisation du texte. </w:t>
      </w:r>
      <w:r w:rsidR="006A70F1">
        <w:rPr>
          <w:color w:val="000000"/>
          <w:lang w:val="fr-FR"/>
        </w:rPr>
        <w:t>Ce dernier fait confirme, je crois, la manière dont j’avais proposé d’envisager la lecture de la Bible</w:t>
      </w:r>
      <w:r w:rsidR="00434C41">
        <w:rPr>
          <w:color w:val="000000"/>
          <w:lang w:val="fr-FR"/>
        </w:rPr>
        <w:t xml:space="preserve">. Cette dernière </w:t>
      </w:r>
      <w:r w:rsidR="006A70F1">
        <w:rPr>
          <w:color w:val="000000"/>
          <w:lang w:val="fr-FR"/>
        </w:rPr>
        <w:t xml:space="preserve">n’est pas un texte </w:t>
      </w:r>
      <w:r w:rsidR="00434C41">
        <w:rPr>
          <w:color w:val="000000"/>
          <w:lang w:val="fr-FR"/>
        </w:rPr>
        <w:t>qui impose</w:t>
      </w:r>
      <w:r w:rsidR="006A70F1">
        <w:rPr>
          <w:color w:val="000000"/>
          <w:lang w:val="fr-FR"/>
        </w:rPr>
        <w:t xml:space="preserve"> un ou plusieurs sens</w:t>
      </w:r>
      <w:r w:rsidR="00434C41">
        <w:rPr>
          <w:color w:val="000000"/>
          <w:lang w:val="fr-FR"/>
        </w:rPr>
        <w:t xml:space="preserve"> qui auraient une valeur d’obligations à suivre. Au contraire, en elle, certains sens peuvent coexister tout en étant contradictoires</w:t>
      </w:r>
      <w:r w:rsidR="002A04ED">
        <w:rPr>
          <w:color w:val="000000"/>
          <w:lang w:val="fr-FR"/>
        </w:rPr>
        <w:t xml:space="preserve"> – ainsi, le « terreux » est ici à la fois l’humain androgyne avant la séparation entre l’homme et la femme, l’androgyne qu’homme et femme constituent encore</w:t>
      </w:r>
      <w:r w:rsidR="00A442C4">
        <w:rPr>
          <w:color w:val="000000"/>
          <w:lang w:val="fr-FR"/>
        </w:rPr>
        <w:t>,</w:t>
      </w:r>
      <w:r w:rsidR="002A04ED">
        <w:rPr>
          <w:color w:val="000000"/>
          <w:lang w:val="fr-FR"/>
        </w:rPr>
        <w:t xml:space="preserve"> même après cette séparation</w:t>
      </w:r>
      <w:r w:rsidR="00A442C4">
        <w:rPr>
          <w:color w:val="000000"/>
          <w:lang w:val="fr-FR"/>
        </w:rPr>
        <w:t>,</w:t>
      </w:r>
      <w:r w:rsidR="002A04ED">
        <w:rPr>
          <w:color w:val="000000"/>
          <w:lang w:val="fr-FR"/>
        </w:rPr>
        <w:t xml:space="preserve"> et un autre nom possible de l’homme séparé de la femme. De même, l’interprétation </w:t>
      </w:r>
      <w:r w:rsidR="00735B1E">
        <w:rPr>
          <w:color w:val="000000"/>
          <w:lang w:val="fr-FR"/>
        </w:rPr>
        <w:t>qui</w:t>
      </w:r>
      <w:r w:rsidR="00BF5C90">
        <w:rPr>
          <w:color w:val="000000"/>
          <w:lang w:val="fr-FR"/>
        </w:rPr>
        <w:t>, dans l’hypothèse d’un</w:t>
      </w:r>
      <w:r w:rsidR="00735B1E">
        <w:rPr>
          <w:color w:val="000000"/>
          <w:lang w:val="fr-FR"/>
        </w:rPr>
        <w:t xml:space="preserve"> brouillage de</w:t>
      </w:r>
      <w:r w:rsidR="00BF5C90">
        <w:rPr>
          <w:color w:val="000000"/>
          <w:lang w:val="fr-FR"/>
        </w:rPr>
        <w:t xml:space="preserve"> la narration, envisage que les mots « pour elle il sera crié </w:t>
      </w:r>
      <w:r w:rsidR="00BF5C90">
        <w:rPr>
          <w:color w:val="000000"/>
          <w:lang w:val="en-CA"/>
        </w:rPr>
        <w:t>“</w:t>
      </w:r>
      <w:r w:rsidR="00BF5C90">
        <w:rPr>
          <w:color w:val="000000"/>
          <w:lang w:val="fr-FR"/>
        </w:rPr>
        <w:t>femme</w:t>
      </w:r>
      <w:r w:rsidR="00BF5C90">
        <w:rPr>
          <w:color w:val="000000"/>
          <w:lang w:val="en-CA"/>
        </w:rPr>
        <w:t>”</w:t>
      </w:r>
      <w:r w:rsidR="00BF5C90">
        <w:rPr>
          <w:color w:val="000000"/>
          <w:lang w:val="fr-FR"/>
        </w:rPr>
        <w:t xml:space="preserve"> parce que c’est de </w:t>
      </w:r>
      <w:r w:rsidR="00BF5C90">
        <w:rPr>
          <w:color w:val="000000"/>
          <w:lang w:val="en-CA"/>
        </w:rPr>
        <w:t>“</w:t>
      </w:r>
      <w:r w:rsidR="00BF5C90">
        <w:rPr>
          <w:color w:val="000000"/>
          <w:lang w:val="fr-FR"/>
        </w:rPr>
        <w:t>homme</w:t>
      </w:r>
      <w:r w:rsidR="00BF5C90">
        <w:rPr>
          <w:color w:val="000000"/>
          <w:lang w:val="en-CA"/>
        </w:rPr>
        <w:t>”</w:t>
      </w:r>
      <w:r w:rsidR="00BF5C90">
        <w:rPr>
          <w:color w:val="000000"/>
          <w:lang w:val="fr-FR"/>
        </w:rPr>
        <w:t xml:space="preserve"> qu’elle a été enlevée » ne sont pas prononcés par un personnage</w:t>
      </w:r>
      <w:r w:rsidR="00A442C4">
        <w:rPr>
          <w:color w:val="000000"/>
          <w:lang w:val="fr-FR"/>
        </w:rPr>
        <w:t>,</w:t>
      </w:r>
      <w:r w:rsidR="00BF5C90">
        <w:rPr>
          <w:color w:val="000000"/>
          <w:lang w:val="fr-FR"/>
        </w:rPr>
        <w:t xml:space="preserve"> mais sont le fait du narrateur ou de la narratrice</w:t>
      </w:r>
      <w:r w:rsidR="00A442C4">
        <w:rPr>
          <w:color w:val="000000"/>
          <w:lang w:val="fr-FR"/>
        </w:rPr>
        <w:t>,</w:t>
      </w:r>
      <w:r w:rsidR="00BF5C90">
        <w:rPr>
          <w:color w:val="000000"/>
          <w:lang w:val="fr-FR"/>
        </w:rPr>
        <w:t xml:space="preserve"> est contradictoire avec celle qui envisage qu’ils sont </w:t>
      </w:r>
      <w:r w:rsidR="005E4B83">
        <w:rPr>
          <w:color w:val="000000"/>
          <w:lang w:val="fr-FR"/>
        </w:rPr>
        <w:t xml:space="preserve">bien </w:t>
      </w:r>
      <w:r w:rsidR="00BF5C90">
        <w:rPr>
          <w:color w:val="000000"/>
          <w:lang w:val="fr-FR"/>
        </w:rPr>
        <w:t xml:space="preserve">prononcés </w:t>
      </w:r>
      <w:r w:rsidR="005E4B83">
        <w:rPr>
          <w:color w:val="000000"/>
          <w:lang w:val="fr-FR"/>
        </w:rPr>
        <w:t>par un personnage, ou plutôt par deux :</w:t>
      </w:r>
      <w:r w:rsidR="00BF5C90">
        <w:rPr>
          <w:color w:val="000000"/>
          <w:lang w:val="fr-FR"/>
        </w:rPr>
        <w:t xml:space="preserve"> par l’homme et </w:t>
      </w:r>
      <w:r w:rsidR="005E4B83">
        <w:rPr>
          <w:color w:val="000000"/>
          <w:lang w:val="fr-FR"/>
        </w:rPr>
        <w:t xml:space="preserve">par </w:t>
      </w:r>
      <w:r w:rsidR="00BF5C90">
        <w:rPr>
          <w:color w:val="000000"/>
          <w:lang w:val="fr-FR"/>
        </w:rPr>
        <w:t xml:space="preserve">la femme, </w:t>
      </w:r>
      <w:r w:rsidR="005E4B83">
        <w:rPr>
          <w:color w:val="000000"/>
          <w:lang w:val="fr-FR"/>
        </w:rPr>
        <w:t>qui restent</w:t>
      </w:r>
      <w:r w:rsidR="00BF5C90">
        <w:rPr>
          <w:color w:val="000000"/>
          <w:lang w:val="fr-FR"/>
        </w:rPr>
        <w:t xml:space="preserve"> ensemble le terreux, même dans deux corps séparés. </w:t>
      </w:r>
      <w:r w:rsidR="00A442C4">
        <w:rPr>
          <w:color w:val="000000"/>
          <w:lang w:val="fr-FR"/>
        </w:rPr>
        <w:t xml:space="preserve">Ces contradictions ne posent pas </w:t>
      </w:r>
      <w:proofErr w:type="gramStart"/>
      <w:r w:rsidR="00A442C4">
        <w:rPr>
          <w:color w:val="000000"/>
          <w:lang w:val="fr-FR"/>
        </w:rPr>
        <w:t>problème</w:t>
      </w:r>
      <w:proofErr w:type="gramEnd"/>
      <w:r w:rsidR="00A442C4">
        <w:rPr>
          <w:color w:val="000000"/>
          <w:lang w:val="fr-FR"/>
        </w:rPr>
        <w:t xml:space="preserve"> car</w:t>
      </w:r>
      <w:r w:rsidR="005E4B83">
        <w:rPr>
          <w:color w:val="000000"/>
          <w:lang w:val="fr-FR"/>
        </w:rPr>
        <w:t xml:space="preserve"> le contact avec le texte n’est pas la réception d’un ordre, mais une expérience – ici, celle d’une oscillation entre un masculin et féminin séparés</w:t>
      </w:r>
      <w:r w:rsidR="00A94FD9">
        <w:rPr>
          <w:color w:val="000000"/>
          <w:lang w:val="fr-FR"/>
        </w:rPr>
        <w:t xml:space="preserve"> d’une part</w:t>
      </w:r>
      <w:r w:rsidR="00A442C4">
        <w:rPr>
          <w:color w:val="000000"/>
          <w:lang w:val="fr-FR"/>
        </w:rPr>
        <w:t>,</w:t>
      </w:r>
      <w:r w:rsidR="005E4B83">
        <w:rPr>
          <w:color w:val="000000"/>
          <w:lang w:val="fr-FR"/>
        </w:rPr>
        <w:t xml:space="preserve"> et un masculin et féminin qui demeurent unis</w:t>
      </w:r>
      <w:r w:rsidR="00A94FD9">
        <w:rPr>
          <w:color w:val="000000"/>
          <w:lang w:val="fr-FR"/>
        </w:rPr>
        <w:t xml:space="preserve"> d’autre part</w:t>
      </w:r>
      <w:r w:rsidR="005E4B83">
        <w:rPr>
          <w:color w:val="000000"/>
          <w:lang w:val="fr-FR"/>
        </w:rPr>
        <w:t>.</w:t>
      </w:r>
      <w:r w:rsidR="00A94FD9">
        <w:rPr>
          <w:color w:val="000000"/>
          <w:lang w:val="fr-FR"/>
        </w:rPr>
        <w:t xml:space="preserve"> La manière dont </w:t>
      </w:r>
      <w:proofErr w:type="spellStart"/>
      <w:r w:rsidR="00A94FD9">
        <w:rPr>
          <w:color w:val="000000"/>
          <w:lang w:val="fr-FR"/>
        </w:rPr>
        <w:t>un·e</w:t>
      </w:r>
      <w:proofErr w:type="spellEnd"/>
      <w:r w:rsidR="00A94FD9">
        <w:rPr>
          <w:color w:val="000000"/>
          <w:lang w:val="fr-FR"/>
        </w:rPr>
        <w:t xml:space="preserve"> </w:t>
      </w:r>
      <w:proofErr w:type="spellStart"/>
      <w:r w:rsidR="00A94FD9">
        <w:rPr>
          <w:color w:val="000000"/>
          <w:lang w:val="fr-FR"/>
        </w:rPr>
        <w:t>lecteur·rice</w:t>
      </w:r>
      <w:proofErr w:type="spellEnd"/>
      <w:r w:rsidR="00A94FD9">
        <w:rPr>
          <w:color w:val="000000"/>
          <w:lang w:val="fr-FR"/>
        </w:rPr>
        <w:t xml:space="preserve"> peut réagir à un tel texte</w:t>
      </w:r>
      <w:r w:rsidR="002E41A8">
        <w:rPr>
          <w:color w:val="000000"/>
          <w:lang w:val="fr-FR"/>
        </w:rPr>
        <w:t xml:space="preserve"> peut être multiple et dépend de nombreux facteurs. Les traumatismes qu’il a pu connaître dans le passé peuvent être réveillés par le texte ou au contraire consolés et apaisés. Sa vie du moment de la lecture peut </w:t>
      </w:r>
      <w:proofErr w:type="spellStart"/>
      <w:r w:rsidR="002E41A8">
        <w:rPr>
          <w:color w:val="000000"/>
          <w:lang w:val="fr-FR"/>
        </w:rPr>
        <w:t>le·</w:t>
      </w:r>
      <w:proofErr w:type="gramStart"/>
      <w:r w:rsidR="002E41A8">
        <w:rPr>
          <w:color w:val="000000"/>
          <w:lang w:val="fr-FR"/>
        </w:rPr>
        <w:t>a</w:t>
      </w:r>
      <w:proofErr w:type="spellEnd"/>
      <w:proofErr w:type="gramEnd"/>
      <w:r w:rsidR="002E41A8">
        <w:rPr>
          <w:color w:val="000000"/>
          <w:lang w:val="fr-FR"/>
        </w:rPr>
        <w:t xml:space="preserve"> conduire à être </w:t>
      </w:r>
      <w:proofErr w:type="spellStart"/>
      <w:r w:rsidR="002E41A8">
        <w:rPr>
          <w:color w:val="000000"/>
          <w:lang w:val="fr-FR"/>
        </w:rPr>
        <w:t>attentif·ve</w:t>
      </w:r>
      <w:proofErr w:type="spellEnd"/>
      <w:r w:rsidR="002E41A8">
        <w:rPr>
          <w:color w:val="000000"/>
          <w:lang w:val="fr-FR"/>
        </w:rPr>
        <w:t xml:space="preserve"> à tel ou tel détail, à en être </w:t>
      </w:r>
      <w:proofErr w:type="spellStart"/>
      <w:r w:rsidR="002E41A8">
        <w:rPr>
          <w:color w:val="000000"/>
          <w:lang w:val="fr-FR"/>
        </w:rPr>
        <w:t>choqué·e</w:t>
      </w:r>
      <w:proofErr w:type="spellEnd"/>
      <w:r w:rsidR="002E41A8">
        <w:rPr>
          <w:color w:val="000000"/>
          <w:lang w:val="fr-FR"/>
        </w:rPr>
        <w:t xml:space="preserve">, </w:t>
      </w:r>
      <w:proofErr w:type="spellStart"/>
      <w:r w:rsidR="002E41A8">
        <w:rPr>
          <w:color w:val="000000"/>
          <w:lang w:val="fr-FR"/>
        </w:rPr>
        <w:t>surpris·e</w:t>
      </w:r>
      <w:proofErr w:type="spellEnd"/>
      <w:r w:rsidR="002E41A8">
        <w:rPr>
          <w:color w:val="000000"/>
          <w:lang w:val="fr-FR"/>
        </w:rPr>
        <w:t xml:space="preserve"> ou </w:t>
      </w:r>
      <w:proofErr w:type="spellStart"/>
      <w:r w:rsidR="002E41A8">
        <w:rPr>
          <w:color w:val="000000"/>
          <w:lang w:val="fr-FR"/>
        </w:rPr>
        <w:t>rassuré·e</w:t>
      </w:r>
      <w:proofErr w:type="spellEnd"/>
      <w:r w:rsidR="002E41A8">
        <w:rPr>
          <w:color w:val="000000"/>
          <w:lang w:val="fr-FR"/>
        </w:rPr>
        <w:t>. Il s’agit nécessairement d’une lecture subjective, car c’est non pas l’intellect mais la personne tout entière qui en est touchée. Dans le contexte des violences faites aux femmes dans l’Église catholique et du discours de cette même Église proclamant une différence entre hommes et femmes</w:t>
      </w:r>
      <w:r w:rsidR="00A442C4">
        <w:rPr>
          <w:color w:val="000000"/>
          <w:lang w:val="fr-FR"/>
        </w:rPr>
        <w:t xml:space="preserve"> </w:t>
      </w:r>
      <w:r w:rsidR="002E41A8">
        <w:rPr>
          <w:color w:val="000000"/>
          <w:lang w:val="fr-FR"/>
        </w:rPr>
        <w:t xml:space="preserve">; du fait aussi d’expériences de vie personnelle qui entrent en écho avec les </w:t>
      </w:r>
      <w:r w:rsidR="002E41A8">
        <w:rPr>
          <w:color w:val="000000"/>
          <w:lang w:val="fr-FR"/>
        </w:rPr>
        <w:lastRenderedPageBreak/>
        <w:t xml:space="preserve">passages, je lirais </w:t>
      </w:r>
      <w:r w:rsidR="002E41A8">
        <w:rPr>
          <w:i/>
          <w:iCs/>
          <w:color w:val="000000"/>
          <w:lang w:val="fr-FR"/>
        </w:rPr>
        <w:t>Genèse</w:t>
      </w:r>
      <w:r w:rsidR="002E41A8">
        <w:rPr>
          <w:color w:val="000000"/>
          <w:lang w:val="fr-FR"/>
        </w:rPr>
        <w:t xml:space="preserve"> 1, 27 et 2, 21-25 comme un refus de toute séparation simple entre homme et femme. </w:t>
      </w:r>
      <w:r w:rsidR="00FE6A42">
        <w:rPr>
          <w:color w:val="000000"/>
          <w:lang w:val="fr-FR"/>
        </w:rPr>
        <w:t xml:space="preserve">Leur relation n’est </w:t>
      </w:r>
      <w:r w:rsidR="00A442C4">
        <w:rPr>
          <w:color w:val="000000"/>
          <w:lang w:val="fr-FR"/>
        </w:rPr>
        <w:t xml:space="preserve">donc </w:t>
      </w:r>
      <w:r w:rsidR="00FE6A42">
        <w:rPr>
          <w:color w:val="000000"/>
          <w:lang w:val="fr-FR"/>
        </w:rPr>
        <w:t>pas une priorité de l’un sur l’autre, ni même une « </w:t>
      </w:r>
      <w:proofErr w:type="spellStart"/>
      <w:r w:rsidR="00FE6A42">
        <w:rPr>
          <w:color w:val="000000"/>
          <w:lang w:val="fr-FR"/>
        </w:rPr>
        <w:t>articul</w:t>
      </w:r>
      <w:proofErr w:type="spellEnd"/>
      <w:r w:rsidR="00FE6A42">
        <w:rPr>
          <w:color w:val="000000"/>
          <w:lang w:val="fr-FR"/>
        </w:rPr>
        <w:t>[</w:t>
      </w:r>
      <w:proofErr w:type="spellStart"/>
      <w:r w:rsidR="00FE6A42">
        <w:rPr>
          <w:color w:val="000000"/>
          <w:lang w:val="fr-FR"/>
        </w:rPr>
        <w:t>ation</w:t>
      </w:r>
      <w:proofErr w:type="spellEnd"/>
      <w:r w:rsidR="00FE6A42">
        <w:rPr>
          <w:color w:val="000000"/>
          <w:lang w:val="fr-FR"/>
        </w:rPr>
        <w:t>]</w:t>
      </w:r>
      <w:r w:rsidR="00FE6A42">
        <w:rPr>
          <w:rStyle w:val="Appelnotedebasdep"/>
          <w:color w:val="000000"/>
          <w:lang w:val="fr-FR"/>
        </w:rPr>
        <w:footnoteReference w:id="95"/>
      </w:r>
      <w:r w:rsidR="00FE6A42">
        <w:rPr>
          <w:color w:val="000000"/>
          <w:lang w:val="fr-FR"/>
        </w:rPr>
        <w:t> ». Elle existe entre unité et séparation. Elle est l’aventure libre de toutes ces relations en même temps. Et, puisque le texte y superpose une distinction et une confusion entre humain et divin, on pourrait lire ce lien complexe entre masculin et féminin comme le lieu où le lien entre l’</w:t>
      </w:r>
      <w:proofErr w:type="spellStart"/>
      <w:r w:rsidR="00FE6A42">
        <w:rPr>
          <w:color w:val="000000"/>
          <w:lang w:val="fr-FR"/>
        </w:rPr>
        <w:t>humain·e</w:t>
      </w:r>
      <w:proofErr w:type="spellEnd"/>
      <w:r w:rsidR="00FE6A42">
        <w:rPr>
          <w:color w:val="000000"/>
          <w:lang w:val="fr-FR"/>
        </w:rPr>
        <w:t xml:space="preserve"> et Dieu / dieux lui aussi ne cesse de se transformer. Vouloir figer le masculin et le féminin en une séparation, ce serait renoncer à un lien avec Dieu / dieux. </w:t>
      </w:r>
    </w:p>
    <w:p w14:paraId="5216B7ED" w14:textId="340EF35D" w:rsidR="00D3263D" w:rsidRDefault="00D3263D" w:rsidP="002E41A8">
      <w:pPr>
        <w:jc w:val="both"/>
        <w:rPr>
          <w:color w:val="000000"/>
          <w:lang w:val="fr-FR"/>
        </w:rPr>
      </w:pPr>
      <w:r>
        <w:rPr>
          <w:color w:val="000000"/>
          <w:lang w:val="fr-FR"/>
        </w:rPr>
        <w:t xml:space="preserve">Un tel trouble entre masculin et féminin ne concerne pas seulement l’être humain des origines selon </w:t>
      </w:r>
      <w:r>
        <w:rPr>
          <w:i/>
          <w:iCs/>
          <w:color w:val="000000"/>
          <w:lang w:val="fr-FR"/>
        </w:rPr>
        <w:t>Genèse</w:t>
      </w:r>
      <w:r>
        <w:rPr>
          <w:color w:val="000000"/>
          <w:lang w:val="fr-FR"/>
        </w:rPr>
        <w:t xml:space="preserve"> 1-2. D’autres figures de la Bible me semblent marquées par la même ambivalence de genre. J’en proposerai </w:t>
      </w:r>
      <w:r w:rsidR="00595C8C">
        <w:rPr>
          <w:color w:val="000000"/>
          <w:lang w:val="fr-FR"/>
        </w:rPr>
        <w:t>trois</w:t>
      </w:r>
      <w:r>
        <w:rPr>
          <w:color w:val="000000"/>
          <w:lang w:val="fr-FR"/>
        </w:rPr>
        <w:t xml:space="preserve"> exemples.</w:t>
      </w:r>
    </w:p>
    <w:p w14:paraId="10C262DF" w14:textId="77777777" w:rsidR="0015077B" w:rsidRDefault="0015077B" w:rsidP="002E41A8">
      <w:pPr>
        <w:jc w:val="both"/>
        <w:rPr>
          <w:color w:val="000000"/>
          <w:lang w:val="fr-FR"/>
        </w:rPr>
      </w:pPr>
    </w:p>
    <w:p w14:paraId="1E418E95" w14:textId="45699390" w:rsidR="0015077B" w:rsidRDefault="0015077B" w:rsidP="0015077B">
      <w:pPr>
        <w:pStyle w:val="Paragraphedeliste"/>
        <w:numPr>
          <w:ilvl w:val="0"/>
          <w:numId w:val="1"/>
        </w:numPr>
        <w:jc w:val="both"/>
        <w:rPr>
          <w:b/>
          <w:bCs/>
          <w:color w:val="000000"/>
          <w:lang w:val="fr-FR"/>
        </w:rPr>
      </w:pPr>
      <w:r>
        <w:rPr>
          <w:b/>
          <w:bCs/>
          <w:i/>
          <w:iCs/>
          <w:color w:val="000000"/>
          <w:lang w:val="fr-FR"/>
        </w:rPr>
        <w:t>Luc</w:t>
      </w:r>
      <w:r>
        <w:rPr>
          <w:b/>
          <w:bCs/>
          <w:color w:val="000000"/>
          <w:lang w:val="fr-FR"/>
        </w:rPr>
        <w:t xml:space="preserve"> 2 : trouble dans le genre de Marie.</w:t>
      </w:r>
    </w:p>
    <w:p w14:paraId="340E8B6A" w14:textId="77777777" w:rsidR="0015077B" w:rsidRPr="0015077B" w:rsidRDefault="0015077B" w:rsidP="0015077B">
      <w:pPr>
        <w:pStyle w:val="Paragraphedeliste"/>
        <w:jc w:val="both"/>
        <w:rPr>
          <w:b/>
          <w:bCs/>
          <w:color w:val="000000"/>
          <w:lang w:val="fr-FR"/>
        </w:rPr>
      </w:pPr>
    </w:p>
    <w:p w14:paraId="3EC83954" w14:textId="1475605F" w:rsidR="008E0661" w:rsidRDefault="00D3263D" w:rsidP="008571EF">
      <w:pPr>
        <w:jc w:val="both"/>
        <w:rPr>
          <w:color w:val="000000"/>
          <w:lang w:val="fr-FR"/>
        </w:rPr>
      </w:pPr>
      <w:r>
        <w:rPr>
          <w:color w:val="000000"/>
          <w:lang w:val="fr-FR"/>
        </w:rPr>
        <w:t>Le premier est Marie (</w:t>
      </w:r>
      <w:r w:rsidRPr="00D3263D">
        <w:rPr>
          <w:color w:val="000000"/>
          <w:lang w:val="fr-FR"/>
        </w:rPr>
        <w:t>Μα</w:t>
      </w:r>
      <w:proofErr w:type="spellStart"/>
      <w:r w:rsidRPr="00D3263D">
        <w:rPr>
          <w:color w:val="000000"/>
          <w:lang w:val="fr-FR"/>
        </w:rPr>
        <w:t>ριάμ</w:t>
      </w:r>
      <w:proofErr w:type="spellEnd"/>
      <w:r>
        <w:rPr>
          <w:rStyle w:val="Appelnotedebasdep"/>
          <w:color w:val="000000"/>
          <w:lang w:val="fr-FR"/>
        </w:rPr>
        <w:footnoteReference w:id="96"/>
      </w:r>
      <w:r>
        <w:rPr>
          <w:color w:val="000000"/>
          <w:lang w:val="fr-FR"/>
        </w:rPr>
        <w:t>) dans le premier chapitre de l’</w:t>
      </w:r>
      <w:r>
        <w:rPr>
          <w:i/>
          <w:iCs/>
          <w:color w:val="000000"/>
          <w:lang w:val="fr-FR"/>
        </w:rPr>
        <w:t>Évangile selon Luc</w:t>
      </w:r>
      <w:r>
        <w:rPr>
          <w:color w:val="000000"/>
          <w:lang w:val="fr-FR"/>
        </w:rPr>
        <w:t xml:space="preserve"> et notamment</w:t>
      </w:r>
      <w:r w:rsidR="00A442C4">
        <w:rPr>
          <w:color w:val="000000"/>
          <w:lang w:val="fr-FR"/>
        </w:rPr>
        <w:t xml:space="preserve"> dans</w:t>
      </w:r>
      <w:r>
        <w:rPr>
          <w:color w:val="000000"/>
          <w:lang w:val="fr-FR"/>
        </w:rPr>
        <w:t xml:space="preserve"> une partie </w:t>
      </w:r>
      <w:r w:rsidR="006E491E">
        <w:rPr>
          <w:color w:val="000000"/>
          <w:lang w:val="fr-FR"/>
        </w:rPr>
        <w:t>de l’annonce que lui fait</w:t>
      </w:r>
      <w:r>
        <w:rPr>
          <w:color w:val="000000"/>
          <w:lang w:val="fr-FR"/>
        </w:rPr>
        <w:t xml:space="preserve"> « le messager Gabriel</w:t>
      </w:r>
      <w:r>
        <w:rPr>
          <w:rStyle w:val="Appelnotedebasdep"/>
          <w:color w:val="000000"/>
          <w:lang w:val="fr-FR"/>
        </w:rPr>
        <w:footnoteReference w:id="97"/>
      </w:r>
      <w:r>
        <w:rPr>
          <w:color w:val="000000"/>
          <w:lang w:val="fr-FR"/>
        </w:rPr>
        <w:t> »</w:t>
      </w:r>
      <w:r w:rsidR="006E491E">
        <w:rPr>
          <w:color w:val="000000"/>
          <w:lang w:val="fr-FR"/>
        </w:rPr>
        <w:t> : « Un souffle (</w:t>
      </w:r>
      <w:r w:rsidR="006E491E" w:rsidRPr="006E491E">
        <w:rPr>
          <w:color w:val="000000"/>
          <w:lang w:val="fr-FR"/>
        </w:rPr>
        <w:t>π</w:t>
      </w:r>
      <w:proofErr w:type="spellStart"/>
      <w:r w:rsidR="006E491E" w:rsidRPr="006E491E">
        <w:rPr>
          <w:color w:val="000000"/>
          <w:lang w:val="fr-FR"/>
        </w:rPr>
        <w:t>νεῦμ</w:t>
      </w:r>
      <w:proofErr w:type="spellEnd"/>
      <w:r w:rsidR="006E491E" w:rsidRPr="006E491E">
        <w:rPr>
          <w:color w:val="000000"/>
          <w:lang w:val="fr-FR"/>
        </w:rPr>
        <w:t>α</w:t>
      </w:r>
      <w:r w:rsidR="00AC7C96">
        <w:rPr>
          <w:color w:val="000000"/>
          <w:lang w:val="fr-FR"/>
        </w:rPr>
        <w:t xml:space="preserve">, </w:t>
      </w:r>
      <w:r w:rsidR="00AC7C96">
        <w:rPr>
          <w:i/>
          <w:iCs/>
          <w:color w:val="000000"/>
          <w:lang w:val="fr-FR"/>
        </w:rPr>
        <w:t>pneuma</w:t>
      </w:r>
      <w:r w:rsidR="006E491E">
        <w:rPr>
          <w:color w:val="000000"/>
          <w:lang w:val="fr-FR"/>
        </w:rPr>
        <w:t xml:space="preserve">) saint viendra sur toi, et une puissance d’un très-haut mettra </w:t>
      </w:r>
      <w:proofErr w:type="gramStart"/>
      <w:r w:rsidR="006E491E">
        <w:rPr>
          <w:color w:val="000000"/>
          <w:lang w:val="fr-FR"/>
        </w:rPr>
        <w:t>une</w:t>
      </w:r>
      <w:r w:rsidR="00C14714">
        <w:rPr>
          <w:color w:val="000000"/>
          <w:lang w:val="fr-FR"/>
        </w:rPr>
        <w:t xml:space="preserve"> </w:t>
      </w:r>
      <w:r w:rsidR="006E491E">
        <w:rPr>
          <w:color w:val="000000"/>
          <w:lang w:val="fr-FR"/>
        </w:rPr>
        <w:t>ombre</w:t>
      </w:r>
      <w:r w:rsidR="00AC7C96">
        <w:rPr>
          <w:color w:val="000000"/>
          <w:lang w:val="fr-FR"/>
        </w:rPr>
        <w:t xml:space="preserve"> sur</w:t>
      </w:r>
      <w:proofErr w:type="gramEnd"/>
      <w:r w:rsidR="006E491E">
        <w:rPr>
          <w:color w:val="000000"/>
          <w:lang w:val="fr-FR"/>
        </w:rPr>
        <w:t xml:space="preserve"> (</w:t>
      </w:r>
      <w:r w:rsidR="006E491E" w:rsidRPr="006E491E">
        <w:rPr>
          <w:color w:val="000000"/>
          <w:lang w:val="fr-FR"/>
        </w:rPr>
        <w:t>ἐπ</w:t>
      </w:r>
      <w:proofErr w:type="spellStart"/>
      <w:r w:rsidR="006E491E" w:rsidRPr="006E491E">
        <w:rPr>
          <w:color w:val="000000"/>
          <w:lang w:val="fr-FR"/>
        </w:rPr>
        <w:t>ισκιάσει</w:t>
      </w:r>
      <w:proofErr w:type="spellEnd"/>
      <w:r w:rsidR="00AC7C96">
        <w:rPr>
          <w:color w:val="000000"/>
          <w:lang w:val="fr-FR"/>
        </w:rPr>
        <w:t xml:space="preserve">, </w:t>
      </w:r>
      <w:proofErr w:type="spellStart"/>
      <w:r w:rsidR="00AC7C96">
        <w:rPr>
          <w:i/>
          <w:iCs/>
          <w:color w:val="000000"/>
          <w:lang w:val="fr-FR"/>
        </w:rPr>
        <w:t>épiskiaseï</w:t>
      </w:r>
      <w:proofErr w:type="spellEnd"/>
      <w:r w:rsidR="006E491E">
        <w:rPr>
          <w:color w:val="000000"/>
          <w:lang w:val="fr-FR"/>
        </w:rPr>
        <w:t>) toi ; c’est pourquoi ce qui va naître et qui sera saint sera appelé</w:t>
      </w:r>
      <w:r w:rsidR="00384DF9">
        <w:rPr>
          <w:color w:val="000000"/>
          <w:lang w:val="fr-FR"/>
        </w:rPr>
        <w:t xml:space="preserve"> (</w:t>
      </w:r>
      <w:proofErr w:type="spellStart"/>
      <w:r w:rsidR="00384DF9" w:rsidRPr="00384DF9">
        <w:rPr>
          <w:color w:val="000000"/>
          <w:lang w:val="fr-FR"/>
        </w:rPr>
        <w:t>κληθήσετ</w:t>
      </w:r>
      <w:proofErr w:type="spellEnd"/>
      <w:r w:rsidR="00384DF9" w:rsidRPr="00384DF9">
        <w:rPr>
          <w:color w:val="000000"/>
          <w:lang w:val="fr-FR"/>
        </w:rPr>
        <w:t>αι</w:t>
      </w:r>
      <w:r w:rsidR="00384DF9">
        <w:rPr>
          <w:color w:val="000000"/>
          <w:lang w:val="fr-FR"/>
        </w:rPr>
        <w:t xml:space="preserve">, </w:t>
      </w:r>
      <w:proofErr w:type="spellStart"/>
      <w:r w:rsidR="00384DF9">
        <w:rPr>
          <w:i/>
          <w:iCs/>
          <w:color w:val="000000"/>
          <w:lang w:val="fr-FR"/>
        </w:rPr>
        <w:t>klêthêsétaï</w:t>
      </w:r>
      <w:proofErr w:type="spellEnd"/>
      <w:r w:rsidR="00384DF9">
        <w:rPr>
          <w:color w:val="000000"/>
          <w:lang w:val="fr-FR"/>
        </w:rPr>
        <w:t>)</w:t>
      </w:r>
      <w:r w:rsidR="006E491E">
        <w:rPr>
          <w:color w:val="000000"/>
          <w:lang w:val="fr-FR"/>
        </w:rPr>
        <w:t xml:space="preserve"> </w:t>
      </w:r>
      <w:r w:rsidR="006E491E">
        <w:rPr>
          <w:color w:val="000000"/>
          <w:lang w:val="en-AU"/>
        </w:rPr>
        <w:t>“</w:t>
      </w:r>
      <w:r w:rsidR="006E491E">
        <w:rPr>
          <w:color w:val="000000"/>
          <w:lang w:val="fr-FR"/>
        </w:rPr>
        <w:t>fils de Dieu</w:t>
      </w:r>
      <w:r w:rsidR="006E491E">
        <w:rPr>
          <w:color w:val="000000"/>
          <w:lang w:val="en-AU"/>
        </w:rPr>
        <w:t>”</w:t>
      </w:r>
      <w:r w:rsidR="006E491E">
        <w:rPr>
          <w:rStyle w:val="Appelnotedebasdep"/>
          <w:color w:val="000000"/>
          <w:lang w:val="en-AU"/>
        </w:rPr>
        <w:footnoteReference w:id="98"/>
      </w:r>
      <w:r w:rsidR="006E491E">
        <w:rPr>
          <w:color w:val="000000"/>
          <w:lang w:val="fr-FR"/>
        </w:rPr>
        <w:t>. (…) Parce qu’aucune parole venue de Dieu ne sera impossible</w:t>
      </w:r>
      <w:r w:rsidR="006E491E">
        <w:rPr>
          <w:rStyle w:val="Appelnotedebasdep"/>
          <w:color w:val="000000"/>
          <w:lang w:val="fr-FR"/>
        </w:rPr>
        <w:footnoteReference w:id="99"/>
      </w:r>
      <w:r w:rsidR="006E491E">
        <w:rPr>
          <w:color w:val="000000"/>
          <w:lang w:val="fr-FR"/>
        </w:rPr>
        <w:t>. »</w:t>
      </w:r>
      <w:r w:rsidR="001E3F4B">
        <w:rPr>
          <w:color w:val="000000"/>
          <w:lang w:val="fr-FR"/>
        </w:rPr>
        <w:t xml:space="preserve"> Ce passage présente plusieurs points communs avec le </w:t>
      </w:r>
      <w:r w:rsidR="00190688">
        <w:rPr>
          <w:color w:val="000000"/>
          <w:lang w:val="fr-FR"/>
        </w:rPr>
        <w:t>deuxième</w:t>
      </w:r>
      <w:r w:rsidR="001E3F4B">
        <w:rPr>
          <w:color w:val="000000"/>
          <w:lang w:val="fr-FR"/>
        </w:rPr>
        <w:t xml:space="preserve"> chapitre de la </w:t>
      </w:r>
      <w:r w:rsidR="001E3F4B">
        <w:rPr>
          <w:i/>
          <w:iCs/>
          <w:color w:val="000000"/>
          <w:lang w:val="fr-FR"/>
        </w:rPr>
        <w:t>Genèse</w:t>
      </w:r>
      <w:r w:rsidR="001E3F4B">
        <w:rPr>
          <w:color w:val="000000"/>
          <w:lang w:val="fr-FR"/>
        </w:rPr>
        <w:t>.</w:t>
      </w:r>
      <w:r w:rsidR="00AC7C96">
        <w:rPr>
          <w:color w:val="000000"/>
          <w:lang w:val="fr-FR"/>
        </w:rPr>
        <w:t xml:space="preserve"> Le « souffle saint » venant sur Marie </w:t>
      </w:r>
      <w:r w:rsidR="00384DF9">
        <w:rPr>
          <w:color w:val="000000"/>
          <w:lang w:val="fr-FR"/>
        </w:rPr>
        <w:t>rappelle</w:t>
      </w:r>
      <w:r w:rsidR="00E50D04">
        <w:rPr>
          <w:color w:val="000000"/>
          <w:lang w:val="fr-FR"/>
        </w:rPr>
        <w:t xml:space="preserve"> le « souffle</w:t>
      </w:r>
      <w:r w:rsidR="00190688">
        <w:rPr>
          <w:color w:val="000000"/>
          <w:lang w:val="fr-FR"/>
        </w:rPr>
        <w:t xml:space="preserve"> </w:t>
      </w:r>
      <w:r w:rsidR="00705BEC">
        <w:rPr>
          <w:color w:val="000000"/>
          <w:lang w:val="fr-FR"/>
        </w:rPr>
        <w:t>(</w:t>
      </w:r>
      <w:proofErr w:type="spellStart"/>
      <w:r w:rsidR="00705BEC" w:rsidRPr="00705BEC">
        <w:rPr>
          <w:color w:val="000000"/>
          <w:lang w:val="fr-FR"/>
        </w:rPr>
        <w:t>נִש</w:t>
      </w:r>
      <w:proofErr w:type="spellEnd"/>
      <w:r w:rsidR="00705BEC" w:rsidRPr="00705BEC">
        <w:rPr>
          <w:color w:val="000000"/>
          <w:lang w:val="fr-FR"/>
        </w:rPr>
        <w:t>ְׁ</w:t>
      </w:r>
      <w:proofErr w:type="spellStart"/>
      <w:r w:rsidR="00705BEC" w:rsidRPr="00705BEC">
        <w:rPr>
          <w:color w:val="000000"/>
          <w:lang w:val="fr-FR"/>
        </w:rPr>
        <w:t>מַת</w:t>
      </w:r>
      <w:proofErr w:type="spellEnd"/>
      <w:r w:rsidR="00190688">
        <w:rPr>
          <w:color w:val="000000"/>
          <w:lang w:val="fr-FR"/>
        </w:rPr>
        <w:t xml:space="preserve">, </w:t>
      </w:r>
      <w:proofErr w:type="spellStart"/>
      <w:r w:rsidR="00190688">
        <w:rPr>
          <w:i/>
          <w:iCs/>
          <w:color w:val="000000"/>
          <w:lang w:val="fr-FR"/>
        </w:rPr>
        <w:t>nishmat</w:t>
      </w:r>
      <w:proofErr w:type="spellEnd"/>
      <w:r w:rsidR="00705BEC">
        <w:rPr>
          <w:color w:val="000000"/>
          <w:lang w:val="fr-FR"/>
        </w:rPr>
        <w:t xml:space="preserve">) </w:t>
      </w:r>
      <w:r w:rsidR="00E50D04">
        <w:rPr>
          <w:color w:val="000000"/>
          <w:lang w:val="fr-FR"/>
        </w:rPr>
        <w:t>de vie</w:t>
      </w:r>
      <w:r w:rsidR="00190688">
        <w:rPr>
          <w:rStyle w:val="Appelnotedebasdep"/>
          <w:color w:val="000000"/>
          <w:lang w:val="fr-FR"/>
        </w:rPr>
        <w:footnoteReference w:id="100"/>
      </w:r>
      <w:r w:rsidR="00E50D04">
        <w:rPr>
          <w:color w:val="000000"/>
          <w:lang w:val="fr-FR"/>
        </w:rPr>
        <w:t xml:space="preserve"> » que « IHWH dieux (…) </w:t>
      </w:r>
      <w:r w:rsidR="00705BEC">
        <w:rPr>
          <w:color w:val="000000"/>
          <w:lang w:val="fr-FR"/>
        </w:rPr>
        <w:t>exhala</w:t>
      </w:r>
      <w:r w:rsidR="00E50D04">
        <w:rPr>
          <w:color w:val="000000"/>
          <w:lang w:val="fr-FR"/>
        </w:rPr>
        <w:t xml:space="preserve"> dans [l]es </w:t>
      </w:r>
      <w:r w:rsidR="00CC69AC">
        <w:rPr>
          <w:color w:val="000000"/>
          <w:lang w:val="fr-FR"/>
        </w:rPr>
        <w:t>narines</w:t>
      </w:r>
      <w:r w:rsidR="00190688">
        <w:rPr>
          <w:rStyle w:val="Appelnotedebasdep"/>
          <w:color w:val="000000"/>
          <w:lang w:val="fr-FR"/>
        </w:rPr>
        <w:footnoteReference w:id="101"/>
      </w:r>
      <w:r w:rsidR="00E50D04">
        <w:rPr>
          <w:color w:val="000000"/>
          <w:lang w:val="fr-FR"/>
        </w:rPr>
        <w:t> » du terreux pour en faire « un être vivant</w:t>
      </w:r>
      <w:r w:rsidR="00190688">
        <w:rPr>
          <w:rStyle w:val="Appelnotedebasdep"/>
          <w:color w:val="000000"/>
          <w:lang w:val="fr-FR"/>
        </w:rPr>
        <w:footnoteReference w:id="102"/>
      </w:r>
      <w:r w:rsidR="00E50D04">
        <w:rPr>
          <w:color w:val="000000"/>
          <w:lang w:val="fr-FR"/>
        </w:rPr>
        <w:t> »</w:t>
      </w:r>
      <w:r w:rsidR="00190688">
        <w:rPr>
          <w:color w:val="000000"/>
          <w:lang w:val="fr-FR"/>
        </w:rPr>
        <w:t>.</w:t>
      </w:r>
      <w:r w:rsidR="00B15446">
        <w:rPr>
          <w:color w:val="000000"/>
          <w:lang w:val="fr-FR"/>
        </w:rPr>
        <w:t xml:space="preserve"> </w:t>
      </w:r>
      <w:r w:rsidR="00AC7C96">
        <w:rPr>
          <w:color w:val="000000"/>
          <w:lang w:val="fr-FR"/>
        </w:rPr>
        <w:t>Quant au verbe « mettre une ombre sur » (</w:t>
      </w:r>
      <w:r w:rsidR="00AC7C96" w:rsidRPr="00AC7C96">
        <w:rPr>
          <w:color w:val="000000"/>
          <w:lang w:val="fr-FR"/>
        </w:rPr>
        <w:t>ἐπ</w:t>
      </w:r>
      <w:proofErr w:type="spellStart"/>
      <w:r w:rsidR="00AC7C96" w:rsidRPr="00AC7C96">
        <w:rPr>
          <w:color w:val="000000"/>
          <w:lang w:val="fr-FR"/>
        </w:rPr>
        <w:t>ισκιάζω</w:t>
      </w:r>
      <w:proofErr w:type="spellEnd"/>
      <w:r w:rsidR="00AC7C96">
        <w:rPr>
          <w:color w:val="000000"/>
          <w:lang w:val="fr-FR"/>
        </w:rPr>
        <w:t xml:space="preserve">, </w:t>
      </w:r>
      <w:proofErr w:type="spellStart"/>
      <w:r w:rsidR="00AC7C96">
        <w:rPr>
          <w:i/>
          <w:iCs/>
          <w:color w:val="000000"/>
          <w:lang w:val="fr-FR"/>
        </w:rPr>
        <w:t>épiskiazô</w:t>
      </w:r>
      <w:proofErr w:type="spellEnd"/>
      <w:r w:rsidR="00AC7C96">
        <w:rPr>
          <w:color w:val="000000"/>
          <w:lang w:val="fr-FR"/>
        </w:rPr>
        <w:t xml:space="preserve">), comportant le nom </w:t>
      </w:r>
      <w:proofErr w:type="spellStart"/>
      <w:r w:rsidR="00AC7C96" w:rsidRPr="00AC7C96">
        <w:rPr>
          <w:color w:val="000000"/>
          <w:lang w:val="fr-FR"/>
        </w:rPr>
        <w:t>σκιά</w:t>
      </w:r>
      <w:proofErr w:type="spellEnd"/>
      <w:r w:rsidR="00AC7C96">
        <w:rPr>
          <w:color w:val="000000"/>
          <w:lang w:val="fr-FR"/>
        </w:rPr>
        <w:t xml:space="preserve">, </w:t>
      </w:r>
      <w:r w:rsidR="00AC7C96">
        <w:rPr>
          <w:i/>
          <w:iCs/>
          <w:color w:val="000000"/>
          <w:lang w:val="fr-FR"/>
        </w:rPr>
        <w:t>skia</w:t>
      </w:r>
      <w:r w:rsidR="00AC7C96">
        <w:rPr>
          <w:color w:val="000000"/>
          <w:lang w:val="fr-FR"/>
        </w:rPr>
        <w:t xml:space="preserve"> « ombre »</w:t>
      </w:r>
      <w:r w:rsidR="008A6252">
        <w:rPr>
          <w:color w:val="000000"/>
          <w:lang w:val="fr-FR"/>
        </w:rPr>
        <w:t>, il peut être rapproché</w:t>
      </w:r>
      <w:r w:rsidR="00C14714">
        <w:rPr>
          <w:color w:val="000000"/>
          <w:lang w:val="fr-FR"/>
        </w:rPr>
        <w:t xml:space="preserve"> du récit de la création de l’être humain</w:t>
      </w:r>
      <w:r w:rsidR="00384DF9">
        <w:rPr>
          <w:color w:val="000000"/>
          <w:lang w:val="fr-FR"/>
        </w:rPr>
        <w:t> :</w:t>
      </w:r>
      <w:r w:rsidR="00C14714">
        <w:rPr>
          <w:color w:val="000000"/>
          <w:lang w:val="fr-FR"/>
        </w:rPr>
        <w:t xml:space="preserve"> « Et il créa, dieux, le terreux dans son image (</w:t>
      </w:r>
      <w:r w:rsidR="00C14714" w:rsidRPr="00014EDE">
        <w:rPr>
          <w:rFonts w:hint="cs"/>
          <w:color w:val="000000"/>
        </w:rPr>
        <w:t>בְּ</w:t>
      </w:r>
      <w:proofErr w:type="spellStart"/>
      <w:r w:rsidR="00C14714" w:rsidRPr="00014EDE">
        <w:rPr>
          <w:rFonts w:hint="cs"/>
          <w:color w:val="000000"/>
        </w:rPr>
        <w:t>צַלְמו</w:t>
      </w:r>
      <w:proofErr w:type="spellEnd"/>
      <w:r w:rsidR="00C14714" w:rsidRPr="00014EDE">
        <w:rPr>
          <w:rFonts w:hint="cs"/>
          <w:color w:val="000000"/>
        </w:rPr>
        <w:t>ֹ</w:t>
      </w:r>
      <w:r w:rsidR="00C14714">
        <w:rPr>
          <w:color w:val="000000"/>
        </w:rPr>
        <w:t xml:space="preserve">, </w:t>
      </w:r>
      <w:proofErr w:type="spellStart"/>
      <w:r w:rsidR="00C14714">
        <w:rPr>
          <w:i/>
          <w:iCs/>
          <w:color w:val="000000"/>
        </w:rPr>
        <w:t>béstalémô</w:t>
      </w:r>
      <w:proofErr w:type="spellEnd"/>
      <w:r w:rsidR="00C14714">
        <w:rPr>
          <w:color w:val="000000"/>
        </w:rPr>
        <w:t>) [</w:t>
      </w:r>
      <w:r w:rsidR="00C14714">
        <w:rPr>
          <w:i/>
          <w:iCs/>
          <w:color w:val="000000"/>
        </w:rPr>
        <w:t xml:space="preserve">ou </w:t>
      </w:r>
      <w:r w:rsidR="00C14714">
        <w:rPr>
          <w:color w:val="000000"/>
        </w:rPr>
        <w:t>dans son ombre]</w:t>
      </w:r>
      <w:r w:rsidR="00C14714">
        <w:rPr>
          <w:color w:val="000000"/>
          <w:lang w:val="fr-FR"/>
        </w:rPr>
        <w:t>, dans une image (</w:t>
      </w:r>
      <w:r w:rsidR="00C14714" w:rsidRPr="00014EDE">
        <w:rPr>
          <w:rFonts w:hint="cs"/>
          <w:color w:val="000000"/>
        </w:rPr>
        <w:t>בְּ</w:t>
      </w:r>
      <w:proofErr w:type="spellStart"/>
      <w:r w:rsidR="00C14714" w:rsidRPr="00014EDE">
        <w:rPr>
          <w:rFonts w:hint="cs"/>
          <w:color w:val="000000"/>
        </w:rPr>
        <w:t>צֶלֶם</w:t>
      </w:r>
      <w:proofErr w:type="spellEnd"/>
      <w:r w:rsidR="00C14714">
        <w:rPr>
          <w:color w:val="000000"/>
        </w:rPr>
        <w:t xml:space="preserve">, </w:t>
      </w:r>
      <w:proofErr w:type="spellStart"/>
      <w:r w:rsidR="00C14714">
        <w:rPr>
          <w:i/>
          <w:iCs/>
          <w:color w:val="000000"/>
        </w:rPr>
        <w:t>bétsêlêm</w:t>
      </w:r>
      <w:proofErr w:type="spellEnd"/>
      <w:r w:rsidR="00C14714">
        <w:rPr>
          <w:color w:val="000000"/>
        </w:rPr>
        <w:t>)</w:t>
      </w:r>
      <w:r w:rsidR="00C14714">
        <w:rPr>
          <w:color w:val="000000"/>
          <w:lang w:val="fr-FR"/>
        </w:rPr>
        <w:t xml:space="preserve"> </w:t>
      </w:r>
      <w:r w:rsidR="00C14714">
        <w:rPr>
          <w:color w:val="000000"/>
        </w:rPr>
        <w:t>[</w:t>
      </w:r>
      <w:r w:rsidR="00C14714">
        <w:rPr>
          <w:i/>
          <w:iCs/>
          <w:color w:val="000000"/>
        </w:rPr>
        <w:t xml:space="preserve">ou </w:t>
      </w:r>
      <w:r w:rsidR="00C14714">
        <w:rPr>
          <w:color w:val="000000"/>
        </w:rPr>
        <w:t xml:space="preserve">dans une ombre] </w:t>
      </w:r>
      <w:r w:rsidR="00C14714">
        <w:rPr>
          <w:color w:val="000000"/>
          <w:lang w:val="fr-FR"/>
        </w:rPr>
        <w:t>dieux le créa</w:t>
      </w:r>
      <w:r w:rsidR="00C14714">
        <w:rPr>
          <w:rStyle w:val="Appelnotedebasdep"/>
          <w:color w:val="000000"/>
          <w:lang w:val="fr-FR"/>
        </w:rPr>
        <w:footnoteReference w:id="103"/>
      </w:r>
      <w:r w:rsidR="00C14714">
        <w:rPr>
          <w:color w:val="000000"/>
          <w:lang w:val="fr-FR"/>
        </w:rPr>
        <w:t xml:space="preserve"> ». </w:t>
      </w:r>
      <w:r w:rsidR="00384DF9">
        <w:rPr>
          <w:color w:val="000000"/>
          <w:lang w:val="fr-FR"/>
        </w:rPr>
        <w:t>L</w:t>
      </w:r>
      <w:r w:rsidR="00C14714">
        <w:rPr>
          <w:color w:val="000000"/>
          <w:lang w:val="fr-FR"/>
        </w:rPr>
        <w:t xml:space="preserve">a « parole venue de Dieu » rappelle les </w:t>
      </w:r>
      <w:r w:rsidR="00F95048">
        <w:rPr>
          <w:color w:val="000000"/>
          <w:lang w:val="fr-FR"/>
        </w:rPr>
        <w:t>huit</w:t>
      </w:r>
      <w:r w:rsidR="00C14714">
        <w:rPr>
          <w:color w:val="000000"/>
          <w:lang w:val="fr-FR"/>
        </w:rPr>
        <w:t xml:space="preserve"> moments où dieux, dans la </w:t>
      </w:r>
      <w:r w:rsidR="00C14714">
        <w:rPr>
          <w:i/>
          <w:iCs/>
          <w:color w:val="000000"/>
          <w:lang w:val="fr-FR"/>
        </w:rPr>
        <w:t>Genèse</w:t>
      </w:r>
      <w:r w:rsidR="00384DF9">
        <w:rPr>
          <w:color w:val="000000"/>
          <w:lang w:val="fr-FR"/>
        </w:rPr>
        <w:t>, « dit » (</w:t>
      </w:r>
      <w:proofErr w:type="spellStart"/>
      <w:r w:rsidR="00384DF9" w:rsidRPr="00384DF9">
        <w:rPr>
          <w:color w:val="000000"/>
          <w:lang w:val="fr-FR"/>
        </w:rPr>
        <w:t>וַי</w:t>
      </w:r>
      <w:proofErr w:type="spellEnd"/>
      <w:r w:rsidR="00384DF9" w:rsidRPr="00384DF9">
        <w:rPr>
          <w:color w:val="000000"/>
          <w:lang w:val="fr-FR"/>
        </w:rPr>
        <w:t>ֹּ</w:t>
      </w:r>
      <w:proofErr w:type="spellStart"/>
      <w:r w:rsidR="00384DF9" w:rsidRPr="00384DF9">
        <w:rPr>
          <w:color w:val="000000"/>
          <w:lang w:val="fr-FR"/>
        </w:rPr>
        <w:t>אמֶר</w:t>
      </w:r>
      <w:proofErr w:type="spellEnd"/>
      <w:r w:rsidR="00384DF9">
        <w:rPr>
          <w:color w:val="000000"/>
          <w:lang w:val="fr-FR"/>
        </w:rPr>
        <w:t xml:space="preserve">, </w:t>
      </w:r>
      <w:proofErr w:type="spellStart"/>
      <w:r w:rsidR="00384DF9">
        <w:rPr>
          <w:i/>
          <w:iCs/>
          <w:color w:val="000000"/>
          <w:lang w:val="fr-FR"/>
        </w:rPr>
        <w:t>wayomér</w:t>
      </w:r>
      <w:proofErr w:type="spellEnd"/>
      <w:r w:rsidR="00384DF9">
        <w:rPr>
          <w:color w:val="000000"/>
          <w:lang w:val="fr-FR"/>
        </w:rPr>
        <w:t xml:space="preserve"> « et il dit ») et crée par sa parole</w:t>
      </w:r>
      <w:r w:rsidR="00384DF9">
        <w:rPr>
          <w:rStyle w:val="Appelnotedebasdep"/>
          <w:color w:val="000000"/>
          <w:lang w:val="fr-FR"/>
        </w:rPr>
        <w:footnoteReference w:id="104"/>
      </w:r>
      <w:r w:rsidR="00384DF9">
        <w:rPr>
          <w:color w:val="000000"/>
          <w:lang w:val="fr-FR"/>
        </w:rPr>
        <w:t>. Enfin, l’enfant né de Marie « sera appelé (</w:t>
      </w:r>
      <w:proofErr w:type="spellStart"/>
      <w:r w:rsidR="00384DF9" w:rsidRPr="00384DF9">
        <w:rPr>
          <w:color w:val="000000"/>
          <w:lang w:val="fr-FR"/>
        </w:rPr>
        <w:t>κληθήσετ</w:t>
      </w:r>
      <w:proofErr w:type="spellEnd"/>
      <w:r w:rsidR="00384DF9" w:rsidRPr="00384DF9">
        <w:rPr>
          <w:color w:val="000000"/>
          <w:lang w:val="fr-FR"/>
        </w:rPr>
        <w:t>αι</w:t>
      </w:r>
      <w:r w:rsidR="00384DF9">
        <w:rPr>
          <w:color w:val="000000"/>
          <w:lang w:val="fr-FR"/>
        </w:rPr>
        <w:t xml:space="preserve">, </w:t>
      </w:r>
      <w:proofErr w:type="spellStart"/>
      <w:r w:rsidR="00384DF9">
        <w:rPr>
          <w:i/>
          <w:iCs/>
          <w:color w:val="000000"/>
          <w:lang w:val="fr-FR"/>
        </w:rPr>
        <w:t>klêthêsétaï</w:t>
      </w:r>
      <w:proofErr w:type="spellEnd"/>
      <w:r w:rsidR="00384DF9">
        <w:rPr>
          <w:color w:val="000000"/>
          <w:lang w:val="fr-FR"/>
        </w:rPr>
        <w:t xml:space="preserve">) </w:t>
      </w:r>
      <w:r w:rsidR="00384DF9">
        <w:rPr>
          <w:color w:val="000000"/>
          <w:lang w:val="en-AU"/>
        </w:rPr>
        <w:t>“</w:t>
      </w:r>
      <w:r w:rsidR="00384DF9">
        <w:rPr>
          <w:color w:val="000000"/>
          <w:lang w:val="fr-FR"/>
        </w:rPr>
        <w:t>fils de Dieu</w:t>
      </w:r>
      <w:r w:rsidR="00384DF9">
        <w:rPr>
          <w:color w:val="000000"/>
          <w:lang w:val="en-AU"/>
        </w:rPr>
        <w:t>”</w:t>
      </w:r>
      <w:r w:rsidR="00384DF9">
        <w:rPr>
          <w:color w:val="000000"/>
          <w:lang w:val="fr-FR"/>
        </w:rPr>
        <w:t xml:space="preserve"> », ce qui rappelle les noms que dieux donne à ses créations et surtout le nom donné à la femme par le terreux : « pour elle il sera crié </w:t>
      </w:r>
      <w:r w:rsidR="00384DF9">
        <w:rPr>
          <w:color w:val="000000"/>
          <w:lang w:val="en-AU"/>
        </w:rPr>
        <w:t>“</w:t>
      </w:r>
      <w:r w:rsidR="00384DF9">
        <w:rPr>
          <w:color w:val="000000"/>
          <w:lang w:val="fr-FR"/>
        </w:rPr>
        <w:t>femme</w:t>
      </w:r>
      <w:r w:rsidR="00384DF9">
        <w:rPr>
          <w:color w:val="000000"/>
          <w:lang w:val="en-AU"/>
        </w:rPr>
        <w:t>”</w:t>
      </w:r>
      <w:r w:rsidR="00B20698">
        <w:rPr>
          <w:rStyle w:val="Appelnotedebasdep"/>
          <w:color w:val="000000"/>
          <w:lang w:val="en-AU"/>
        </w:rPr>
        <w:footnoteReference w:id="105"/>
      </w:r>
      <w:r w:rsidR="00384DF9">
        <w:rPr>
          <w:color w:val="000000"/>
          <w:lang w:val="fr-FR"/>
        </w:rPr>
        <w:t xml:space="preserve"> ». Dans ce </w:t>
      </w:r>
      <w:r w:rsidR="00A442C4">
        <w:rPr>
          <w:color w:val="000000"/>
          <w:lang w:val="fr-FR"/>
        </w:rPr>
        <w:t xml:space="preserve">dernier </w:t>
      </w:r>
      <w:r w:rsidR="00384DF9">
        <w:rPr>
          <w:color w:val="000000"/>
          <w:lang w:val="fr-FR"/>
        </w:rPr>
        <w:t>cas, le verbe employé pour la nomination est au passif, comme dans l’</w:t>
      </w:r>
      <w:r w:rsidR="00384DF9">
        <w:rPr>
          <w:i/>
          <w:iCs/>
          <w:color w:val="000000"/>
          <w:lang w:val="fr-FR"/>
        </w:rPr>
        <w:t>Évangile selon Luc</w:t>
      </w:r>
      <w:r w:rsidR="00384DF9">
        <w:rPr>
          <w:color w:val="000000"/>
          <w:lang w:val="fr-FR"/>
        </w:rPr>
        <w:t xml:space="preserve">. C’est même exactement le même verbe que l’on trouve dans le récit de l’annonce à Marie et dans la traduction grecque de la </w:t>
      </w:r>
      <w:r w:rsidR="00384DF9" w:rsidRPr="00384DF9">
        <w:rPr>
          <w:i/>
          <w:iCs/>
          <w:color w:val="000000"/>
          <w:lang w:val="fr-FR"/>
        </w:rPr>
        <w:t>Genèse</w:t>
      </w:r>
      <w:r w:rsidR="00B20698">
        <w:rPr>
          <w:rStyle w:val="Appelnotedebasdep"/>
          <w:color w:val="000000"/>
          <w:lang w:val="fr-FR"/>
        </w:rPr>
        <w:footnoteReference w:id="106"/>
      </w:r>
      <w:r w:rsidR="00384DF9">
        <w:rPr>
          <w:color w:val="000000"/>
          <w:lang w:val="fr-FR"/>
        </w:rPr>
        <w:t> : « ce qui va naître et qui sera saint sera appelé (</w:t>
      </w:r>
      <w:proofErr w:type="spellStart"/>
      <w:r w:rsidR="00384DF9" w:rsidRPr="00384DF9">
        <w:rPr>
          <w:color w:val="000000"/>
          <w:lang w:val="fr-FR"/>
        </w:rPr>
        <w:t>κληθήσετ</w:t>
      </w:r>
      <w:proofErr w:type="spellEnd"/>
      <w:r w:rsidR="00384DF9" w:rsidRPr="00384DF9">
        <w:rPr>
          <w:color w:val="000000"/>
          <w:lang w:val="fr-FR"/>
        </w:rPr>
        <w:t>αι</w:t>
      </w:r>
      <w:r w:rsidR="00384DF9">
        <w:rPr>
          <w:color w:val="000000"/>
          <w:lang w:val="fr-FR"/>
        </w:rPr>
        <w:t xml:space="preserve">, </w:t>
      </w:r>
      <w:proofErr w:type="spellStart"/>
      <w:r w:rsidR="00384DF9">
        <w:rPr>
          <w:i/>
          <w:iCs/>
          <w:color w:val="000000"/>
          <w:lang w:val="fr-FR"/>
        </w:rPr>
        <w:t>klêthêsétaï</w:t>
      </w:r>
      <w:proofErr w:type="spellEnd"/>
      <w:r w:rsidR="00384DF9">
        <w:rPr>
          <w:color w:val="000000"/>
          <w:lang w:val="fr-FR"/>
        </w:rPr>
        <w:t xml:space="preserve">) </w:t>
      </w:r>
      <w:r w:rsidR="00384DF9">
        <w:rPr>
          <w:color w:val="000000"/>
          <w:lang w:val="en-AU"/>
        </w:rPr>
        <w:t>“</w:t>
      </w:r>
      <w:r w:rsidR="00384DF9">
        <w:rPr>
          <w:color w:val="000000"/>
          <w:lang w:val="fr-FR"/>
        </w:rPr>
        <w:t>fils de Dieu</w:t>
      </w:r>
      <w:r w:rsidR="00384DF9">
        <w:rPr>
          <w:color w:val="000000"/>
          <w:lang w:val="en-AU"/>
        </w:rPr>
        <w:t>”</w:t>
      </w:r>
      <w:r w:rsidR="00384DF9">
        <w:rPr>
          <w:color w:val="000000"/>
          <w:lang w:val="fr-FR"/>
        </w:rPr>
        <w:t> »</w:t>
      </w:r>
      <w:r w:rsidR="00B20698">
        <w:rPr>
          <w:color w:val="000000"/>
          <w:lang w:val="fr-FR"/>
        </w:rPr>
        <w:t xml:space="preserve"> ; « celle-ci sera appelée </w:t>
      </w:r>
      <w:r w:rsidR="00B20698">
        <w:rPr>
          <w:color w:val="000000"/>
          <w:lang w:val="fr-FR"/>
        </w:rPr>
        <w:lastRenderedPageBreak/>
        <w:t>(</w:t>
      </w:r>
      <w:proofErr w:type="spellStart"/>
      <w:r w:rsidR="00B20698" w:rsidRPr="00B20698">
        <w:rPr>
          <w:color w:val="000000"/>
          <w:lang w:val="fr-FR"/>
        </w:rPr>
        <w:t>κληθήσετ</w:t>
      </w:r>
      <w:proofErr w:type="spellEnd"/>
      <w:r w:rsidR="00B20698" w:rsidRPr="00B20698">
        <w:rPr>
          <w:color w:val="000000"/>
          <w:lang w:val="fr-FR"/>
        </w:rPr>
        <w:t>αι</w:t>
      </w:r>
      <w:r w:rsidR="00B20698">
        <w:rPr>
          <w:color w:val="000000"/>
          <w:lang w:val="fr-FR"/>
        </w:rPr>
        <w:t xml:space="preserve">, </w:t>
      </w:r>
      <w:proofErr w:type="spellStart"/>
      <w:r w:rsidR="00B20698">
        <w:rPr>
          <w:i/>
          <w:iCs/>
          <w:color w:val="000000"/>
          <w:lang w:val="fr-FR"/>
        </w:rPr>
        <w:t>klêthêsétaï</w:t>
      </w:r>
      <w:proofErr w:type="spellEnd"/>
      <w:r w:rsidR="00B20698">
        <w:rPr>
          <w:color w:val="000000"/>
          <w:lang w:val="fr-FR"/>
        </w:rPr>
        <w:t xml:space="preserve">) </w:t>
      </w:r>
      <w:r w:rsidR="00B20698">
        <w:rPr>
          <w:color w:val="000000"/>
          <w:lang w:val="en-AU"/>
        </w:rPr>
        <w:t>“</w:t>
      </w:r>
      <w:r w:rsidR="00B20698">
        <w:rPr>
          <w:color w:val="000000"/>
          <w:lang w:val="fr-FR"/>
        </w:rPr>
        <w:t>femme</w:t>
      </w:r>
      <w:r w:rsidR="00B20698">
        <w:rPr>
          <w:color w:val="000000"/>
          <w:lang w:val="en-AU"/>
        </w:rPr>
        <w:t>”</w:t>
      </w:r>
      <w:r w:rsidR="00B20698">
        <w:rPr>
          <w:rStyle w:val="Appelnotedebasdep"/>
          <w:color w:val="000000"/>
          <w:lang w:val="en-AU"/>
        </w:rPr>
        <w:footnoteReference w:id="107"/>
      </w:r>
      <w:r w:rsidR="00B20698">
        <w:rPr>
          <w:color w:val="000000"/>
          <w:lang w:val="fr-FR"/>
        </w:rPr>
        <w:t xml:space="preserve"> ». </w:t>
      </w:r>
      <w:r w:rsidR="003E4E85">
        <w:rPr>
          <w:color w:val="000000"/>
          <w:lang w:val="fr-FR"/>
        </w:rPr>
        <w:t xml:space="preserve">De cette façon, Marie </w:t>
      </w:r>
      <w:r w:rsidR="000453BB">
        <w:rPr>
          <w:color w:val="000000"/>
          <w:lang w:val="fr-FR"/>
        </w:rPr>
        <w:t xml:space="preserve">est rapprochée de cellui qui est </w:t>
      </w:r>
      <w:proofErr w:type="spellStart"/>
      <w:r w:rsidR="000453BB">
        <w:rPr>
          <w:color w:val="000000"/>
          <w:lang w:val="fr-FR"/>
        </w:rPr>
        <w:t>formé</w:t>
      </w:r>
      <w:r w:rsidR="00A442C4">
        <w:rPr>
          <w:color w:val="000000"/>
          <w:lang w:val="fr-FR"/>
        </w:rPr>
        <w:t>·e</w:t>
      </w:r>
      <w:proofErr w:type="spellEnd"/>
      <w:r w:rsidR="000453BB">
        <w:rPr>
          <w:color w:val="000000"/>
          <w:lang w:val="fr-FR"/>
        </w:rPr>
        <w:t xml:space="preserve"> « dans une ombre » de dieux, par sa parole</w:t>
      </w:r>
      <w:r w:rsidR="00B15446">
        <w:rPr>
          <w:color w:val="000000"/>
          <w:lang w:val="fr-FR"/>
        </w:rPr>
        <w:t xml:space="preserve"> et par son souffle, donc du terreux – à la fois masculin et féminin. Ce rapprochement intertextuel fait de Marie une personne qui échappe donc à la binarité de genre : qui pourrait être</w:t>
      </w:r>
      <w:r w:rsidR="00595C8C">
        <w:rPr>
          <w:color w:val="000000"/>
          <w:lang w:val="fr-FR"/>
        </w:rPr>
        <w:t>,</w:t>
      </w:r>
      <w:r w:rsidR="00B15446">
        <w:rPr>
          <w:color w:val="000000"/>
          <w:lang w:val="fr-FR"/>
        </w:rPr>
        <w:t xml:space="preserve"> elle aussi, homme et femme en même temps et qui, en tout cas, ne peut être rédui</w:t>
      </w:r>
      <w:r w:rsidR="00A442C4">
        <w:rPr>
          <w:color w:val="000000"/>
          <w:lang w:val="fr-FR"/>
        </w:rPr>
        <w:t>t</w:t>
      </w:r>
      <w:r w:rsidR="00B15446">
        <w:rPr>
          <w:color w:val="000000"/>
          <w:lang w:val="fr-FR"/>
        </w:rPr>
        <w:t>e à la seule « féminité</w:t>
      </w:r>
      <w:r w:rsidR="00B15446">
        <w:rPr>
          <w:rStyle w:val="Appelnotedebasdep"/>
          <w:color w:val="000000"/>
          <w:lang w:val="fr-FR"/>
        </w:rPr>
        <w:footnoteReference w:id="108"/>
      </w:r>
      <w:r w:rsidR="00B15446">
        <w:rPr>
          <w:color w:val="000000"/>
          <w:lang w:val="fr-FR"/>
        </w:rPr>
        <w:t xml:space="preserve"> ». </w:t>
      </w:r>
    </w:p>
    <w:p w14:paraId="08D5DE82" w14:textId="77777777" w:rsidR="0015077B" w:rsidRDefault="0015077B" w:rsidP="008571EF">
      <w:pPr>
        <w:jc w:val="both"/>
        <w:rPr>
          <w:color w:val="000000"/>
          <w:lang w:val="fr-FR"/>
        </w:rPr>
      </w:pPr>
    </w:p>
    <w:p w14:paraId="34BFC094" w14:textId="44D673AD" w:rsidR="0015077B" w:rsidRDefault="0015077B" w:rsidP="0015077B">
      <w:pPr>
        <w:pStyle w:val="Paragraphedeliste"/>
        <w:numPr>
          <w:ilvl w:val="0"/>
          <w:numId w:val="1"/>
        </w:numPr>
        <w:jc w:val="both"/>
        <w:rPr>
          <w:b/>
          <w:bCs/>
          <w:color w:val="000000"/>
          <w:lang w:val="fr-FR"/>
        </w:rPr>
      </w:pPr>
      <w:r>
        <w:rPr>
          <w:b/>
          <w:bCs/>
          <w:i/>
          <w:iCs/>
          <w:color w:val="000000"/>
          <w:lang w:val="fr-FR"/>
        </w:rPr>
        <w:t>Matthieu</w:t>
      </w:r>
      <w:r>
        <w:rPr>
          <w:b/>
          <w:bCs/>
          <w:color w:val="000000"/>
          <w:lang w:val="fr-FR"/>
        </w:rPr>
        <w:t xml:space="preserve"> 23, 28 : trouble dans le genre de Jésus.</w:t>
      </w:r>
    </w:p>
    <w:p w14:paraId="675B39ED" w14:textId="77777777" w:rsidR="0015077B" w:rsidRPr="0015077B" w:rsidRDefault="0015077B" w:rsidP="0015077B">
      <w:pPr>
        <w:pStyle w:val="Paragraphedeliste"/>
        <w:jc w:val="both"/>
        <w:rPr>
          <w:b/>
          <w:bCs/>
          <w:color w:val="000000"/>
          <w:lang w:val="fr-FR"/>
        </w:rPr>
      </w:pPr>
    </w:p>
    <w:p w14:paraId="6B23BD0F" w14:textId="0F9256AF" w:rsidR="00CA4F9C" w:rsidRDefault="00595C8C" w:rsidP="008571EF">
      <w:pPr>
        <w:jc w:val="both"/>
      </w:pPr>
      <w:r>
        <w:rPr>
          <w:color w:val="000000"/>
          <w:lang w:val="fr-FR"/>
        </w:rPr>
        <w:t xml:space="preserve">Jésus lui aussi </w:t>
      </w:r>
      <w:r w:rsidR="00CA4F9C">
        <w:rPr>
          <w:color w:val="000000"/>
          <w:lang w:val="fr-FR"/>
        </w:rPr>
        <w:t xml:space="preserve">est à la fois du côté du masculin et du féminin, par exemple, lorsque, en </w:t>
      </w:r>
      <w:r w:rsidR="00CA4F9C">
        <w:rPr>
          <w:i/>
          <w:iCs/>
          <w:color w:val="000000"/>
          <w:lang w:val="fr-FR"/>
        </w:rPr>
        <w:t>Évangile selon Matthieu</w:t>
      </w:r>
      <w:r w:rsidR="00CA4F9C">
        <w:rPr>
          <w:color w:val="000000"/>
          <w:lang w:val="fr-FR"/>
        </w:rPr>
        <w:t xml:space="preserve"> 23, 28, il s’adresse à « Jérusalem</w:t>
      </w:r>
      <w:r w:rsidR="006A4FDC">
        <w:rPr>
          <w:rStyle w:val="Appelnotedebasdep"/>
          <w:color w:val="000000"/>
          <w:lang w:val="fr-FR"/>
        </w:rPr>
        <w:footnoteReference w:id="109"/>
      </w:r>
      <w:r w:rsidR="00CA4F9C">
        <w:rPr>
          <w:color w:val="000000"/>
          <w:lang w:val="fr-FR"/>
        </w:rPr>
        <w:t xml:space="preserve"> » en </w:t>
      </w:r>
      <w:r w:rsidR="006A4FDC">
        <w:rPr>
          <w:color w:val="000000"/>
          <w:lang w:val="fr-FR"/>
        </w:rPr>
        <w:t>demandant</w:t>
      </w:r>
      <w:r w:rsidR="00CA4F9C">
        <w:rPr>
          <w:color w:val="000000"/>
          <w:lang w:val="fr-FR"/>
        </w:rPr>
        <w:t xml:space="preserve"> « combien de fois j’ai voulu rassembler en plus tes enfants, à la façon dont l’oiseau</w:t>
      </w:r>
      <w:r w:rsidR="006A4FDC">
        <w:rPr>
          <w:color w:val="000000"/>
          <w:lang w:val="fr-FR"/>
        </w:rPr>
        <w:t xml:space="preserve"> (</w:t>
      </w:r>
      <w:proofErr w:type="spellStart"/>
      <w:r w:rsidR="006A4FDC" w:rsidRPr="006A4FDC">
        <w:rPr>
          <w:color w:val="000000"/>
          <w:lang w:val="fr-FR"/>
        </w:rPr>
        <w:t>ὄρνις</w:t>
      </w:r>
      <w:proofErr w:type="spellEnd"/>
      <w:r w:rsidR="006A4FDC">
        <w:rPr>
          <w:color w:val="000000"/>
          <w:lang w:val="fr-FR"/>
        </w:rPr>
        <w:t xml:space="preserve">, </w:t>
      </w:r>
      <w:proofErr w:type="spellStart"/>
      <w:r w:rsidR="006A4FDC">
        <w:rPr>
          <w:i/>
          <w:iCs/>
          <w:color w:val="000000"/>
          <w:lang w:val="fr-FR"/>
        </w:rPr>
        <w:t>ornis</w:t>
      </w:r>
      <w:proofErr w:type="spellEnd"/>
      <w:r w:rsidR="006A4FDC">
        <w:rPr>
          <w:color w:val="000000"/>
          <w:lang w:val="fr-FR"/>
        </w:rPr>
        <w:t>)</w:t>
      </w:r>
      <w:r w:rsidR="00CA4F9C">
        <w:rPr>
          <w:color w:val="000000"/>
          <w:lang w:val="fr-FR"/>
        </w:rPr>
        <w:t xml:space="preserve"> rassemble en plus</w:t>
      </w:r>
      <w:r w:rsidR="006A4FDC" w:rsidRPr="006A4FDC">
        <w:t xml:space="preserve"> </w:t>
      </w:r>
      <w:r w:rsidR="006A4FDC">
        <w:t>ses poussins (</w:t>
      </w:r>
      <w:proofErr w:type="spellStart"/>
      <w:r w:rsidR="006A4FDC" w:rsidRPr="006A4FDC">
        <w:t>τὰ</w:t>
      </w:r>
      <w:proofErr w:type="spellEnd"/>
      <w:r w:rsidR="006A4FDC" w:rsidRPr="006A4FDC">
        <w:t xml:space="preserve"> </w:t>
      </w:r>
      <w:proofErr w:type="spellStart"/>
      <w:r w:rsidR="006A4FDC" w:rsidRPr="006A4FDC">
        <w:t>νοσσί</w:t>
      </w:r>
      <w:proofErr w:type="spellEnd"/>
      <w:r w:rsidR="006A4FDC" w:rsidRPr="006A4FDC">
        <w:t>α α</w:t>
      </w:r>
      <w:proofErr w:type="spellStart"/>
      <w:r w:rsidR="006A4FDC" w:rsidRPr="006A4FDC">
        <w:t>ὐτῆς</w:t>
      </w:r>
      <w:proofErr w:type="spellEnd"/>
      <w:r w:rsidR="006A4FDC">
        <w:t xml:space="preserve">, </w:t>
      </w:r>
      <w:r w:rsidR="006A4FDC">
        <w:rPr>
          <w:i/>
          <w:iCs/>
        </w:rPr>
        <w:t xml:space="preserve">ta </w:t>
      </w:r>
      <w:proofErr w:type="spellStart"/>
      <w:r w:rsidR="006A4FDC">
        <w:rPr>
          <w:i/>
          <w:iCs/>
        </w:rPr>
        <w:t>nossia</w:t>
      </w:r>
      <w:proofErr w:type="spellEnd"/>
      <w:r w:rsidR="006A4FDC">
        <w:rPr>
          <w:i/>
          <w:iCs/>
        </w:rPr>
        <w:t xml:space="preserve"> </w:t>
      </w:r>
      <w:proofErr w:type="spellStart"/>
      <w:r w:rsidR="006A4FDC">
        <w:rPr>
          <w:i/>
          <w:iCs/>
        </w:rPr>
        <w:t>autês</w:t>
      </w:r>
      <w:proofErr w:type="spellEnd"/>
      <w:r w:rsidR="006A4FDC">
        <w:t>) sous ses ailes</w:t>
      </w:r>
      <w:r w:rsidR="006A4FDC">
        <w:rPr>
          <w:rStyle w:val="Appelnotedebasdep"/>
          <w:color w:val="000000"/>
          <w:lang w:val="fr-FR"/>
        </w:rPr>
        <w:footnoteReference w:id="110"/>
      </w:r>
      <w:r w:rsidR="006A4FDC">
        <w:t xml:space="preserve"> ? » Le mot « oiseau » </w:t>
      </w:r>
      <w:r w:rsidR="006A4FDC">
        <w:rPr>
          <w:color w:val="000000"/>
          <w:lang w:val="fr-FR"/>
        </w:rPr>
        <w:t>(</w:t>
      </w:r>
      <w:proofErr w:type="spellStart"/>
      <w:r w:rsidR="006A4FDC" w:rsidRPr="006A4FDC">
        <w:rPr>
          <w:color w:val="000000"/>
          <w:lang w:val="fr-FR"/>
        </w:rPr>
        <w:t>ὄρνις</w:t>
      </w:r>
      <w:proofErr w:type="spellEnd"/>
      <w:r w:rsidR="006A4FDC">
        <w:rPr>
          <w:color w:val="000000"/>
          <w:lang w:val="fr-FR"/>
        </w:rPr>
        <w:t xml:space="preserve">, </w:t>
      </w:r>
      <w:proofErr w:type="spellStart"/>
      <w:r w:rsidR="006A4FDC">
        <w:rPr>
          <w:i/>
          <w:iCs/>
          <w:color w:val="000000"/>
          <w:lang w:val="fr-FR"/>
        </w:rPr>
        <w:t>ornis</w:t>
      </w:r>
      <w:proofErr w:type="spellEnd"/>
      <w:r w:rsidR="006A4FDC">
        <w:rPr>
          <w:color w:val="000000"/>
          <w:lang w:val="fr-FR"/>
        </w:rPr>
        <w:t>) pourrait être du masculin ou du féminin, mais le démonstratif employé ensuite (</w:t>
      </w:r>
      <w:r w:rsidR="006A4FDC" w:rsidRPr="006A4FDC">
        <w:t>α</w:t>
      </w:r>
      <w:proofErr w:type="spellStart"/>
      <w:r w:rsidR="006A4FDC" w:rsidRPr="006A4FDC">
        <w:t>ὐτῆς</w:t>
      </w:r>
      <w:proofErr w:type="spellEnd"/>
      <w:r w:rsidR="006A4FDC">
        <w:t xml:space="preserve">, </w:t>
      </w:r>
      <w:proofErr w:type="spellStart"/>
      <w:r w:rsidR="006A4FDC">
        <w:rPr>
          <w:i/>
          <w:iCs/>
        </w:rPr>
        <w:t>autês</w:t>
      </w:r>
      <w:proofErr w:type="spellEnd"/>
      <w:r w:rsidR="006A4FDC">
        <w:t>, pour « </w:t>
      </w:r>
      <w:r w:rsidR="006A4FDC">
        <w:rPr>
          <w:i/>
          <w:iCs/>
        </w:rPr>
        <w:t>ses</w:t>
      </w:r>
      <w:r w:rsidR="006A4FDC">
        <w:t xml:space="preserve"> poussins » en fait ici sans ambiguïté </w:t>
      </w:r>
      <w:r w:rsidR="00A442C4">
        <w:t>u</w:t>
      </w:r>
      <w:r w:rsidR="006A4FDC">
        <w:t>n féminin. C’est donc à un oiseau femelle que Jésus est ici comparé</w:t>
      </w:r>
      <w:r w:rsidR="006A4FDC">
        <w:rPr>
          <w:rStyle w:val="Appelnotedebasdep"/>
        </w:rPr>
        <w:footnoteReference w:id="111"/>
      </w:r>
      <w:r w:rsidR="006A4FDC">
        <w:t>.</w:t>
      </w:r>
    </w:p>
    <w:p w14:paraId="3108CA11" w14:textId="77777777" w:rsidR="0015077B" w:rsidRDefault="0015077B" w:rsidP="008571EF">
      <w:pPr>
        <w:jc w:val="both"/>
      </w:pPr>
    </w:p>
    <w:p w14:paraId="6A006813" w14:textId="279A441C" w:rsidR="0015077B" w:rsidRPr="0015077B" w:rsidRDefault="0015077B" w:rsidP="0015077B">
      <w:pPr>
        <w:pStyle w:val="Paragraphedeliste"/>
        <w:numPr>
          <w:ilvl w:val="0"/>
          <w:numId w:val="1"/>
        </w:numPr>
        <w:jc w:val="both"/>
        <w:rPr>
          <w:b/>
          <w:bCs/>
        </w:rPr>
      </w:pPr>
      <w:r>
        <w:rPr>
          <w:b/>
          <w:bCs/>
          <w:i/>
          <w:iCs/>
        </w:rPr>
        <w:t>Juges</w:t>
      </w:r>
      <w:r>
        <w:rPr>
          <w:b/>
          <w:bCs/>
        </w:rPr>
        <w:t xml:space="preserve"> 19-21</w:t>
      </w:r>
      <w:r w:rsidR="00033C5D">
        <w:rPr>
          <w:b/>
          <w:bCs/>
        </w:rPr>
        <w:t xml:space="preserve">, </w:t>
      </w:r>
      <w:r w:rsidR="00033C5D">
        <w:rPr>
          <w:b/>
          <w:bCs/>
          <w:i/>
          <w:iCs/>
        </w:rPr>
        <w:t>Matthieu</w:t>
      </w:r>
      <w:r w:rsidR="00033C5D">
        <w:rPr>
          <w:b/>
          <w:bCs/>
        </w:rPr>
        <w:t xml:space="preserve"> 2 et </w:t>
      </w:r>
      <w:r w:rsidR="00033C5D">
        <w:rPr>
          <w:b/>
          <w:bCs/>
          <w:i/>
          <w:iCs/>
        </w:rPr>
        <w:t>Luc</w:t>
      </w:r>
      <w:r w:rsidR="00033C5D">
        <w:rPr>
          <w:b/>
          <w:bCs/>
        </w:rPr>
        <w:t xml:space="preserve"> 2 : Jésus e(s)t la concubine du Lévite.</w:t>
      </w:r>
    </w:p>
    <w:p w14:paraId="1A4586EA" w14:textId="77777777" w:rsidR="0015077B" w:rsidRDefault="0015077B" w:rsidP="008571EF">
      <w:pPr>
        <w:jc w:val="both"/>
      </w:pPr>
    </w:p>
    <w:p w14:paraId="5D8FA7C9" w14:textId="2ECBCC31" w:rsidR="00595C8C" w:rsidRDefault="006A4FDC" w:rsidP="008571EF">
      <w:pPr>
        <w:jc w:val="both"/>
      </w:pPr>
      <w:r>
        <w:t xml:space="preserve">Enfin, un </w:t>
      </w:r>
      <w:r w:rsidR="0015077B">
        <w:t>quatrième</w:t>
      </w:r>
      <w:r>
        <w:t xml:space="preserve"> exemple de trouble dans le genre dans la Bible apparaît dans la façon dont l’</w:t>
      </w:r>
      <w:r>
        <w:rPr>
          <w:i/>
          <w:iCs/>
        </w:rPr>
        <w:t>Évangile selon Matthieu</w:t>
      </w:r>
      <w:r>
        <w:t xml:space="preserve"> et l’</w:t>
      </w:r>
      <w:r>
        <w:rPr>
          <w:i/>
          <w:iCs/>
        </w:rPr>
        <w:t xml:space="preserve">Évangile selon Luc </w:t>
      </w:r>
      <w:r>
        <w:t xml:space="preserve">reprennent </w:t>
      </w:r>
      <w:r w:rsidR="0073624B">
        <w:t>le dernier</w:t>
      </w:r>
      <w:r w:rsidR="000B7999">
        <w:t xml:space="preserve"> épisode</w:t>
      </w:r>
      <w:r>
        <w:t xml:space="preserve"> des </w:t>
      </w:r>
      <w:r>
        <w:rPr>
          <w:i/>
          <w:iCs/>
        </w:rPr>
        <w:t>Juges</w:t>
      </w:r>
      <w:r w:rsidR="000B7999">
        <w:t>.</w:t>
      </w:r>
      <w:r w:rsidR="0073624B">
        <w:t xml:space="preserve"> Cet épisode étant particulièrement long – il couvre les chapitres 19 à 21 </w:t>
      </w:r>
      <w:r w:rsidR="00A442C4">
        <w:t>de ce livre</w:t>
      </w:r>
      <w:r w:rsidR="0073624B">
        <w:t xml:space="preserve"> – j’en donnerai une paraphrase en le citant pour les éléments les plus significatifs pour le rapprochement avec </w:t>
      </w:r>
      <w:r w:rsidR="0073624B">
        <w:rPr>
          <w:i/>
          <w:iCs/>
        </w:rPr>
        <w:t>Matthieu</w:t>
      </w:r>
      <w:r w:rsidR="0073624B">
        <w:t xml:space="preserve"> et </w:t>
      </w:r>
      <w:r w:rsidR="0073624B">
        <w:rPr>
          <w:i/>
          <w:iCs/>
        </w:rPr>
        <w:t>Luc</w:t>
      </w:r>
      <w:r w:rsidR="0073624B">
        <w:t xml:space="preserve">. Au temps où il n’y avait </w:t>
      </w:r>
      <w:r w:rsidR="00FE648F">
        <w:t>encore « pas</w:t>
      </w:r>
      <w:r w:rsidR="0073624B">
        <w:t xml:space="preserve"> de roi en Israël</w:t>
      </w:r>
      <w:r w:rsidR="0073624B">
        <w:rPr>
          <w:rStyle w:val="Appelnotedebasdep"/>
        </w:rPr>
        <w:footnoteReference w:id="112"/>
      </w:r>
      <w:r w:rsidR="00FE648F">
        <w:t> »</w:t>
      </w:r>
      <w:r w:rsidR="0073624B">
        <w:t xml:space="preserve">, un </w:t>
      </w:r>
      <w:r w:rsidR="00FE648F">
        <w:t>« homme (</w:t>
      </w:r>
      <w:proofErr w:type="spellStart"/>
      <w:r w:rsidR="00FE648F" w:rsidRPr="00FE648F">
        <w:t>אִיש</w:t>
      </w:r>
      <w:proofErr w:type="spellEnd"/>
      <w:r w:rsidR="00FE648F" w:rsidRPr="00FE648F">
        <w:t>ׁ</w:t>
      </w:r>
      <w:r w:rsidR="00FE648F">
        <w:t>,</w:t>
      </w:r>
      <w:r w:rsidR="00FE648F">
        <w:rPr>
          <w:i/>
          <w:iCs/>
        </w:rPr>
        <w:t>‘</w:t>
      </w:r>
      <w:proofErr w:type="spellStart"/>
      <w:r w:rsidR="00FE648F">
        <w:rPr>
          <w:i/>
          <w:iCs/>
        </w:rPr>
        <w:t>ish</w:t>
      </w:r>
      <w:proofErr w:type="spellEnd"/>
      <w:r w:rsidR="00FE648F">
        <w:t>) de Lévi »</w:t>
      </w:r>
      <w:r w:rsidR="0073624B">
        <w:t xml:space="preserve"> – c’est-à-dire</w:t>
      </w:r>
      <w:r w:rsidR="00FE648F">
        <w:t xml:space="preserve"> un homme descendant de Lévi</w:t>
      </w:r>
      <w:r w:rsidR="0073624B">
        <w:t xml:space="preserve"> – </w:t>
      </w:r>
      <w:r w:rsidR="00FE648F">
        <w:t xml:space="preserve">« prit pour lui une femme </w:t>
      </w:r>
      <w:r w:rsidR="00FE648F">
        <w:lastRenderedPageBreak/>
        <w:t>(</w:t>
      </w:r>
      <w:proofErr w:type="spellStart"/>
      <w:r w:rsidR="00FE648F" w:rsidRPr="00FE648F">
        <w:t>אִש</w:t>
      </w:r>
      <w:proofErr w:type="spellEnd"/>
      <w:r w:rsidR="00FE648F" w:rsidRPr="00FE648F">
        <w:t>ָּׁה</w:t>
      </w:r>
      <w:r w:rsidR="00FE648F">
        <w:t>,</w:t>
      </w:r>
      <w:r w:rsidR="00FE648F">
        <w:rPr>
          <w:i/>
          <w:iCs/>
        </w:rPr>
        <w:t>‘</w:t>
      </w:r>
      <w:proofErr w:type="spellStart"/>
      <w:r w:rsidR="00FE648F">
        <w:rPr>
          <w:i/>
          <w:iCs/>
        </w:rPr>
        <w:t>isha</w:t>
      </w:r>
      <w:proofErr w:type="spellEnd"/>
      <w:r w:rsidR="00FE648F">
        <w:t>)</w:t>
      </w:r>
      <w:r w:rsidR="00412FEF">
        <w:t>, une concubine (</w:t>
      </w:r>
      <w:r w:rsidR="00412FEF" w:rsidRPr="00412FEF">
        <w:t>פִּ</w:t>
      </w:r>
      <w:proofErr w:type="spellStart"/>
      <w:r w:rsidR="00412FEF" w:rsidRPr="00412FEF">
        <w:t>ילֶגֶש</w:t>
      </w:r>
      <w:proofErr w:type="spellEnd"/>
      <w:r w:rsidR="00412FEF" w:rsidRPr="00412FEF">
        <w:t>ׁ</w:t>
      </w:r>
      <w:r w:rsidR="00412FEF">
        <w:t xml:space="preserve">, </w:t>
      </w:r>
      <w:proofErr w:type="spellStart"/>
      <w:r w:rsidR="00412FEF">
        <w:rPr>
          <w:i/>
          <w:iCs/>
        </w:rPr>
        <w:t>pilêgêsh</w:t>
      </w:r>
      <w:proofErr w:type="spellEnd"/>
      <w:r w:rsidR="00412FEF" w:rsidRPr="00412FEF">
        <w:rPr>
          <w:rStyle w:val="Appelnotedebasdep"/>
        </w:rPr>
        <w:footnoteReference w:id="113"/>
      </w:r>
      <w:r w:rsidR="00412FEF" w:rsidRPr="00412FEF">
        <w:t>)</w:t>
      </w:r>
      <w:r w:rsidR="00412FEF">
        <w:t xml:space="preserve"> de Bethléem (</w:t>
      </w:r>
      <w:r w:rsidR="00412FEF" w:rsidRPr="00412FEF">
        <w:t>בֵּ</w:t>
      </w:r>
      <w:proofErr w:type="spellStart"/>
      <w:r w:rsidR="00412FEF" w:rsidRPr="00412FEF">
        <w:t>ית</w:t>
      </w:r>
      <w:proofErr w:type="spellEnd"/>
      <w:r w:rsidR="00412FEF" w:rsidRPr="00412FEF">
        <w:t xml:space="preserve"> </w:t>
      </w:r>
      <w:proofErr w:type="spellStart"/>
      <w:r w:rsidR="00412FEF" w:rsidRPr="00412FEF">
        <w:t>לֶחֶם</w:t>
      </w:r>
      <w:proofErr w:type="spellEnd"/>
      <w:r w:rsidR="00412FEF">
        <w:t xml:space="preserve">, </w:t>
      </w:r>
      <w:proofErr w:type="spellStart"/>
      <w:r w:rsidR="00412FEF">
        <w:rPr>
          <w:i/>
          <w:iCs/>
        </w:rPr>
        <w:t>béit</w:t>
      </w:r>
      <w:proofErr w:type="spellEnd"/>
      <w:r w:rsidR="00412FEF">
        <w:rPr>
          <w:i/>
          <w:iCs/>
        </w:rPr>
        <w:t xml:space="preserve"> </w:t>
      </w:r>
      <w:proofErr w:type="spellStart"/>
      <w:r w:rsidR="00412FEF">
        <w:rPr>
          <w:i/>
          <w:iCs/>
        </w:rPr>
        <w:t>lêhêm</w:t>
      </w:r>
      <w:proofErr w:type="spellEnd"/>
      <w:r w:rsidR="00412FEF">
        <w:t>) en Juda</w:t>
      </w:r>
      <w:r w:rsidR="00D330CF">
        <w:rPr>
          <w:rStyle w:val="Appelnotedebasdep"/>
        </w:rPr>
        <w:footnoteReference w:id="114"/>
      </w:r>
      <w:r w:rsidR="00412FEF">
        <w:t> »</w:t>
      </w:r>
      <w:r w:rsidR="0073624B">
        <w:t>. Celle-ci</w:t>
      </w:r>
      <w:r w:rsidR="00D330CF">
        <w:t xml:space="preserve"> « fut infidèle (</w:t>
      </w:r>
      <w:r w:rsidR="00D330CF" w:rsidRPr="00D330CF">
        <w:t>תִּ</w:t>
      </w:r>
      <w:proofErr w:type="spellStart"/>
      <w:r w:rsidR="00D330CF" w:rsidRPr="00D330CF">
        <w:t>זְנֶה</w:t>
      </w:r>
      <w:proofErr w:type="spellEnd"/>
      <w:r w:rsidR="00D330CF">
        <w:t xml:space="preserve">, </w:t>
      </w:r>
      <w:proofErr w:type="spellStart"/>
      <w:r w:rsidR="00D330CF">
        <w:rPr>
          <w:i/>
          <w:iCs/>
        </w:rPr>
        <w:t>tiznêh</w:t>
      </w:r>
      <w:proofErr w:type="spellEnd"/>
      <w:r w:rsidR="00D330CF">
        <w:t>) envers</w:t>
      </w:r>
      <w:r w:rsidR="0073624B">
        <w:t xml:space="preserve"> lui et elle le quitt</w:t>
      </w:r>
      <w:r w:rsidR="00D330CF">
        <w:t>a</w:t>
      </w:r>
      <w:r w:rsidR="0073624B">
        <w:t xml:space="preserve"> » pour retourner dans la maison de son père « à Bethléem </w:t>
      </w:r>
      <w:r w:rsidR="00D936D5">
        <w:t>en</w:t>
      </w:r>
      <w:r w:rsidR="0073624B">
        <w:t xml:space="preserve"> Juda</w:t>
      </w:r>
      <w:r w:rsidR="00D330CF">
        <w:rPr>
          <w:rStyle w:val="Appelnotedebasdep"/>
        </w:rPr>
        <w:footnoteReference w:id="115"/>
      </w:r>
      <w:r w:rsidR="0073624B">
        <w:t xml:space="preserve"> ». </w:t>
      </w:r>
      <w:r w:rsidR="00C634D2">
        <w:t>« Son homme</w:t>
      </w:r>
      <w:r w:rsidR="00C634D2">
        <w:rPr>
          <w:rStyle w:val="Appelnotedebasdep"/>
        </w:rPr>
        <w:footnoteReference w:id="116"/>
      </w:r>
      <w:r w:rsidR="00C634D2">
        <w:t> »</w:t>
      </w:r>
      <w:r w:rsidR="0073624B">
        <w:t xml:space="preserve"> vient la rechercher au bout de </w:t>
      </w:r>
      <w:r w:rsidR="00DF5E8D">
        <w:t>« </w:t>
      </w:r>
      <w:r w:rsidR="0073624B">
        <w:t>quatre mois</w:t>
      </w:r>
      <w:r w:rsidR="00DF5E8D">
        <w:rPr>
          <w:rStyle w:val="Appelnotedebasdep"/>
        </w:rPr>
        <w:footnoteReference w:id="117"/>
      </w:r>
      <w:r w:rsidR="00DF5E8D">
        <w:t> »</w:t>
      </w:r>
      <w:r w:rsidR="0073624B">
        <w:t xml:space="preserve"> et le récit insiste alors sur le lien entre </w:t>
      </w:r>
      <w:r w:rsidR="00C634D2">
        <w:t xml:space="preserve">ce dernier </w:t>
      </w:r>
      <w:r w:rsidR="0073624B">
        <w:t>et son beau-père : « </w:t>
      </w:r>
      <w:r w:rsidR="00C634D2">
        <w:t>Sur l’insistance de son beau-père, le père de la jeune fille, il séjourna chez lui trois jours et ils mangèrent et ils burent et ils passèrent les nuits là</w:t>
      </w:r>
      <w:r w:rsidR="00C634D2">
        <w:rPr>
          <w:rStyle w:val="Appelnotedebasdep"/>
        </w:rPr>
        <w:footnoteReference w:id="118"/>
      </w:r>
      <w:r w:rsidR="00C634D2">
        <w:t>. »</w:t>
      </w:r>
      <w:r w:rsidR="0073624B" w:rsidRPr="0073624B">
        <w:t xml:space="preserve"> </w:t>
      </w:r>
      <w:r w:rsidR="00C634D2">
        <w:t>Puis,</w:t>
      </w:r>
      <w:r w:rsidR="0073624B">
        <w:t xml:space="preserve"> à deux reprises, le beau-père retient le mari pour qu’à nouveau ils mangent et boivent « </w:t>
      </w:r>
      <w:r w:rsidR="00C634D2">
        <w:t>les</w:t>
      </w:r>
      <w:r w:rsidR="0073624B">
        <w:t xml:space="preserve"> deux ensemble</w:t>
      </w:r>
      <w:r w:rsidR="00C634D2">
        <w:t xml:space="preserve"> (</w:t>
      </w:r>
      <w:r w:rsidR="00C634D2" w:rsidRPr="00C634D2">
        <w:t>שְׁ</w:t>
      </w:r>
      <w:proofErr w:type="spellStart"/>
      <w:r w:rsidR="00C634D2" w:rsidRPr="00C634D2">
        <w:t>נֵיהֶם</w:t>
      </w:r>
      <w:proofErr w:type="spellEnd"/>
      <w:r w:rsidR="00C634D2" w:rsidRPr="00C634D2">
        <w:t xml:space="preserve"> </w:t>
      </w:r>
      <w:proofErr w:type="spellStart"/>
      <w:r w:rsidR="00C634D2" w:rsidRPr="00C634D2">
        <w:t>יַחְד</w:t>
      </w:r>
      <w:proofErr w:type="spellEnd"/>
      <w:r w:rsidR="00C634D2" w:rsidRPr="00C634D2">
        <w:t>ָּו</w:t>
      </w:r>
      <w:r w:rsidR="00C634D2">
        <w:t xml:space="preserve">, </w:t>
      </w:r>
      <w:proofErr w:type="spellStart"/>
      <w:r w:rsidR="00C634D2">
        <w:rPr>
          <w:i/>
          <w:iCs/>
        </w:rPr>
        <w:t>shnéihêm</w:t>
      </w:r>
      <w:proofErr w:type="spellEnd"/>
      <w:r w:rsidR="00C634D2">
        <w:rPr>
          <w:i/>
          <w:iCs/>
        </w:rPr>
        <w:t xml:space="preserve"> </w:t>
      </w:r>
      <w:proofErr w:type="spellStart"/>
      <w:r w:rsidR="00C634D2">
        <w:rPr>
          <w:i/>
          <w:iCs/>
        </w:rPr>
        <w:t>yahdaw</w:t>
      </w:r>
      <w:proofErr w:type="spellEnd"/>
      <w:r w:rsidR="00C634D2">
        <w:t>)</w:t>
      </w:r>
      <w:r w:rsidR="00962A6C">
        <w:rPr>
          <w:rStyle w:val="Appelnotedebasdep"/>
        </w:rPr>
        <w:footnoteReference w:id="119"/>
      </w:r>
      <w:r w:rsidR="0073624B">
        <w:t xml:space="preserve"> ». </w:t>
      </w:r>
      <w:r w:rsidR="007C1C93">
        <w:t>L</w:t>
      </w:r>
      <w:r w:rsidR="0073624B">
        <w:t xml:space="preserve">es réjouissances des deux hommes durent </w:t>
      </w:r>
      <w:r w:rsidR="007C1C93">
        <w:t xml:space="preserve">au total </w:t>
      </w:r>
      <w:r w:rsidR="0073624B">
        <w:t>cinq jours</w:t>
      </w:r>
      <w:r w:rsidR="00962A6C">
        <w:rPr>
          <w:rStyle w:val="Appelnotedebasdep"/>
        </w:rPr>
        <w:footnoteReference w:id="120"/>
      </w:r>
      <w:r w:rsidR="0073624B">
        <w:t>. Le soir du cinquième jour, le lévite part avec sa concubine en direction de Jérusalem</w:t>
      </w:r>
      <w:r w:rsidR="00962A6C">
        <w:rPr>
          <w:rStyle w:val="Appelnotedebasdep"/>
        </w:rPr>
        <w:footnoteReference w:id="121"/>
      </w:r>
      <w:r w:rsidR="0073624B">
        <w:t xml:space="preserve">. En évitant les villes de non-juifs, ils font étape à </w:t>
      </w:r>
      <w:proofErr w:type="spellStart"/>
      <w:r w:rsidR="0073624B">
        <w:t>Guivéa</w:t>
      </w:r>
      <w:proofErr w:type="spellEnd"/>
      <w:r w:rsidR="0073624B">
        <w:t>, où demeurent les descendants de Benjamin</w:t>
      </w:r>
      <w:r w:rsidR="007C1C93">
        <w:t>,</w:t>
      </w:r>
      <w:r w:rsidR="0073624B">
        <w:t xml:space="preserve"> donc une des douze tribus d’Israël</w:t>
      </w:r>
      <w:r w:rsidR="00962A6C">
        <w:rPr>
          <w:rStyle w:val="Appelnotedebasdep"/>
        </w:rPr>
        <w:footnoteReference w:id="122"/>
      </w:r>
      <w:r w:rsidR="0073624B">
        <w:t>. En ce lieu, dans un premier temps, « </w:t>
      </w:r>
      <w:r w:rsidR="00962A6C">
        <w:t>aucun homme</w:t>
      </w:r>
      <w:r w:rsidR="0073624B">
        <w:t xml:space="preserve"> </w:t>
      </w:r>
      <w:r w:rsidR="00962A6C">
        <w:t>(</w:t>
      </w:r>
      <w:proofErr w:type="spellStart"/>
      <w:r w:rsidR="00962A6C" w:rsidRPr="00FE648F">
        <w:t>אִיש</w:t>
      </w:r>
      <w:proofErr w:type="spellEnd"/>
      <w:r w:rsidR="00962A6C" w:rsidRPr="00FE648F">
        <w:t>ׁ</w:t>
      </w:r>
      <w:r w:rsidR="00962A6C">
        <w:t xml:space="preserve">, </w:t>
      </w:r>
      <w:r w:rsidR="00962A6C">
        <w:rPr>
          <w:i/>
          <w:iCs/>
        </w:rPr>
        <w:t>‘</w:t>
      </w:r>
      <w:proofErr w:type="spellStart"/>
      <w:r w:rsidR="00962A6C">
        <w:rPr>
          <w:i/>
          <w:iCs/>
        </w:rPr>
        <w:t>ish</w:t>
      </w:r>
      <w:proofErr w:type="spellEnd"/>
      <w:r w:rsidR="00962A6C">
        <w:t xml:space="preserve">) </w:t>
      </w:r>
      <w:r w:rsidR="0073624B">
        <w:t xml:space="preserve">ne les </w:t>
      </w:r>
      <w:r w:rsidR="00962A6C">
        <w:t>reçut</w:t>
      </w:r>
      <w:r w:rsidR="0073624B">
        <w:t xml:space="preserve"> dans sa maison pour passer la nuit</w:t>
      </w:r>
      <w:r w:rsidR="00962A6C">
        <w:rPr>
          <w:rStyle w:val="Appelnotedebasdep"/>
        </w:rPr>
        <w:footnoteReference w:id="123"/>
      </w:r>
      <w:r w:rsidR="0073624B">
        <w:t xml:space="preserve"> ». Ils croisent </w:t>
      </w:r>
      <w:r w:rsidR="00023D6E">
        <w:t>finalement</w:t>
      </w:r>
      <w:r w:rsidR="0073624B">
        <w:t xml:space="preserve"> un vieillard qui les reçoit avec enthousiasme</w:t>
      </w:r>
      <w:r w:rsidR="00023D6E">
        <w:rPr>
          <w:rStyle w:val="Appelnotedebasdep"/>
        </w:rPr>
        <w:footnoteReference w:id="124"/>
      </w:r>
      <w:r w:rsidR="0073624B">
        <w:t xml:space="preserve">. Cependant, pendant qu’ils mangent et boivent des « hommes </w:t>
      </w:r>
      <w:r w:rsidR="00023D6E">
        <w:t>(</w:t>
      </w:r>
      <w:proofErr w:type="spellStart"/>
      <w:r w:rsidR="00023D6E" w:rsidRPr="00FE648F">
        <w:t>אִיש</w:t>
      </w:r>
      <w:proofErr w:type="spellEnd"/>
      <w:r w:rsidR="00023D6E" w:rsidRPr="00FE648F">
        <w:t>ׁ</w:t>
      </w:r>
      <w:r w:rsidR="00023D6E">
        <w:t>,</w:t>
      </w:r>
      <w:r w:rsidR="00023D6E">
        <w:rPr>
          <w:i/>
          <w:iCs/>
        </w:rPr>
        <w:t>‘</w:t>
      </w:r>
      <w:proofErr w:type="spellStart"/>
      <w:r w:rsidR="00023D6E">
        <w:rPr>
          <w:i/>
          <w:iCs/>
        </w:rPr>
        <w:t>ish</w:t>
      </w:r>
      <w:proofErr w:type="spellEnd"/>
      <w:r w:rsidR="00023D6E">
        <w:t xml:space="preserve">) </w:t>
      </w:r>
      <w:r w:rsidR="0073624B">
        <w:t xml:space="preserve">de la ville, des </w:t>
      </w:r>
      <w:r w:rsidR="00023D6E">
        <w:t>hommes (</w:t>
      </w:r>
      <w:proofErr w:type="spellStart"/>
      <w:r w:rsidR="00023D6E" w:rsidRPr="00FE648F">
        <w:t>אִיש</w:t>
      </w:r>
      <w:proofErr w:type="spellEnd"/>
      <w:r w:rsidR="00023D6E" w:rsidRPr="00FE648F">
        <w:t>ׁ</w:t>
      </w:r>
      <w:r w:rsidR="00023D6E">
        <w:t>,</w:t>
      </w:r>
      <w:r w:rsidR="00023D6E">
        <w:rPr>
          <w:i/>
          <w:iCs/>
        </w:rPr>
        <w:t>‘</w:t>
      </w:r>
      <w:proofErr w:type="spellStart"/>
      <w:r w:rsidR="00023D6E">
        <w:rPr>
          <w:i/>
          <w:iCs/>
        </w:rPr>
        <w:t>ish</w:t>
      </w:r>
      <w:proofErr w:type="spellEnd"/>
      <w:r w:rsidR="00023D6E">
        <w:t>)</w:t>
      </w:r>
      <w:r w:rsidR="000D373F">
        <w:t xml:space="preserve"> de fils de moins-que-rien</w:t>
      </w:r>
      <w:r w:rsidR="0073624B">
        <w:t xml:space="preserve"> » frappent à la porte de la maison et réclament que le vieillard fasse sortir le </w:t>
      </w:r>
      <w:r w:rsidR="007C1C93">
        <w:t>L</w:t>
      </w:r>
      <w:r w:rsidR="0073624B">
        <w:t>évite « afin que nous le connaissions</w:t>
      </w:r>
      <w:r w:rsidR="000D373F">
        <w:t xml:space="preserve"> (</w:t>
      </w:r>
      <w:proofErr w:type="spellStart"/>
      <w:r w:rsidR="000D373F" w:rsidRPr="000D373F">
        <w:t>וְנֵדָעֶנּו</w:t>
      </w:r>
      <w:proofErr w:type="spellEnd"/>
      <w:r w:rsidR="000D373F" w:rsidRPr="000D373F">
        <w:t>ּ</w:t>
      </w:r>
      <w:r w:rsidR="000D373F">
        <w:t xml:space="preserve">, </w:t>
      </w:r>
      <w:proofErr w:type="spellStart"/>
      <w:r w:rsidR="000D373F">
        <w:rPr>
          <w:i/>
          <w:iCs/>
        </w:rPr>
        <w:t>wénéda’ênou</w:t>
      </w:r>
      <w:proofErr w:type="spellEnd"/>
      <w:r w:rsidR="000D373F">
        <w:t>)</w:t>
      </w:r>
      <w:r w:rsidR="0073624B">
        <w:t> »</w:t>
      </w:r>
      <w:r w:rsidR="007C1C93">
        <w:t xml:space="preserve"> –</w:t>
      </w:r>
      <w:r w:rsidR="0073624B">
        <w:t xml:space="preserve"> donc pour le violer</w:t>
      </w:r>
      <w:r w:rsidR="000D373F">
        <w:rPr>
          <w:rStyle w:val="Appelnotedebasdep"/>
        </w:rPr>
        <w:footnoteReference w:id="125"/>
      </w:r>
      <w:r w:rsidR="0073624B">
        <w:t>.</w:t>
      </w:r>
      <w:r w:rsidR="00FA5E7A">
        <w:rPr>
          <w:rtl/>
          <w:lang w:bidi="he-IL"/>
        </w:rPr>
        <w:t xml:space="preserve"> </w:t>
      </w:r>
      <w:r w:rsidR="0073624B">
        <w:t xml:space="preserve">Le vieillard, voulant protéger son hôte, </w:t>
      </w:r>
      <w:r w:rsidR="00FA5E7A">
        <w:t>leur propose</w:t>
      </w:r>
      <w:r w:rsidR="0073624B">
        <w:t xml:space="preserve"> de leur livrer </w:t>
      </w:r>
      <w:r w:rsidR="00FA5E7A">
        <w:t xml:space="preserve">plutôt </w:t>
      </w:r>
      <w:r w:rsidR="0073624B">
        <w:t>sa « fille</w:t>
      </w:r>
      <w:r w:rsidR="00FA5E7A">
        <w:t xml:space="preserve"> vierge </w:t>
      </w:r>
      <w:r w:rsidR="0073624B">
        <w:t>» </w:t>
      </w:r>
      <w:r w:rsidR="00FA5E7A">
        <w:t xml:space="preserve">et la « concubine » de son invité </w:t>
      </w:r>
      <w:r w:rsidR="0073624B">
        <w:t>: « </w:t>
      </w:r>
      <w:r w:rsidR="00AC0978">
        <w:t>tourmentez-les</w:t>
      </w:r>
      <w:r w:rsidR="0073624B">
        <w:t xml:space="preserve"> et faites-l</w:t>
      </w:r>
      <w:r w:rsidR="007C1C93">
        <w:t>eur</w:t>
      </w:r>
      <w:r w:rsidR="0073624B">
        <w:t xml:space="preserve"> </w:t>
      </w:r>
      <w:r w:rsidR="00AC0978">
        <w:t>comme il paraîtra bien à vos yeux</w:t>
      </w:r>
      <w:r w:rsidR="00AC0978">
        <w:rPr>
          <w:rStyle w:val="Appelnotedebasdep"/>
        </w:rPr>
        <w:footnoteReference w:id="126"/>
      </w:r>
      <w:r w:rsidR="0073624B">
        <w:t> »</w:t>
      </w:r>
      <w:r w:rsidR="00AC0978">
        <w:t>.</w:t>
      </w:r>
      <w:r w:rsidR="0073624B">
        <w:t xml:space="preserve"> </w:t>
      </w:r>
      <w:r w:rsidR="00AC0978">
        <w:t>C</w:t>
      </w:r>
      <w:r w:rsidR="0073624B">
        <w:t xml:space="preserve">’est le </w:t>
      </w:r>
      <w:r w:rsidR="007C1C93">
        <w:t>L</w:t>
      </w:r>
      <w:r w:rsidR="0073624B">
        <w:t>évite</w:t>
      </w:r>
      <w:r w:rsidR="00AC0978">
        <w:t xml:space="preserve"> finalement</w:t>
      </w:r>
      <w:r w:rsidR="0073624B">
        <w:t xml:space="preserve"> qui « saisit</w:t>
      </w:r>
      <w:r w:rsidR="00AC0978">
        <w:t xml:space="preserve"> violemment</w:t>
      </w:r>
      <w:r w:rsidR="0073624B">
        <w:t xml:space="preserve"> sa concubine et </w:t>
      </w:r>
      <w:r w:rsidR="00AC0978">
        <w:t>sortit vers eux</w:t>
      </w:r>
      <w:r w:rsidR="0073624B">
        <w:t xml:space="preserve"> dehors</w:t>
      </w:r>
      <w:r w:rsidR="00AC0978">
        <w:t xml:space="preserve"> et ils la connurent </w:t>
      </w:r>
      <w:r w:rsidR="00C84B32">
        <w:t>et abusèrent d’elle toute la nuit, jusqu’au matin</w:t>
      </w:r>
      <w:r w:rsidR="00C84B32">
        <w:rPr>
          <w:rStyle w:val="Appelnotedebasdep"/>
        </w:rPr>
        <w:footnoteReference w:id="127"/>
      </w:r>
      <w:r w:rsidR="00C84B32">
        <w:t> »</w:t>
      </w:r>
      <w:r w:rsidR="0073624B">
        <w:t xml:space="preserve">. </w:t>
      </w:r>
      <w:r w:rsidR="00E345AE">
        <w:t>La femme finit par s’effondrer morte à l’entrée de la maison</w:t>
      </w:r>
      <w:r w:rsidR="00C84B32">
        <w:rPr>
          <w:rStyle w:val="Appelnotedebasdep"/>
        </w:rPr>
        <w:footnoteReference w:id="128"/>
      </w:r>
      <w:r w:rsidR="00E345AE">
        <w:t>.</w:t>
      </w:r>
      <w:r w:rsidR="00C84B32">
        <w:t xml:space="preserve"> L’homme de la tribu de Lévi emporte son corps et le découpe en douze morceaux, qu’il envoie chacun à une des douze tribus d’Israël</w:t>
      </w:r>
      <w:r w:rsidR="00C84B32">
        <w:rPr>
          <w:rStyle w:val="Appelnotedebasdep"/>
        </w:rPr>
        <w:footnoteReference w:id="129"/>
      </w:r>
      <w:r w:rsidR="00C84B32">
        <w:t xml:space="preserve">. </w:t>
      </w:r>
      <w:r w:rsidR="00E345AE">
        <w:t xml:space="preserve">Par cet acte symbolique, </w:t>
      </w:r>
      <w:r w:rsidR="00C84B32">
        <w:t>il</w:t>
      </w:r>
      <w:r w:rsidR="00E345AE">
        <w:t xml:space="preserve"> réclame vengeance contre les descendants de Benjamin</w:t>
      </w:r>
      <w:r w:rsidR="00C84B32">
        <w:rPr>
          <w:rStyle w:val="Appelnotedebasdep"/>
        </w:rPr>
        <w:footnoteReference w:id="130"/>
      </w:r>
      <w:r w:rsidR="00C84B32">
        <w:t xml:space="preserve"> </w:t>
      </w:r>
      <w:r w:rsidR="00E345AE">
        <w:t>qui, après plusieurs épisodes guerriers, sont défaits par une coalition issue des onze autres tribus d’Israël, et massacrés</w:t>
      </w:r>
      <w:r w:rsidR="00C84B32">
        <w:rPr>
          <w:rStyle w:val="Appelnotedebasdep"/>
        </w:rPr>
        <w:footnoteReference w:id="131"/>
      </w:r>
      <w:r w:rsidR="00E345AE">
        <w:t xml:space="preserve">. </w:t>
      </w:r>
      <w:r w:rsidR="007C1C93">
        <w:t>Cependant, pour</w:t>
      </w:r>
      <w:r w:rsidR="00E345AE">
        <w:t xml:space="preserve"> que la tribu de Benjamin ne disparaisse pas, la coalition massacre hommes, femmes et enfants d’une des ville d’Israël, </w:t>
      </w:r>
      <w:proofErr w:type="spellStart"/>
      <w:r w:rsidR="00E345AE">
        <w:t>Yavesh</w:t>
      </w:r>
      <w:proofErr w:type="spellEnd"/>
      <w:r w:rsidR="00E345AE">
        <w:t>-de-Galaad</w:t>
      </w:r>
      <w:r w:rsidR="0042620E">
        <w:rPr>
          <w:rStyle w:val="Appelnotedebasdep"/>
        </w:rPr>
        <w:footnoteReference w:id="132"/>
      </w:r>
      <w:r w:rsidR="007C1C93">
        <w:t>,</w:t>
      </w:r>
      <w:r w:rsidR="00E345AE">
        <w:t xml:space="preserve"> et y enlève « quatre cents jeunes filles </w:t>
      </w:r>
      <w:r w:rsidR="0042620E">
        <w:t xml:space="preserve">qui n’avaient pas connu </w:t>
      </w:r>
      <w:r w:rsidR="0042620E">
        <w:lastRenderedPageBreak/>
        <w:t>d’homme</w:t>
      </w:r>
      <w:r w:rsidR="0042620E">
        <w:rPr>
          <w:rStyle w:val="Appelnotedebasdep"/>
        </w:rPr>
        <w:footnoteReference w:id="133"/>
      </w:r>
      <w:r w:rsidR="00E345AE">
        <w:t> ». Ils encouragent aussi les fils de Benjamin à enlever des femmes lors d’une fête à Silo</w:t>
      </w:r>
      <w:r w:rsidR="0042620E">
        <w:rPr>
          <w:rStyle w:val="Appelnotedebasdep"/>
        </w:rPr>
        <w:footnoteReference w:id="134"/>
      </w:r>
      <w:r w:rsidR="00E345AE">
        <w:t xml:space="preserve">. Benjamin se </w:t>
      </w:r>
      <w:r w:rsidR="0042620E">
        <w:t>reconstitue</w:t>
      </w:r>
      <w:r w:rsidR="00E345AE">
        <w:t xml:space="preserve"> ainsi</w:t>
      </w:r>
      <w:r w:rsidR="0042620E">
        <w:rPr>
          <w:rStyle w:val="Appelnotedebasdep"/>
        </w:rPr>
        <w:footnoteReference w:id="135"/>
      </w:r>
      <w:r w:rsidR="00E345AE">
        <w:t xml:space="preserve"> et le livre des </w:t>
      </w:r>
      <w:r w:rsidR="00E345AE">
        <w:rPr>
          <w:i/>
          <w:iCs/>
        </w:rPr>
        <w:t>Juges</w:t>
      </w:r>
      <w:r w:rsidR="00E345AE">
        <w:t xml:space="preserve"> se conclut par ces mots : « </w:t>
      </w:r>
      <w:r w:rsidR="00E345AE" w:rsidRPr="00E345AE">
        <w:t>En ce jour-là, il n</w:t>
      </w:r>
      <w:r w:rsidR="00D659EF">
        <w:t>’</w:t>
      </w:r>
      <w:r w:rsidR="00E345AE" w:rsidRPr="00E345AE">
        <w:t xml:space="preserve">y avait pas de roi en Israël. </w:t>
      </w:r>
      <w:r w:rsidR="0042620E">
        <w:t>Un homme</w:t>
      </w:r>
      <w:r w:rsidR="00E345AE" w:rsidRPr="00E345AE">
        <w:t xml:space="preserve"> faisait </w:t>
      </w:r>
      <w:r w:rsidR="0042620E">
        <w:t>comme il était bon à ses yeux</w:t>
      </w:r>
      <w:r w:rsidR="0042620E">
        <w:rPr>
          <w:rStyle w:val="Appelnotedebasdep"/>
        </w:rPr>
        <w:footnoteReference w:id="136"/>
      </w:r>
      <w:r w:rsidR="0042620E">
        <w:t>. »</w:t>
      </w:r>
    </w:p>
    <w:p w14:paraId="322485E1" w14:textId="77777777" w:rsidR="007C1C93" w:rsidRDefault="00D659EF" w:rsidP="008571EF">
      <w:pPr>
        <w:jc w:val="both"/>
      </w:pPr>
      <w:r>
        <w:t xml:space="preserve">Ce texte </w:t>
      </w:r>
      <w:r w:rsidR="00626567">
        <w:t>peut être lu comme</w:t>
      </w:r>
      <w:r>
        <w:t xml:space="preserve"> le récit d’un viol </w:t>
      </w:r>
      <w:r w:rsidR="007C1C93">
        <w:t xml:space="preserve">collectif </w:t>
      </w:r>
      <w:r>
        <w:t xml:space="preserve">et d’un féminicide, au sein d’une société dénoncée comme patriarcale. Les emplois du mot </w:t>
      </w:r>
      <w:r w:rsidR="004A423E">
        <w:t>« homme (</w:t>
      </w:r>
      <w:proofErr w:type="spellStart"/>
      <w:r w:rsidR="004A423E" w:rsidRPr="00FE648F">
        <w:t>אִיש</w:t>
      </w:r>
      <w:proofErr w:type="spellEnd"/>
      <w:r w:rsidR="004A423E" w:rsidRPr="00FE648F">
        <w:t>ׁ</w:t>
      </w:r>
      <w:r w:rsidR="004A423E">
        <w:t>,</w:t>
      </w:r>
      <w:r w:rsidR="004A423E">
        <w:rPr>
          <w:i/>
          <w:iCs/>
        </w:rPr>
        <w:t>‘</w:t>
      </w:r>
      <w:proofErr w:type="spellStart"/>
      <w:r w:rsidR="004A423E">
        <w:rPr>
          <w:i/>
          <w:iCs/>
        </w:rPr>
        <w:t>ish</w:t>
      </w:r>
      <w:proofErr w:type="spellEnd"/>
      <w:r w:rsidR="004A423E">
        <w:t xml:space="preserve">) » </w:t>
      </w:r>
      <w:r>
        <w:t>dans « aucun homme (</w:t>
      </w:r>
      <w:proofErr w:type="spellStart"/>
      <w:r w:rsidRPr="00FE648F">
        <w:t>אִיש</w:t>
      </w:r>
      <w:proofErr w:type="spellEnd"/>
      <w:r w:rsidRPr="00FE648F">
        <w:t>ׁ</w:t>
      </w:r>
      <w:r>
        <w:t>,</w:t>
      </w:r>
      <w:r>
        <w:rPr>
          <w:i/>
          <w:iCs/>
        </w:rPr>
        <w:t>‘</w:t>
      </w:r>
      <w:proofErr w:type="spellStart"/>
      <w:r>
        <w:rPr>
          <w:i/>
          <w:iCs/>
        </w:rPr>
        <w:t>ish</w:t>
      </w:r>
      <w:proofErr w:type="spellEnd"/>
      <w:r>
        <w:t>) ne les reçut dans sa maison</w:t>
      </w:r>
      <w:r w:rsidR="00206580">
        <w:rPr>
          <w:rStyle w:val="Appelnotedebasdep"/>
        </w:rPr>
        <w:footnoteReference w:id="137"/>
      </w:r>
      <w:r>
        <w:t> » et dans « Un homme</w:t>
      </w:r>
      <w:r w:rsidRPr="00E345AE">
        <w:t xml:space="preserve"> </w:t>
      </w:r>
      <w:r>
        <w:t>(</w:t>
      </w:r>
      <w:proofErr w:type="spellStart"/>
      <w:r w:rsidRPr="00FE648F">
        <w:t>אִיש</w:t>
      </w:r>
      <w:proofErr w:type="spellEnd"/>
      <w:r w:rsidRPr="00FE648F">
        <w:t>ׁ</w:t>
      </w:r>
      <w:r>
        <w:t>,</w:t>
      </w:r>
      <w:r>
        <w:rPr>
          <w:i/>
          <w:iCs/>
        </w:rPr>
        <w:t>‘</w:t>
      </w:r>
      <w:proofErr w:type="spellStart"/>
      <w:r>
        <w:rPr>
          <w:i/>
          <w:iCs/>
        </w:rPr>
        <w:t>ish</w:t>
      </w:r>
      <w:proofErr w:type="spellEnd"/>
      <w:r>
        <w:t xml:space="preserve">) </w:t>
      </w:r>
      <w:r w:rsidRPr="00E345AE">
        <w:t xml:space="preserve">faisait </w:t>
      </w:r>
      <w:r>
        <w:t>comme il était bon à ses yeux</w:t>
      </w:r>
      <w:r w:rsidR="00206580">
        <w:rPr>
          <w:rStyle w:val="Appelnotedebasdep"/>
        </w:rPr>
        <w:footnoteReference w:id="138"/>
      </w:r>
      <w:r w:rsidR="007C1C93">
        <w:t>.</w:t>
      </w:r>
      <w:r>
        <w:t> »</w:t>
      </w:r>
      <w:r w:rsidR="004A423E">
        <w:t xml:space="preserve"> peuvent être vus comme une généralisation par-delà les genres : « homme (</w:t>
      </w:r>
      <w:proofErr w:type="spellStart"/>
      <w:r w:rsidR="004A423E" w:rsidRPr="00FE648F">
        <w:t>אִיש</w:t>
      </w:r>
      <w:proofErr w:type="spellEnd"/>
      <w:r w:rsidR="004A423E" w:rsidRPr="00FE648F">
        <w:t>ׁ</w:t>
      </w:r>
      <w:r w:rsidR="004A423E">
        <w:t>,</w:t>
      </w:r>
      <w:r w:rsidR="004A423E">
        <w:rPr>
          <w:i/>
          <w:iCs/>
        </w:rPr>
        <w:t>‘</w:t>
      </w:r>
      <w:proofErr w:type="spellStart"/>
      <w:r w:rsidR="004A423E">
        <w:rPr>
          <w:i/>
          <w:iCs/>
        </w:rPr>
        <w:t>ish</w:t>
      </w:r>
      <w:proofErr w:type="spellEnd"/>
      <w:r w:rsidR="004A423E">
        <w:t>) » peut signifier « quelqu’un », « n’importe qui »</w:t>
      </w:r>
      <w:r w:rsidR="004A423E">
        <w:rPr>
          <w:rStyle w:val="Appelnotedebasdep"/>
        </w:rPr>
        <w:footnoteReference w:id="139"/>
      </w:r>
      <w:r w:rsidR="004A423E">
        <w:t>, de sorte qu’on pourrait traduire par « personne ne les reçut dans sa maison » et « Chacun » voire « </w:t>
      </w:r>
      <w:proofErr w:type="spellStart"/>
      <w:r w:rsidR="004A423E">
        <w:t>Chacun·e</w:t>
      </w:r>
      <w:proofErr w:type="spellEnd"/>
      <w:r w:rsidR="004A423E">
        <w:t xml:space="preserve"> faisait comme il était bon à ses yeux. »</w:t>
      </w:r>
      <w:r w:rsidR="000B6B8D">
        <w:t xml:space="preserve"> Cependant – outre le fait que l’idée que le masculin constitue l’équivalent du neutre soit déjà sexiste en soi – du fait des événements </w:t>
      </w:r>
      <w:r w:rsidR="00295C40">
        <w:t xml:space="preserve">racontés dans le passage, </w:t>
      </w:r>
      <w:r w:rsidR="00EB60BA">
        <w:t>le fait que le terme désigne des personnages genrés masculins me semble</w:t>
      </w:r>
      <w:r w:rsidR="00626567">
        <w:t xml:space="preserve"> ici</w:t>
      </w:r>
      <w:r w:rsidR="00EB60BA">
        <w:t xml:space="preserve"> essentiel. </w:t>
      </w:r>
      <w:r w:rsidR="00626567">
        <w:t>L</w:t>
      </w:r>
      <w:r w:rsidR="00EB60BA">
        <w:t xml:space="preserve">’histoire met en scène une complicité entre des hommes – qui notamment prend la place de la complicité qui pourrait / devrait exister entre hommes et femmes. Lorsque l’homme de Lévi retrouve sa concubine et que celle-ci accepte de le suivre, au lieu d’un temps </w:t>
      </w:r>
      <w:r w:rsidR="00626567">
        <w:t xml:space="preserve">de réconciliation </w:t>
      </w:r>
      <w:r w:rsidR="00EB60BA">
        <w:t xml:space="preserve">partagé entre </w:t>
      </w:r>
      <w:r w:rsidR="007C1C93">
        <w:t>ell</w:t>
      </w:r>
      <w:r w:rsidR="00EB60BA">
        <w:t xml:space="preserve">eux, on trouve </w:t>
      </w:r>
      <w:r w:rsidR="00626567">
        <w:t>trois</w:t>
      </w:r>
      <w:r w:rsidR="00EB60BA">
        <w:t xml:space="preserve"> jours de fête entre le Lévite et le beau-père,</w:t>
      </w:r>
      <w:r w:rsidR="00626567">
        <w:t xml:space="preserve"> prolongé</w:t>
      </w:r>
      <w:r w:rsidR="007C1C93">
        <w:t>s</w:t>
      </w:r>
      <w:r w:rsidR="00626567">
        <w:t xml:space="preserve"> par un quatrième puis un cinquième jour</w:t>
      </w:r>
      <w:r w:rsidR="00206580">
        <w:t>,</w:t>
      </w:r>
      <w:r w:rsidR="00EB60BA">
        <w:t xml:space="preserve"> le texte insistant d’ailleurs sur </w:t>
      </w:r>
      <w:r w:rsidR="00206580">
        <w:t>la</w:t>
      </w:r>
      <w:r w:rsidR="00626567">
        <w:t xml:space="preserve"> proximité</w:t>
      </w:r>
      <w:r w:rsidR="00206580">
        <w:t xml:space="preserve"> des deux hommes</w:t>
      </w:r>
      <w:r w:rsidR="00EB60BA">
        <w:t> : ils mangent et boivent « les deux ensemble (</w:t>
      </w:r>
      <w:r w:rsidR="00EB60BA" w:rsidRPr="00C634D2">
        <w:t>שְׁ</w:t>
      </w:r>
      <w:proofErr w:type="spellStart"/>
      <w:r w:rsidR="00EB60BA" w:rsidRPr="00C634D2">
        <w:t>נֵיהֶם</w:t>
      </w:r>
      <w:proofErr w:type="spellEnd"/>
      <w:r w:rsidR="00EB60BA" w:rsidRPr="00C634D2">
        <w:t xml:space="preserve"> </w:t>
      </w:r>
      <w:proofErr w:type="spellStart"/>
      <w:r w:rsidR="00EB60BA" w:rsidRPr="00C634D2">
        <w:t>יַחְד</w:t>
      </w:r>
      <w:proofErr w:type="spellEnd"/>
      <w:r w:rsidR="00EB60BA" w:rsidRPr="00C634D2">
        <w:t>ָּו</w:t>
      </w:r>
      <w:r w:rsidR="00EB60BA">
        <w:t xml:space="preserve">, </w:t>
      </w:r>
      <w:proofErr w:type="spellStart"/>
      <w:r w:rsidR="00EB60BA">
        <w:rPr>
          <w:i/>
          <w:iCs/>
        </w:rPr>
        <w:t>shnéihêm</w:t>
      </w:r>
      <w:proofErr w:type="spellEnd"/>
      <w:r w:rsidR="00EB60BA">
        <w:rPr>
          <w:i/>
          <w:iCs/>
        </w:rPr>
        <w:t xml:space="preserve"> </w:t>
      </w:r>
      <w:proofErr w:type="spellStart"/>
      <w:r w:rsidR="00EB60BA">
        <w:rPr>
          <w:i/>
          <w:iCs/>
        </w:rPr>
        <w:t>yahdaw</w:t>
      </w:r>
      <w:proofErr w:type="spellEnd"/>
      <w:r w:rsidR="00EB60BA">
        <w:t>)</w:t>
      </w:r>
      <w:r w:rsidR="00EB60BA">
        <w:rPr>
          <w:rStyle w:val="Appelnotedebasdep"/>
        </w:rPr>
        <w:footnoteReference w:id="140"/>
      </w:r>
      <w:r w:rsidR="00EB60BA">
        <w:t xml:space="preserve"> ». C’est comme si le rapprochement entre les deux hommes prenait la place </w:t>
      </w:r>
      <w:r w:rsidR="00626567">
        <w:t>des retrouvailles</w:t>
      </w:r>
      <w:r w:rsidR="00EB60BA">
        <w:t xml:space="preserve"> entre l’homme de Lévi et son amante. </w:t>
      </w:r>
      <w:r w:rsidR="00626567">
        <w:t xml:space="preserve">On retrouve </w:t>
      </w:r>
      <w:r w:rsidR="00206580">
        <w:t>la même proximité entre hommes</w:t>
      </w:r>
      <w:r w:rsidR="00626567">
        <w:t xml:space="preserve"> pour le Lévite et le vieillard de </w:t>
      </w:r>
      <w:proofErr w:type="spellStart"/>
      <w:r w:rsidR="00626567">
        <w:t>Guivéa</w:t>
      </w:r>
      <w:proofErr w:type="spellEnd"/>
      <w:r w:rsidR="00626567">
        <w:t xml:space="preserve">. </w:t>
      </w:r>
    </w:p>
    <w:p w14:paraId="1F531B46" w14:textId="624AF136" w:rsidR="00EB60BA" w:rsidRDefault="00206580" w:rsidP="008571EF">
      <w:pPr>
        <w:jc w:val="both"/>
      </w:pPr>
      <w:r>
        <w:t>À l’inverse</w:t>
      </w:r>
      <w:r w:rsidR="00EB60BA">
        <w:t xml:space="preserve">, le contact (violent) </w:t>
      </w:r>
      <w:r>
        <w:t>entre hommes</w:t>
      </w:r>
      <w:r w:rsidR="00EB60BA">
        <w:t xml:space="preserve"> recherché par les agresseurs est remplacé par le viol de la concubine</w:t>
      </w:r>
      <w:r>
        <w:rPr>
          <w:rStyle w:val="Appelnotedebasdep"/>
        </w:rPr>
        <w:footnoteReference w:id="141"/>
      </w:r>
      <w:r w:rsidR="00626567">
        <w:t xml:space="preserve"> – et il aurait pu l’être aussi par celui de la fille vierge du vieillard</w:t>
      </w:r>
      <w:r>
        <w:t>, que son père voulait livrer</w:t>
      </w:r>
      <w:r w:rsidR="00EB60BA">
        <w:t xml:space="preserve">. On est </w:t>
      </w:r>
      <w:r w:rsidR="007C1C93">
        <w:t xml:space="preserve">donc </w:t>
      </w:r>
      <w:r w:rsidR="00EB60BA">
        <w:t>dans une société dominée par les hommes</w:t>
      </w:r>
      <w:r w:rsidR="00626567">
        <w:t xml:space="preserve"> et par leur solidarité</w:t>
      </w:r>
      <w:r>
        <w:t xml:space="preserve"> ; </w:t>
      </w:r>
      <w:r w:rsidR="00626567">
        <w:t>peut-être</w:t>
      </w:r>
      <w:r>
        <w:t xml:space="preserve"> également</w:t>
      </w:r>
      <w:r w:rsidR="00EB60BA">
        <w:t xml:space="preserve"> </w:t>
      </w:r>
      <w:r w:rsidR="00626567">
        <w:t>hantée</w:t>
      </w:r>
      <w:r w:rsidR="00EB60BA">
        <w:t xml:space="preserve"> par un désir homosexuel</w:t>
      </w:r>
      <w:r>
        <w:t xml:space="preserve"> entre hommes</w:t>
      </w:r>
      <w:r w:rsidR="00EB60BA">
        <w:t xml:space="preserve"> évité</w:t>
      </w:r>
      <w:r w:rsidR="00626567">
        <w:t>, refoulé</w:t>
      </w:r>
      <w:r w:rsidR="00EB60BA">
        <w:t xml:space="preserve"> et retourné en violence à l’égard des femmes</w:t>
      </w:r>
      <w:r w:rsidR="00EB60BA">
        <w:rPr>
          <w:rStyle w:val="Appelnotedebasdep"/>
        </w:rPr>
        <w:footnoteReference w:id="142"/>
      </w:r>
      <w:r w:rsidR="00EB60BA">
        <w:t xml:space="preserve">. </w:t>
      </w:r>
      <w:r w:rsidR="00626567">
        <w:t xml:space="preserve">La femme en général, et la concubine en particulier ici, </w:t>
      </w:r>
      <w:r>
        <w:t xml:space="preserve">est un simple </w:t>
      </w:r>
      <w:r w:rsidR="00626567">
        <w:t>instrument. Elle est</w:t>
      </w:r>
      <w:r>
        <w:t xml:space="preserve"> un instrument de protection pour le Lévite</w:t>
      </w:r>
      <w:r w:rsidR="00626567">
        <w:t xml:space="preserve">. Elle est un pur objet d’assouvissement sexuel, </w:t>
      </w:r>
      <w:r>
        <w:t xml:space="preserve">pour ses agresseurs, mais aussi les hommes de sa famille, dont l’un dit </w:t>
      </w:r>
      <w:r w:rsidR="00626567">
        <w:t>« tourmentez-les et faites-lui comme il paraîtra bien à vos yeux</w:t>
      </w:r>
      <w:r>
        <w:rPr>
          <w:rStyle w:val="Appelnotedebasdep"/>
        </w:rPr>
        <w:footnoteReference w:id="143"/>
      </w:r>
      <w:r w:rsidR="00626567">
        <w:t> »</w:t>
      </w:r>
      <w:r>
        <w:t>, tandis que l’autre la</w:t>
      </w:r>
      <w:r w:rsidR="00626567">
        <w:t xml:space="preserve"> « saisit violemment</w:t>
      </w:r>
      <w:r>
        <w:rPr>
          <w:rStyle w:val="Appelnotedebasdep"/>
        </w:rPr>
        <w:footnoteReference w:id="144"/>
      </w:r>
      <w:r w:rsidR="00626567">
        <w:t> ».</w:t>
      </w:r>
      <w:r w:rsidR="007C1C93">
        <w:t xml:space="preserve"> </w:t>
      </w:r>
      <w:r>
        <w:t xml:space="preserve">Peut-être est-elle aussi l’instrument d’un désir homosexuel qui trouve en elle un accomplissement de manière dérivée. </w:t>
      </w:r>
      <w:r w:rsidR="00626567">
        <w:t>Sa mort</w:t>
      </w:r>
      <w:r w:rsidR="00470845">
        <w:rPr>
          <w:rStyle w:val="Appelnotedebasdep"/>
        </w:rPr>
        <w:footnoteReference w:id="145"/>
      </w:r>
      <w:r w:rsidR="00626567">
        <w:t xml:space="preserve"> est dans la continuité du statut que lui donnent les hommes : elle a été utilisée non comme une personne ayant vie et volonté, mais comme un corps déjà mort. La concubine est aussi l’instrument d’une </w:t>
      </w:r>
      <w:r w:rsidR="00626567">
        <w:lastRenderedPageBreak/>
        <w:t xml:space="preserve">violence politique orchestrée par les hommes, puisque </w:t>
      </w:r>
      <w:r w:rsidR="007C1C93">
        <w:t>son</w:t>
      </w:r>
      <w:r w:rsidR="00626567">
        <w:t xml:space="preserve"> corps coupé en douze est utilisé comme symbole des douze tribus d’Israël</w:t>
      </w:r>
      <w:r w:rsidR="00470845">
        <w:rPr>
          <w:rStyle w:val="Appelnotedebasdep"/>
        </w:rPr>
        <w:footnoteReference w:id="146"/>
      </w:r>
      <w:r w:rsidR="00626567">
        <w:t xml:space="preserve">. </w:t>
      </w:r>
      <w:r w:rsidR="00CD748F">
        <w:t xml:space="preserve">Les femmes de </w:t>
      </w:r>
      <w:proofErr w:type="spellStart"/>
      <w:r w:rsidR="00CD748F">
        <w:t>Yavesh</w:t>
      </w:r>
      <w:proofErr w:type="spellEnd"/>
      <w:r w:rsidR="00CD748F">
        <w:t>-de-Galaad</w:t>
      </w:r>
      <w:r w:rsidR="00DF5E8D">
        <w:rPr>
          <w:rStyle w:val="Appelnotedebasdep"/>
        </w:rPr>
        <w:footnoteReference w:id="147"/>
      </w:r>
      <w:r w:rsidR="00CD748F">
        <w:t xml:space="preserve"> et de Silo</w:t>
      </w:r>
      <w:r w:rsidR="00DF5E8D">
        <w:rPr>
          <w:rStyle w:val="Appelnotedebasdep"/>
        </w:rPr>
        <w:footnoteReference w:id="148"/>
      </w:r>
      <w:r w:rsidR="00CD748F">
        <w:t xml:space="preserve"> seront utilisées</w:t>
      </w:r>
      <w:r w:rsidR="00DF5E8D">
        <w:t xml:space="preserve"> elles aussi, </w:t>
      </w:r>
      <w:r w:rsidR="00CD748F">
        <w:t>pour reconstituer la tribu des descendants (mâles) de Benjamin.</w:t>
      </w:r>
    </w:p>
    <w:p w14:paraId="0248C281" w14:textId="7014966E" w:rsidR="00580F74" w:rsidRDefault="00470845" w:rsidP="00580F74">
      <w:pPr>
        <w:jc w:val="both"/>
      </w:pPr>
      <w:r>
        <w:t>La</w:t>
      </w:r>
      <w:r w:rsidR="00CD748F">
        <w:t xml:space="preserve"> faute suggérée à propos de la femme (celle-ci « fut infidèle </w:t>
      </w:r>
      <w:r w:rsidR="00CD748F" w:rsidRPr="00470845">
        <w:t>(תִּ</w:t>
      </w:r>
      <w:proofErr w:type="spellStart"/>
      <w:r w:rsidR="00CD748F" w:rsidRPr="00470845">
        <w:t>זְנֶה</w:t>
      </w:r>
      <w:proofErr w:type="spellEnd"/>
      <w:r w:rsidR="00CD748F" w:rsidRPr="00470845">
        <w:t xml:space="preserve">, </w:t>
      </w:r>
      <w:proofErr w:type="spellStart"/>
      <w:r w:rsidR="00CD748F" w:rsidRPr="00470845">
        <w:rPr>
          <w:i/>
          <w:iCs/>
        </w:rPr>
        <w:t>tiznêh</w:t>
      </w:r>
      <w:proofErr w:type="spellEnd"/>
      <w:r w:rsidR="00CD748F" w:rsidRPr="00470845">
        <w:t>)</w:t>
      </w:r>
      <w:r>
        <w:rPr>
          <w:rStyle w:val="Appelnotedebasdep"/>
        </w:rPr>
        <w:footnoteReference w:id="149"/>
      </w:r>
      <w:r w:rsidR="00CD748F" w:rsidRPr="00470845">
        <w:t> »)</w:t>
      </w:r>
      <w:r>
        <w:t xml:space="preserve"> ne peut en aucun cas être mise en lien avec les horreurs qu’elle subit. Il s’agit d’une faute relativement floue, le verbe</w:t>
      </w:r>
      <w:r w:rsidR="00580F74">
        <w:t xml:space="preserve"> </w:t>
      </w:r>
      <w:proofErr w:type="spellStart"/>
      <w:r w:rsidR="00580F74" w:rsidRPr="00580F74">
        <w:t>זָנָה</w:t>
      </w:r>
      <w:proofErr w:type="spellEnd"/>
      <w:r w:rsidR="00580F74">
        <w:t xml:space="preserve">, </w:t>
      </w:r>
      <w:proofErr w:type="spellStart"/>
      <w:r w:rsidR="00580F74">
        <w:rPr>
          <w:i/>
          <w:iCs/>
        </w:rPr>
        <w:t>zanah</w:t>
      </w:r>
      <w:proofErr w:type="spellEnd"/>
      <w:r w:rsidR="00580F74">
        <w:t xml:space="preserve"> désignant une faute d’ordre sexuel, mais sans plus de précision et pouvant en outre avoir des sens métaphoriques</w:t>
      </w:r>
      <w:r w:rsidR="00580F74">
        <w:rPr>
          <w:rStyle w:val="Appelnotedebasdep"/>
        </w:rPr>
        <w:footnoteReference w:id="150"/>
      </w:r>
      <w:r w:rsidR="00580F74">
        <w:t>.</w:t>
      </w:r>
      <w:r>
        <w:t xml:space="preserve"> </w:t>
      </w:r>
      <w:r w:rsidR="00580F74">
        <w:t>Dans tous les cas, ce que subit la courtisane est totalement disproportionné avec quoi que ce soit dont on pourrait l’accuser. On pourrait aussi remarque</w:t>
      </w:r>
      <w:r w:rsidR="007C1C93">
        <w:t>r</w:t>
      </w:r>
      <w:r w:rsidR="00580F74">
        <w:t xml:space="preserve"> que son compagnon ne vient la chercher à Bethléem qu’au bout de « quatre mois</w:t>
      </w:r>
      <w:r w:rsidR="00580F74">
        <w:rPr>
          <w:rStyle w:val="Appelnotedebasdep"/>
        </w:rPr>
        <w:footnoteReference w:id="151"/>
      </w:r>
      <w:r w:rsidR="00580F74">
        <w:t xml:space="preserve"> ». Il ne semble donc pas ressentir une urgence à venir la retrouver. Enfin, le fait que le texte n’explicite aucun lien entre l’infidélité passée de la courtisane et son viol montre bien que ce dernier est un acte de pure cruauté et lâcheté de la part de ses violeurs, tout comme du Lévite qui la leur livre. </w:t>
      </w:r>
    </w:p>
    <w:p w14:paraId="2701A7C1" w14:textId="719794BF" w:rsidR="00580F74" w:rsidRDefault="00580F74" w:rsidP="00580F74">
      <w:pPr>
        <w:jc w:val="both"/>
      </w:pPr>
      <w:r>
        <w:t>Face à la lecture que je propose ici, on pourrait poser la question classique de l’intention d’</w:t>
      </w:r>
      <w:proofErr w:type="spellStart"/>
      <w:r>
        <w:t>auteur·rice</w:t>
      </w:r>
      <w:proofErr w:type="spellEnd"/>
      <w:r>
        <w:t xml:space="preserve">. La ou les personnes à l’origine de ce texte a ou ont-elles vraiment voulu dénoncer une action sexiste et cruelle ? </w:t>
      </w:r>
      <w:r w:rsidR="007C1C93">
        <w:t>L</w:t>
      </w:r>
      <w:r>
        <w:t>’acte du Lévite lui ou leur paraît-elle au contraire anodin, voire juste ? On pourrait rétorquer que c’est la notion d’une intention d’</w:t>
      </w:r>
      <w:proofErr w:type="spellStart"/>
      <w:r>
        <w:t>auteur·rice</w:t>
      </w:r>
      <w:proofErr w:type="spellEnd"/>
      <w:r>
        <w:t xml:space="preserve"> qui est anachronique pour les textes bibliques. Ceux-ci sont souvent pseudépigraphes</w:t>
      </w:r>
      <w:r w:rsidR="00182595">
        <w:rPr>
          <w:rStyle w:val="Appelnotedebasdep"/>
        </w:rPr>
        <w:footnoteReference w:id="152"/>
      </w:r>
      <w:r>
        <w:t xml:space="preserve"> et précèdent « le moment fort de l’individualisation dans l’histoire des idées, des connaissances, des littératures, dans l’histoire de la philosophie aussi, et celle des sciences</w:t>
      </w:r>
      <w:r w:rsidR="00182595">
        <w:rPr>
          <w:rStyle w:val="Appelnotedebasdep"/>
        </w:rPr>
        <w:footnoteReference w:id="153"/>
      </w:r>
      <w:r>
        <w:t> », qui commence, peut-être, progressivement</w:t>
      </w:r>
      <w:r w:rsidR="00182595">
        <w:t>,</w:t>
      </w:r>
      <w:r>
        <w:t xml:space="preserve"> et de manière distincte selon le type de textes, avec la fin du Moyen Âge</w:t>
      </w:r>
      <w:r w:rsidR="00182595">
        <w:t xml:space="preserve"> pour être pleinement accompli à la fin du </w:t>
      </w:r>
      <w:proofErr w:type="spellStart"/>
      <w:r w:rsidR="00182595" w:rsidRPr="00182595">
        <w:rPr>
          <w:smallCaps/>
        </w:rPr>
        <w:t>xviii</w:t>
      </w:r>
      <w:r w:rsidR="00182595" w:rsidRPr="00182595">
        <w:rPr>
          <w:vertAlign w:val="superscript"/>
        </w:rPr>
        <w:t>e</w:t>
      </w:r>
      <w:proofErr w:type="spellEnd"/>
      <w:r w:rsidR="00182595">
        <w:t xml:space="preserve"> siècle</w:t>
      </w:r>
      <w:r w:rsidR="00182595">
        <w:rPr>
          <w:rStyle w:val="Appelnotedebasdep"/>
        </w:rPr>
        <w:footnoteReference w:id="154"/>
      </w:r>
      <w:r>
        <w:t>.</w:t>
      </w:r>
      <w:r w:rsidR="00182595">
        <w:t xml:space="preserve"> Surtout, qu’</w:t>
      </w:r>
      <w:proofErr w:type="spellStart"/>
      <w:r w:rsidR="00182595">
        <w:t>un·e</w:t>
      </w:r>
      <w:proofErr w:type="spellEnd"/>
      <w:r w:rsidR="00182595">
        <w:t xml:space="preserve"> </w:t>
      </w:r>
      <w:proofErr w:type="spellStart"/>
      <w:r w:rsidR="00182595">
        <w:t>auteur·rice</w:t>
      </w:r>
      <w:proofErr w:type="spellEnd"/>
      <w:r w:rsidR="00182595">
        <w:t xml:space="preserve"> (ou plusieurs) l’ait voulu ou non, le texte fait éprouver aux </w:t>
      </w:r>
      <w:proofErr w:type="spellStart"/>
      <w:r w:rsidR="00182595">
        <w:t>lecteur·rices</w:t>
      </w:r>
      <w:proofErr w:type="spellEnd"/>
      <w:r w:rsidR="00182595">
        <w:t>, quel que soit leur genre l’expérience de violences faites à des femmes au sein d’une société dominée par les hommes.</w:t>
      </w:r>
    </w:p>
    <w:p w14:paraId="632CCAFF" w14:textId="27839ED5" w:rsidR="001F7F79" w:rsidRDefault="00182595" w:rsidP="008571EF">
      <w:pPr>
        <w:jc w:val="both"/>
      </w:pPr>
      <w:r>
        <w:t xml:space="preserve">Or, il existe plusieurs points communs entre ce récit et l’histoire de Jésus. La concubine vient de </w:t>
      </w:r>
      <w:r w:rsidR="00D936D5">
        <w:t>« </w:t>
      </w:r>
      <w:r>
        <w:t>Bethléem</w:t>
      </w:r>
      <w:r w:rsidR="00D936D5">
        <w:t xml:space="preserve"> en Juda</w:t>
      </w:r>
      <w:r w:rsidR="00D936D5">
        <w:rPr>
          <w:rStyle w:val="Appelnotedebasdep"/>
        </w:rPr>
        <w:footnoteReference w:id="155"/>
      </w:r>
      <w:r w:rsidR="00D936D5">
        <w:t> »</w:t>
      </w:r>
      <w:r>
        <w:t>, où l’homme de la tribu de Lévi vient la retrouver. Or, c’est aussi à « Bethléem</w:t>
      </w:r>
      <w:r w:rsidR="00D936D5">
        <w:t xml:space="preserve"> de Juda</w:t>
      </w:r>
      <w:r w:rsidR="00D936D5">
        <w:rPr>
          <w:rStyle w:val="Appelnotedebasdep"/>
        </w:rPr>
        <w:footnoteReference w:id="156"/>
      </w:r>
      <w:r w:rsidR="00D936D5">
        <w:t> » que Jésus naît. Dans le récit le plus détaillé de cet événement, celui attribué à Luc, Jésus naît « dans une étable, parce qu’il n’y avait pas pour eux de place dans l’hôtellerie</w:t>
      </w:r>
      <w:r w:rsidR="00D936D5">
        <w:rPr>
          <w:rStyle w:val="Appelnotedebasdep"/>
        </w:rPr>
        <w:footnoteReference w:id="157"/>
      </w:r>
      <w:r w:rsidR="00D936D5">
        <w:t xml:space="preserve"> », ce qui rappelle l’arrivée du Lévite et de sa concubine à </w:t>
      </w:r>
      <w:proofErr w:type="spellStart"/>
      <w:r w:rsidR="00D936D5">
        <w:t>Guivéa</w:t>
      </w:r>
      <w:proofErr w:type="spellEnd"/>
      <w:r w:rsidR="00D936D5">
        <w:t xml:space="preserve"> où « aucun homme ne les reçut dans sa maison pour passer la nuit</w:t>
      </w:r>
      <w:r w:rsidR="00D936D5">
        <w:rPr>
          <w:rStyle w:val="Appelnotedebasdep"/>
        </w:rPr>
        <w:footnoteReference w:id="158"/>
      </w:r>
      <w:r w:rsidR="00D936D5">
        <w:t xml:space="preserve"> ». On pourrait </w:t>
      </w:r>
      <w:r w:rsidR="006B542D">
        <w:t>aussi ajouter que l’histoire de Jésus se déploie dans un contexte d’attente d’un nouveau roi d’Israël</w:t>
      </w:r>
      <w:r w:rsidR="00BB6968">
        <w:t xml:space="preserve">, tout comme l’histoire de la concubine du Lévite se déploie à une époque où il n’y avait « pas de roi en </w:t>
      </w:r>
      <w:r w:rsidR="00BB6968">
        <w:lastRenderedPageBreak/>
        <w:t>Israël</w:t>
      </w:r>
      <w:r w:rsidR="00BB6968">
        <w:rPr>
          <w:rStyle w:val="Appelnotedebasdep"/>
        </w:rPr>
        <w:footnoteReference w:id="159"/>
      </w:r>
      <w:r w:rsidR="00BB6968">
        <w:t> »</w:t>
      </w:r>
      <w:r w:rsidR="006B542D">
        <w:t>. Les mages venus adorer Jésus viennent d’ailleurs voir en lui le « roi des Juifs qui est né</w:t>
      </w:r>
      <w:r w:rsidR="006B542D">
        <w:rPr>
          <w:rStyle w:val="Appelnotedebasdep"/>
        </w:rPr>
        <w:footnoteReference w:id="160"/>
      </w:r>
      <w:r w:rsidR="006B542D">
        <w:t> ». De plus, s’il n’est pas tué à Bethléem comme la concubine, Jésus y risque tout de même sa vie</w:t>
      </w:r>
      <w:r w:rsidR="000155BA">
        <w:t xml:space="preserve"> puisqu’Hérode cherche à le mettre à mort au point d’ « envoyer tuer tous les enfants à Bethléem et dans tous ses alentours, jusqu’à l’âge de deux ans et en-dessous, selon le temps pour lequel il avait eu une réponse exacte de la part des mages</w:t>
      </w:r>
      <w:r w:rsidR="000155BA">
        <w:rPr>
          <w:rStyle w:val="Appelnotedebasdep"/>
        </w:rPr>
        <w:footnoteReference w:id="161"/>
      </w:r>
      <w:r w:rsidR="000155BA">
        <w:t> ».</w:t>
      </w:r>
      <w:r w:rsidR="00BB6968">
        <w:t xml:space="preserve"> Enfin, David </w:t>
      </w:r>
      <w:proofErr w:type="spellStart"/>
      <w:r w:rsidR="00BB6968">
        <w:t>Tombs</w:t>
      </w:r>
      <w:proofErr w:type="spellEnd"/>
      <w:r w:rsidR="00BB6968">
        <w:rPr>
          <w:rStyle w:val="Appelnotedebasdep"/>
        </w:rPr>
        <w:footnoteReference w:id="162"/>
      </w:r>
      <w:r w:rsidR="00BB6968">
        <w:t xml:space="preserve"> notamment défend l’idée que la Passion et la crucifixion de Jésus auraient pu inclure des violences sexuelles, en s’appuyant notamment sur des parallèles avec le viol subi par la concubine en </w:t>
      </w:r>
      <w:r w:rsidR="00BB6968">
        <w:rPr>
          <w:i/>
          <w:iCs/>
        </w:rPr>
        <w:t>Juges</w:t>
      </w:r>
      <w:r w:rsidR="00BB6968">
        <w:t xml:space="preserve"> 19</w:t>
      </w:r>
      <w:r w:rsidR="00BB6968">
        <w:rPr>
          <w:rStyle w:val="Appelnotedebasdep"/>
        </w:rPr>
        <w:footnoteReference w:id="163"/>
      </w:r>
      <w:r w:rsidR="00BB6968">
        <w:t>.</w:t>
      </w:r>
      <w:r w:rsidR="00B3659A">
        <w:t xml:space="preserve"> </w:t>
      </w:r>
      <w:r w:rsidR="001F7F79">
        <w:t xml:space="preserve">Par ces liens intertextuels, Jésus est </w:t>
      </w:r>
      <w:r w:rsidR="007C1C93">
        <w:t xml:space="preserve">ainsi </w:t>
      </w:r>
      <w:r w:rsidR="001F7F79">
        <w:t>construit en partie par rapport à un personnage féminin</w:t>
      </w:r>
      <w:r w:rsidR="007C1C93">
        <w:t> :</w:t>
      </w:r>
      <w:r w:rsidR="001F7F79">
        <w:t xml:space="preserve"> la concubine de </w:t>
      </w:r>
      <w:r w:rsidR="001F7F79">
        <w:rPr>
          <w:i/>
          <w:iCs/>
        </w:rPr>
        <w:t>Juges</w:t>
      </w:r>
      <w:r w:rsidR="001F7F79">
        <w:t xml:space="preserve"> 19</w:t>
      </w:r>
      <w:r w:rsidR="007C1C93">
        <w:t>.</w:t>
      </w:r>
      <w:r w:rsidR="001F7F79">
        <w:t xml:space="preserve"> </w:t>
      </w:r>
      <w:r w:rsidR="007C1C93">
        <w:t>D</w:t>
      </w:r>
      <w:r w:rsidR="001F7F79">
        <w:t>e cette façon, il est à la fois à situer du côté du masculin et du côté du féminin.</w:t>
      </w:r>
    </w:p>
    <w:p w14:paraId="38A5C97B" w14:textId="77777777" w:rsidR="001F7F79" w:rsidRDefault="001F7F79" w:rsidP="008571EF">
      <w:pPr>
        <w:jc w:val="both"/>
      </w:pPr>
    </w:p>
    <w:p w14:paraId="2EFB548A" w14:textId="6DB17C16" w:rsidR="00033C5D" w:rsidRDefault="00033C5D" w:rsidP="008571EF">
      <w:pPr>
        <w:jc w:val="both"/>
        <w:rPr>
          <w:i/>
          <w:iCs/>
        </w:rPr>
      </w:pPr>
      <w:r>
        <w:rPr>
          <w:i/>
          <w:iCs/>
        </w:rPr>
        <w:t>Conclusion. Le pouvoir insurrectionnel de la Bible.</w:t>
      </w:r>
    </w:p>
    <w:p w14:paraId="5EA92BD5" w14:textId="77777777" w:rsidR="00033C5D" w:rsidRPr="00033C5D" w:rsidRDefault="00033C5D" w:rsidP="008571EF">
      <w:pPr>
        <w:jc w:val="both"/>
        <w:rPr>
          <w:i/>
          <w:iCs/>
        </w:rPr>
      </w:pPr>
    </w:p>
    <w:p w14:paraId="623076A5" w14:textId="33A17CC8" w:rsidR="0053661D" w:rsidRDefault="001F7F79" w:rsidP="008571EF">
      <w:pPr>
        <w:jc w:val="both"/>
      </w:pPr>
      <w:r>
        <w:t>Ainsi, la séparation entre masculin et féminin dans la Bible est beaucoup moins claire que</w:t>
      </w:r>
      <w:r w:rsidR="007C1C93">
        <w:t xml:space="preserve"> ne</w:t>
      </w:r>
      <w:r>
        <w:t xml:space="preserve"> le laissent entendre des documents tels que la </w:t>
      </w:r>
      <w:r w:rsidRPr="00C84B32">
        <w:rPr>
          <w:i/>
          <w:iCs/>
        </w:rPr>
        <w:t>Lettre aux évêques de l’Église catholique sur la collaboration de l’homme et de la femme dans l’Église et dans le monde</w:t>
      </w:r>
      <w:r>
        <w:t xml:space="preserve"> de 2004. Des passages </w:t>
      </w:r>
      <w:r w:rsidR="007C1C93">
        <w:t>comme</w:t>
      </w:r>
      <w:r>
        <w:t xml:space="preserve"> </w:t>
      </w:r>
      <w:r>
        <w:rPr>
          <w:i/>
          <w:iCs/>
        </w:rPr>
        <w:t>Genèse</w:t>
      </w:r>
      <w:r>
        <w:t xml:space="preserve"> 1-2, </w:t>
      </w:r>
      <w:r>
        <w:rPr>
          <w:i/>
          <w:iCs/>
        </w:rPr>
        <w:t xml:space="preserve">Luc </w:t>
      </w:r>
      <w:r>
        <w:t xml:space="preserve">1, </w:t>
      </w:r>
      <w:r>
        <w:rPr>
          <w:i/>
          <w:iCs/>
          <w:color w:val="000000"/>
          <w:lang w:val="fr-FR"/>
        </w:rPr>
        <w:t>Matthieu</w:t>
      </w:r>
      <w:r>
        <w:rPr>
          <w:color w:val="000000"/>
          <w:lang w:val="fr-FR"/>
        </w:rPr>
        <w:t xml:space="preserve"> 23, 28,</w:t>
      </w:r>
      <w:r>
        <w:t xml:space="preserve"> </w:t>
      </w:r>
      <w:r>
        <w:rPr>
          <w:i/>
          <w:iCs/>
        </w:rPr>
        <w:t xml:space="preserve">Juges </w:t>
      </w:r>
      <w:r>
        <w:t xml:space="preserve">19, </w:t>
      </w:r>
      <w:r>
        <w:rPr>
          <w:i/>
          <w:iCs/>
        </w:rPr>
        <w:t xml:space="preserve">Matthieu </w:t>
      </w:r>
      <w:r>
        <w:t xml:space="preserve">2 et </w:t>
      </w:r>
      <w:r>
        <w:rPr>
          <w:i/>
          <w:iCs/>
        </w:rPr>
        <w:t>Luc</w:t>
      </w:r>
      <w:r>
        <w:t xml:space="preserve"> 2 présentent au contraire des personnages qui existent quelque part entre les deux genres ou plutôt dans les deux genres à la foi</w:t>
      </w:r>
      <w:r w:rsidR="007C1C93">
        <w:t>s</w:t>
      </w:r>
      <w:r>
        <w:t>. Il serait donc mensonger de s’appuyer sur de tels textes pour justifier une séparation et une hiérarchie entre hommes et femmes, et le fait que les secondes soient privées de l’accès à des fonctions telles que celles de prêtre ; mensonger et dangereux de se couvrir de l’autorité de tels textes pour mettre en place et pérenniser un système qui, en infériorisant les femmes, favorise les violences sexuelles à leur encontre.</w:t>
      </w:r>
      <w:r w:rsidR="00DF39C5">
        <w:t xml:space="preserve"> </w:t>
      </w:r>
    </w:p>
    <w:p w14:paraId="530F5078" w14:textId="5A48844C" w:rsidR="00924093" w:rsidRDefault="00DF39C5" w:rsidP="008571EF">
      <w:pPr>
        <w:jc w:val="both"/>
        <w:rPr>
          <w:lang w:val="fr-FR"/>
        </w:rPr>
      </w:pPr>
      <w:r>
        <w:t xml:space="preserve">Si on admet que le genre est une construction sociale, on peut supposer </w:t>
      </w:r>
      <w:r w:rsidR="0053661D">
        <w:t xml:space="preserve">que celui-ci </w:t>
      </w:r>
      <w:r w:rsidR="00924093">
        <w:t>« </w:t>
      </w:r>
      <w:proofErr w:type="spellStart"/>
      <w:r w:rsidR="00924093">
        <w:rPr>
          <w:lang w:val="en-AU"/>
        </w:rPr>
        <w:t>pourrait</w:t>
      </w:r>
      <w:proofErr w:type="spellEnd"/>
      <w:r w:rsidR="00924093">
        <w:rPr>
          <w:lang w:val="en-AU"/>
        </w:rPr>
        <w:t xml:space="preserve"> </w:t>
      </w:r>
      <w:proofErr w:type="spellStart"/>
      <w:r w:rsidR="00924093">
        <w:rPr>
          <w:lang w:val="en-AU"/>
        </w:rPr>
        <w:t>être</w:t>
      </w:r>
      <w:proofErr w:type="spellEnd"/>
      <w:r w:rsidR="00924093">
        <w:rPr>
          <w:lang w:val="en-AU"/>
        </w:rPr>
        <w:t xml:space="preserve"> </w:t>
      </w:r>
      <w:proofErr w:type="spellStart"/>
      <w:r w:rsidR="00924093">
        <w:rPr>
          <w:lang w:val="en-AU"/>
        </w:rPr>
        <w:t>construit</w:t>
      </w:r>
      <w:proofErr w:type="spellEnd"/>
      <w:r w:rsidR="00924093">
        <w:rPr>
          <w:lang w:val="en-AU"/>
        </w:rPr>
        <w:t xml:space="preserve"> </w:t>
      </w:r>
      <w:proofErr w:type="spellStart"/>
      <w:r w:rsidR="00924093">
        <w:rPr>
          <w:lang w:val="en-AU"/>
        </w:rPr>
        <w:t>autreme</w:t>
      </w:r>
      <w:r w:rsidR="002A1493">
        <w:rPr>
          <w:lang w:val="en-AU"/>
        </w:rPr>
        <w:t>n</w:t>
      </w:r>
      <w:r w:rsidR="00924093">
        <w:rPr>
          <w:lang w:val="en-AU"/>
        </w:rPr>
        <w:t>t</w:t>
      </w:r>
      <w:proofErr w:type="spellEnd"/>
      <w:r w:rsidR="00924093">
        <w:rPr>
          <w:lang w:val="en-AU"/>
        </w:rPr>
        <w:t xml:space="preserve"> et, sans doute, </w:t>
      </w:r>
      <w:proofErr w:type="spellStart"/>
      <w:r w:rsidR="00924093">
        <w:rPr>
          <w:lang w:val="en-AU"/>
        </w:rPr>
        <w:t>moins</w:t>
      </w:r>
      <w:proofErr w:type="spellEnd"/>
      <w:r w:rsidR="00924093">
        <w:rPr>
          <w:lang w:val="en-AU"/>
        </w:rPr>
        <w:t xml:space="preserve"> </w:t>
      </w:r>
      <w:proofErr w:type="spellStart"/>
      <w:r w:rsidR="00924093">
        <w:rPr>
          <w:lang w:val="en-AU"/>
        </w:rPr>
        <w:t>violemmen</w:t>
      </w:r>
      <w:r w:rsidR="0053661D">
        <w:rPr>
          <w:lang w:val="en-AU"/>
        </w:rPr>
        <w:t>t</w:t>
      </w:r>
      <w:proofErr w:type="spellEnd"/>
      <w:r w:rsidR="0053661D">
        <w:rPr>
          <w:rStyle w:val="Appelnotedebasdep"/>
          <w:lang w:val="en-AU"/>
        </w:rPr>
        <w:footnoteReference w:id="164"/>
      </w:r>
      <w:r w:rsidR="0053661D">
        <w:rPr>
          <w:lang w:val="fr-FR"/>
        </w:rPr>
        <w:t> » que les documents de l’Église catholique ne le font.</w:t>
      </w:r>
      <w:r w:rsidR="00924093">
        <w:rPr>
          <w:lang w:val="en-AU"/>
        </w:rPr>
        <w:t xml:space="preserve"> </w:t>
      </w:r>
      <w:r w:rsidR="0053661D">
        <w:rPr>
          <w:lang w:val="en-AU"/>
        </w:rPr>
        <w:t xml:space="preserve">Un de moyens de </w:t>
      </w:r>
      <w:proofErr w:type="spellStart"/>
      <w:r w:rsidR="0053661D">
        <w:rPr>
          <w:lang w:val="en-AU"/>
        </w:rPr>
        <w:t>libération</w:t>
      </w:r>
      <w:proofErr w:type="spellEnd"/>
      <w:r w:rsidR="0053661D">
        <w:rPr>
          <w:lang w:val="en-AU"/>
        </w:rPr>
        <w:t xml:space="preserve"> de </w:t>
      </w:r>
      <w:proofErr w:type="spellStart"/>
      <w:r w:rsidR="0053661D">
        <w:rPr>
          <w:lang w:val="en-AU"/>
        </w:rPr>
        <w:t>telles</w:t>
      </w:r>
      <w:proofErr w:type="spellEnd"/>
      <w:r w:rsidR="0053661D">
        <w:rPr>
          <w:lang w:val="en-AU"/>
        </w:rPr>
        <w:t xml:space="preserve"> constructions </w:t>
      </w:r>
      <w:proofErr w:type="spellStart"/>
      <w:r w:rsidR="0053661D">
        <w:rPr>
          <w:lang w:val="en-AU"/>
        </w:rPr>
        <w:t>violentes</w:t>
      </w:r>
      <w:proofErr w:type="spellEnd"/>
      <w:r w:rsidR="0053661D">
        <w:rPr>
          <w:lang w:val="en-AU"/>
        </w:rPr>
        <w:t xml:space="preserve"> est, </w:t>
      </w:r>
      <w:proofErr w:type="spellStart"/>
      <w:r w:rsidR="0053661D">
        <w:rPr>
          <w:lang w:val="en-AU"/>
        </w:rPr>
        <w:t>selon</w:t>
      </w:r>
      <w:proofErr w:type="spellEnd"/>
      <w:r w:rsidR="0053661D">
        <w:rPr>
          <w:lang w:val="en-AU"/>
        </w:rPr>
        <w:t xml:space="preserve"> Judith Butler, le </w:t>
      </w:r>
      <w:r w:rsidR="00924093">
        <w:rPr>
          <w:lang w:val="fr-FR"/>
        </w:rPr>
        <w:t>« pouvoir insurrectionnel de l’acte de parole sur le langage</w:t>
      </w:r>
      <w:r w:rsidR="0053661D">
        <w:rPr>
          <w:rStyle w:val="Appelnotedebasdep"/>
          <w:lang w:val="en-AU"/>
        </w:rPr>
        <w:footnoteReference w:id="165"/>
      </w:r>
      <w:r w:rsidR="00924093">
        <w:rPr>
          <w:lang w:val="fr-FR"/>
        </w:rPr>
        <w:t> »</w:t>
      </w:r>
      <w:r w:rsidR="0053661D">
        <w:rPr>
          <w:lang w:val="fr-FR"/>
        </w:rPr>
        <w:t>.</w:t>
      </w:r>
      <w:r w:rsidR="00924093">
        <w:rPr>
          <w:lang w:val="fr-FR"/>
        </w:rPr>
        <w:t xml:space="preserve"> </w:t>
      </w:r>
      <w:r w:rsidR="0053661D">
        <w:rPr>
          <w:lang w:val="fr-FR"/>
        </w:rPr>
        <w:t xml:space="preserve">C’est ainsi qu’elle identifie dans les romans de Monique Wittig « une </w:t>
      </w:r>
      <w:r w:rsidR="00924093">
        <w:rPr>
          <w:lang w:val="fr-FR"/>
        </w:rPr>
        <w:t xml:space="preserve">stratégie narrative de </w:t>
      </w:r>
      <w:r w:rsidR="00924093">
        <w:rPr>
          <w:i/>
          <w:iCs/>
          <w:lang w:val="fr-FR"/>
        </w:rPr>
        <w:t>dés</w:t>
      </w:r>
      <w:r w:rsidR="00924093">
        <w:rPr>
          <w:lang w:val="fr-FR"/>
        </w:rPr>
        <w:t>intégration, suggérant que la formulation binaire du sexe a besoin de se fragmenter et de proliférer au point où la binarité elle-même se révèle être contingente</w:t>
      </w:r>
      <w:r w:rsidR="0053661D">
        <w:rPr>
          <w:rStyle w:val="Appelnotedebasdep"/>
          <w:lang w:val="en-AU"/>
        </w:rPr>
        <w:footnoteReference w:id="166"/>
      </w:r>
      <w:r w:rsidR="00924093">
        <w:rPr>
          <w:lang w:val="fr-FR"/>
        </w:rPr>
        <w:t xml:space="preserve"> ». </w:t>
      </w:r>
      <w:r w:rsidR="0053661D">
        <w:rPr>
          <w:lang w:val="fr-FR"/>
        </w:rPr>
        <w:t>Or, une des conclusions de cet article pourrait être que, par rapport au discours officiel de l’Église catholique – et des systèmes patriarcaux en général – la Bible présente déjà un tel langage de « </w:t>
      </w:r>
      <w:r w:rsidR="0053661D">
        <w:rPr>
          <w:i/>
          <w:iCs/>
          <w:lang w:val="fr-FR"/>
        </w:rPr>
        <w:t>dés</w:t>
      </w:r>
      <w:r w:rsidR="0053661D">
        <w:rPr>
          <w:lang w:val="fr-FR"/>
        </w:rPr>
        <w:t xml:space="preserve">intégration » de « la formulation binaire du sexe » puisque des personnages tels que </w:t>
      </w:r>
      <w:proofErr w:type="spellStart"/>
      <w:r w:rsidR="0053661D">
        <w:rPr>
          <w:lang w:val="fr-FR"/>
        </w:rPr>
        <w:t>le·a</w:t>
      </w:r>
      <w:proofErr w:type="spellEnd"/>
      <w:r w:rsidR="0053661D">
        <w:rPr>
          <w:lang w:val="fr-FR"/>
        </w:rPr>
        <w:t xml:space="preserve"> </w:t>
      </w:r>
      <w:proofErr w:type="spellStart"/>
      <w:r w:rsidR="0053661D">
        <w:rPr>
          <w:lang w:val="fr-FR"/>
        </w:rPr>
        <w:t>premier·ère</w:t>
      </w:r>
      <w:proofErr w:type="spellEnd"/>
      <w:r w:rsidR="0053661D">
        <w:rPr>
          <w:lang w:val="fr-FR"/>
        </w:rPr>
        <w:t xml:space="preserve"> </w:t>
      </w:r>
      <w:proofErr w:type="spellStart"/>
      <w:r w:rsidR="0053661D">
        <w:rPr>
          <w:lang w:val="fr-FR"/>
        </w:rPr>
        <w:t>humain·e</w:t>
      </w:r>
      <w:proofErr w:type="spellEnd"/>
      <w:r w:rsidR="0053661D">
        <w:rPr>
          <w:lang w:val="fr-FR"/>
        </w:rPr>
        <w:t xml:space="preserve">, Jésus </w:t>
      </w:r>
      <w:r w:rsidR="00285658">
        <w:rPr>
          <w:lang w:val="fr-FR"/>
        </w:rPr>
        <w:t>ou encore</w:t>
      </w:r>
      <w:r w:rsidR="0053661D">
        <w:rPr>
          <w:lang w:val="fr-FR"/>
        </w:rPr>
        <w:t xml:space="preserve"> Marie sont présentés par les textes bibliques indépendamment de la binarité de sexe ou de genre. C’est ainsi de la Bible que résonne un « pouvoir insurrectionnel de l’acte de parole ».</w:t>
      </w:r>
    </w:p>
    <w:p w14:paraId="56425F51" w14:textId="77777777" w:rsidR="00E947D3" w:rsidRDefault="00E947D3" w:rsidP="008571EF">
      <w:pPr>
        <w:jc w:val="both"/>
        <w:rPr>
          <w:lang w:val="fr-FR"/>
        </w:rPr>
      </w:pPr>
    </w:p>
    <w:p w14:paraId="4399A6A5" w14:textId="7329AFF2" w:rsidR="00E947D3" w:rsidRDefault="00E947D3" w:rsidP="00E947D3">
      <w:pPr>
        <w:jc w:val="right"/>
        <w:rPr>
          <w:lang w:val="fr-FR"/>
        </w:rPr>
      </w:pPr>
      <w:r>
        <w:rPr>
          <w:lang w:val="fr-FR"/>
        </w:rPr>
        <w:t>Antoine Paris</w:t>
      </w:r>
    </w:p>
    <w:p w14:paraId="0D615E11" w14:textId="15301BAC" w:rsidR="00E947D3" w:rsidRDefault="00E947D3" w:rsidP="00E947D3">
      <w:pPr>
        <w:jc w:val="right"/>
        <w:rPr>
          <w:lang w:val="fr-FR"/>
        </w:rPr>
      </w:pPr>
      <w:r>
        <w:rPr>
          <w:lang w:val="fr-FR"/>
        </w:rPr>
        <w:lastRenderedPageBreak/>
        <w:t xml:space="preserve">Université catholique de Louvain </w:t>
      </w:r>
    </w:p>
    <w:p w14:paraId="7D622E2B" w14:textId="41C83EEB" w:rsidR="00E947D3" w:rsidRPr="0053661D" w:rsidRDefault="00E947D3" w:rsidP="00E947D3">
      <w:pPr>
        <w:jc w:val="right"/>
        <w:rPr>
          <w:lang w:val="en-AU"/>
        </w:rPr>
      </w:pPr>
      <w:r>
        <w:rPr>
          <w:lang w:val="fr-FR"/>
        </w:rPr>
        <w:t>Institut Religions, Spiritualités, Cultures, Sociétés</w:t>
      </w:r>
    </w:p>
    <w:sectPr w:rsidR="00E947D3" w:rsidRPr="0053661D">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FE1852" w14:textId="77777777" w:rsidR="007202B8" w:rsidRDefault="007202B8" w:rsidP="00383358">
      <w:r>
        <w:separator/>
      </w:r>
    </w:p>
  </w:endnote>
  <w:endnote w:type="continuationSeparator" w:id="0">
    <w:p w14:paraId="21449D19" w14:textId="77777777" w:rsidR="007202B8" w:rsidRDefault="007202B8" w:rsidP="003833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F3BE70" w14:textId="77777777" w:rsidR="007202B8" w:rsidRDefault="007202B8" w:rsidP="00383358">
      <w:r>
        <w:separator/>
      </w:r>
    </w:p>
  </w:footnote>
  <w:footnote w:type="continuationSeparator" w:id="0">
    <w:p w14:paraId="14A60D98" w14:textId="77777777" w:rsidR="007202B8" w:rsidRDefault="007202B8" w:rsidP="00383358">
      <w:r>
        <w:continuationSeparator/>
      </w:r>
    </w:p>
  </w:footnote>
  <w:footnote w:id="1">
    <w:p w14:paraId="0F9FCC38" w14:textId="7F84D20F" w:rsidR="00067608" w:rsidRPr="0053335D" w:rsidRDefault="00067608" w:rsidP="0053335D">
      <w:pPr>
        <w:pStyle w:val="Notedebasdepage"/>
        <w:jc w:val="both"/>
        <w:rPr>
          <w:i/>
          <w:iCs/>
        </w:rPr>
      </w:pPr>
      <w:r w:rsidRPr="0053335D">
        <w:rPr>
          <w:rStyle w:val="Appelnotedebasdep"/>
        </w:rPr>
        <w:footnoteRef/>
      </w:r>
      <w:r w:rsidRPr="0053335D">
        <w:t xml:space="preserve"> Au début de ce</w:t>
      </w:r>
      <w:r w:rsidR="00402F0A" w:rsidRPr="0053335D">
        <w:t xml:space="preserve"> chapitre</w:t>
      </w:r>
      <w:r w:rsidRPr="0053335D">
        <w:t xml:space="preserve">, je remercie chaleureusement Soizic </w:t>
      </w:r>
      <w:proofErr w:type="spellStart"/>
      <w:r w:rsidRPr="0053335D">
        <w:t>Escurig</w:t>
      </w:r>
      <w:r w:rsidR="00FD4334" w:rsidRPr="0053335D">
        <w:t>n</w:t>
      </w:r>
      <w:r w:rsidRPr="0053335D">
        <w:t>an</w:t>
      </w:r>
      <w:proofErr w:type="spellEnd"/>
      <w:r w:rsidRPr="0053335D">
        <w:t xml:space="preserve"> de m’avoir invité à prononcer la conférence à l’origine de ce texte, puis d’avoir accepté cet article. Toute ma reconnaissance à elle aussi pour son soutien, ses encouragements et sa patience au cours de la rédaction de ce texte</w:t>
      </w:r>
      <w:r w:rsidR="002F1C78" w:rsidRPr="0053335D">
        <w:t>.</w:t>
      </w:r>
      <w:r w:rsidR="00402F0A" w:rsidRPr="0053335D">
        <w:t xml:space="preserve"> Le titre de ce texte fait bien sûr signe vers Judith Butler, </w:t>
      </w:r>
      <w:r w:rsidR="00402F0A" w:rsidRPr="0053335D">
        <w:rPr>
          <w:i/>
          <w:iCs/>
        </w:rPr>
        <w:t>Trouble dans le genre. Le féminisme et la subversion de l’identité</w:t>
      </w:r>
      <w:r w:rsidR="00402F0A" w:rsidRPr="0053335D">
        <w:t xml:space="preserve">, Paris, La Découverte, 2005, traduction par Cynthia Kraus de Judith Butler, </w:t>
      </w:r>
      <w:proofErr w:type="spellStart"/>
      <w:r w:rsidR="00402F0A" w:rsidRPr="0053335D">
        <w:rPr>
          <w:i/>
          <w:iCs/>
        </w:rPr>
        <w:t>Gender</w:t>
      </w:r>
      <w:proofErr w:type="spellEnd"/>
      <w:r w:rsidR="00402F0A" w:rsidRPr="0053335D">
        <w:rPr>
          <w:i/>
          <w:iCs/>
        </w:rPr>
        <w:t xml:space="preserve"> Trouble: </w:t>
      </w:r>
      <w:proofErr w:type="spellStart"/>
      <w:r w:rsidR="00402F0A" w:rsidRPr="0053335D">
        <w:rPr>
          <w:i/>
          <w:iCs/>
        </w:rPr>
        <w:t>Feminism</w:t>
      </w:r>
      <w:proofErr w:type="spellEnd"/>
      <w:r w:rsidR="00402F0A" w:rsidRPr="0053335D">
        <w:rPr>
          <w:i/>
          <w:iCs/>
        </w:rPr>
        <w:t xml:space="preserve"> and the Subversion of Identity</w:t>
      </w:r>
      <w:r w:rsidR="00402F0A" w:rsidRPr="0053335D">
        <w:t>, New York</w:t>
      </w:r>
      <w:r w:rsidR="00DF39C5" w:rsidRPr="0053335D">
        <w:t>, Routledge,</w:t>
      </w:r>
      <w:r w:rsidR="00402F0A" w:rsidRPr="0053335D">
        <w:t xml:space="preserve"> 1990</w:t>
      </w:r>
      <w:r w:rsidR="00DF39C5" w:rsidRPr="0053335D">
        <w:t xml:space="preserve">. Entre la conférence à l’origine de ce texte et la composition de ce dernier, la personne qui m’avait généreusement fait don de son exemplaire de </w:t>
      </w:r>
      <w:r w:rsidR="00DF39C5" w:rsidRPr="0053335D">
        <w:rPr>
          <w:i/>
          <w:iCs/>
        </w:rPr>
        <w:t>Trouble dans le genre</w:t>
      </w:r>
      <w:r w:rsidR="00DF39C5" w:rsidRPr="0053335D">
        <w:t xml:space="preserve">, la médiéviste Christiane </w:t>
      </w:r>
      <w:proofErr w:type="spellStart"/>
      <w:r w:rsidR="00DF39C5" w:rsidRPr="0053335D">
        <w:t>Klapisch</w:t>
      </w:r>
      <w:proofErr w:type="spellEnd"/>
      <w:r w:rsidR="00DF39C5" w:rsidRPr="0053335D">
        <w:t xml:space="preserve">-Zuber, a quitté ce monde. </w:t>
      </w:r>
      <w:r w:rsidR="00FD4334" w:rsidRPr="0053335D">
        <w:t xml:space="preserve">Je lui exprime toute ma reconnaissance et toute ma tristesse. </w:t>
      </w:r>
    </w:p>
  </w:footnote>
  <w:footnote w:id="2">
    <w:p w14:paraId="648A8F76" w14:textId="2723315D" w:rsidR="00383358" w:rsidRPr="0053335D" w:rsidRDefault="00383358" w:rsidP="0053335D">
      <w:pPr>
        <w:pStyle w:val="Notedebasdepage"/>
        <w:jc w:val="both"/>
      </w:pPr>
      <w:r w:rsidRPr="0053335D">
        <w:rPr>
          <w:rStyle w:val="Appelnotedebasdep"/>
        </w:rPr>
        <w:footnoteRef/>
      </w:r>
      <w:r w:rsidRPr="0053335D">
        <w:t xml:space="preserve"> </w:t>
      </w:r>
      <w:r w:rsidRPr="0053335D">
        <w:t xml:space="preserve">Voir un article du Point en date du 7 avril 2022. URL : </w:t>
      </w:r>
      <w:hyperlink r:id="rId1" w:history="1">
        <w:r w:rsidRPr="0053335D">
          <w:rPr>
            <w:rStyle w:val="Lienhypertexte"/>
          </w:rPr>
          <w:t>https://www.lepoint.fr/societe/paris-l-eglise-catholique-desapprouve-une-messe-donnee-par-des-femmes-07-04-2022-2471333_23.php</w:t>
        </w:r>
      </w:hyperlink>
      <w:r w:rsidRPr="0053335D">
        <w:t xml:space="preserve"> Page consultée pour la dernière fois le 29 novembre 2025. </w:t>
      </w:r>
    </w:p>
  </w:footnote>
  <w:footnote w:id="3">
    <w:p w14:paraId="79012179" w14:textId="67385E0C" w:rsidR="00C819D6" w:rsidRPr="0053335D" w:rsidRDefault="00C819D6" w:rsidP="0053335D">
      <w:pPr>
        <w:pStyle w:val="Notedebasdepage"/>
        <w:jc w:val="both"/>
      </w:pPr>
      <w:r w:rsidRPr="0053335D">
        <w:rPr>
          <w:rStyle w:val="Appelnotedebasdep"/>
        </w:rPr>
        <w:footnoteRef/>
      </w:r>
      <w:r w:rsidRPr="0053335D">
        <w:t xml:space="preserve"> </w:t>
      </w:r>
      <w:r w:rsidRPr="0053335D">
        <w:t>Congrégation pour la Doctrine de la Foi</w:t>
      </w:r>
      <w:r w:rsidR="003244DB" w:rsidRPr="0053335D">
        <w:t xml:space="preserve">, </w:t>
      </w:r>
      <w:proofErr w:type="spellStart"/>
      <w:r w:rsidR="003244DB" w:rsidRPr="0053335D">
        <w:rPr>
          <w:i/>
          <w:iCs/>
        </w:rPr>
        <w:t>Decreto</w:t>
      </w:r>
      <w:proofErr w:type="spellEnd"/>
      <w:r w:rsidR="003244DB" w:rsidRPr="0053335D">
        <w:rPr>
          <w:i/>
          <w:iCs/>
        </w:rPr>
        <w:t xml:space="preserve"> </w:t>
      </w:r>
      <w:proofErr w:type="spellStart"/>
      <w:r w:rsidR="003244DB" w:rsidRPr="0053335D">
        <w:rPr>
          <w:i/>
          <w:iCs/>
        </w:rPr>
        <w:t>generale</w:t>
      </w:r>
      <w:proofErr w:type="spellEnd"/>
      <w:r w:rsidR="003244DB" w:rsidRPr="0053335D">
        <w:rPr>
          <w:i/>
          <w:iCs/>
        </w:rPr>
        <w:t xml:space="preserve"> circa il </w:t>
      </w:r>
      <w:proofErr w:type="spellStart"/>
      <w:r w:rsidR="003244DB" w:rsidRPr="0053335D">
        <w:rPr>
          <w:i/>
          <w:iCs/>
        </w:rPr>
        <w:t>delitto</w:t>
      </w:r>
      <w:proofErr w:type="spellEnd"/>
      <w:r w:rsidR="003244DB" w:rsidRPr="0053335D">
        <w:rPr>
          <w:i/>
          <w:iCs/>
        </w:rPr>
        <w:t xml:space="preserve"> di </w:t>
      </w:r>
      <w:proofErr w:type="spellStart"/>
      <w:r w:rsidR="003244DB" w:rsidRPr="0053335D">
        <w:rPr>
          <w:i/>
          <w:iCs/>
        </w:rPr>
        <w:t>attentata</w:t>
      </w:r>
      <w:proofErr w:type="spellEnd"/>
      <w:r w:rsidR="003244DB" w:rsidRPr="0053335D">
        <w:rPr>
          <w:i/>
          <w:iCs/>
        </w:rPr>
        <w:t xml:space="preserve"> </w:t>
      </w:r>
      <w:proofErr w:type="spellStart"/>
      <w:r w:rsidR="003244DB" w:rsidRPr="0053335D">
        <w:rPr>
          <w:i/>
          <w:iCs/>
        </w:rPr>
        <w:t>ordinazione</w:t>
      </w:r>
      <w:proofErr w:type="spellEnd"/>
      <w:r w:rsidR="003244DB" w:rsidRPr="0053335D">
        <w:rPr>
          <w:i/>
          <w:iCs/>
        </w:rPr>
        <w:t xml:space="preserve"> sacra di </w:t>
      </w:r>
      <w:proofErr w:type="spellStart"/>
      <w:r w:rsidR="003244DB" w:rsidRPr="0053335D">
        <w:rPr>
          <w:i/>
          <w:iCs/>
        </w:rPr>
        <w:t>una</w:t>
      </w:r>
      <w:proofErr w:type="spellEnd"/>
      <w:r w:rsidR="003244DB" w:rsidRPr="0053335D">
        <w:rPr>
          <w:i/>
          <w:iCs/>
        </w:rPr>
        <w:t xml:space="preserve"> donna </w:t>
      </w:r>
      <w:r w:rsidR="003244DB" w:rsidRPr="0053335D">
        <w:t>[</w:t>
      </w:r>
      <w:r w:rsidR="003244DB" w:rsidRPr="0053335D">
        <w:rPr>
          <w:i/>
          <w:iCs/>
        </w:rPr>
        <w:t>Décret général sur le délit d’attentat que constitue l’ordination sacrée d’une femme</w:t>
      </w:r>
      <w:r w:rsidR="003244DB" w:rsidRPr="0053335D">
        <w:t>]</w:t>
      </w:r>
      <w:r w:rsidR="00151014" w:rsidRPr="0053335D">
        <w:t xml:space="preserve">, signé par le préfet de la Congrégation à l’époque, le cardinal William </w:t>
      </w:r>
      <w:proofErr w:type="spellStart"/>
      <w:r w:rsidR="00151014" w:rsidRPr="0053335D">
        <w:t>Levada</w:t>
      </w:r>
      <w:proofErr w:type="spellEnd"/>
      <w:r w:rsidR="00151014" w:rsidRPr="0053335D">
        <w:t xml:space="preserve">, composé en 2007 et publié dans </w:t>
      </w:r>
      <w:r w:rsidR="00151014" w:rsidRPr="0053335D">
        <w:rPr>
          <w:i/>
          <w:iCs/>
        </w:rPr>
        <w:t>L’</w:t>
      </w:r>
      <w:proofErr w:type="spellStart"/>
      <w:r w:rsidR="00151014" w:rsidRPr="0053335D">
        <w:rPr>
          <w:i/>
          <w:iCs/>
        </w:rPr>
        <w:t>Osservatore</w:t>
      </w:r>
      <w:proofErr w:type="spellEnd"/>
      <w:r w:rsidR="00151014" w:rsidRPr="0053335D">
        <w:rPr>
          <w:i/>
          <w:iCs/>
        </w:rPr>
        <w:t xml:space="preserve"> Romano</w:t>
      </w:r>
      <w:r w:rsidR="00151014" w:rsidRPr="0053335D">
        <w:t xml:space="preserve"> l’année suivante. Disponible en ligne en italien sur le site du Vatican. </w:t>
      </w:r>
      <w:r w:rsidR="00151014" w:rsidRPr="0053335D">
        <w:rPr>
          <w:lang w:val="nl-BE"/>
        </w:rPr>
        <w:t xml:space="preserve">URL : </w:t>
      </w:r>
      <w:r w:rsidR="00151014" w:rsidRPr="0053335D">
        <w:fldChar w:fldCharType="begin"/>
      </w:r>
      <w:r w:rsidR="00151014" w:rsidRPr="0053335D">
        <w:rPr>
          <w:lang w:val="nl-BE"/>
        </w:rPr>
        <w:instrText>HYPERLINK "https://www.vatican.va/roman_curia/congregations/cfaith/documents/rc_con_cfaith_doc_20071219_attentata-ord-donna_it.html"</w:instrText>
      </w:r>
      <w:r w:rsidR="00151014" w:rsidRPr="0053335D">
        <w:fldChar w:fldCharType="separate"/>
      </w:r>
      <w:r w:rsidR="00151014" w:rsidRPr="0053335D">
        <w:rPr>
          <w:rStyle w:val="Lienhypertexte"/>
          <w:lang w:val="nl-BE"/>
        </w:rPr>
        <w:t>https://www.vatican.va/roman_curia/congregations/cfaith/documents/rc_con_cfaith_doc_20071219_attentata-ord-donna_it.html</w:t>
      </w:r>
      <w:r w:rsidR="00151014" w:rsidRPr="0053335D">
        <w:fldChar w:fldCharType="end"/>
      </w:r>
      <w:r w:rsidR="00151014" w:rsidRPr="0053335D">
        <w:rPr>
          <w:lang w:val="nl-BE"/>
        </w:rPr>
        <w:t xml:space="preserve">. </w:t>
      </w:r>
      <w:r w:rsidR="00151014" w:rsidRPr="0053335D">
        <w:t>Page consultée le 12 décembre 2025.</w:t>
      </w:r>
    </w:p>
  </w:footnote>
  <w:footnote w:id="4">
    <w:p w14:paraId="642D5E3E" w14:textId="0B0D34D4" w:rsidR="00151014" w:rsidRPr="0053335D" w:rsidRDefault="00151014" w:rsidP="0053335D">
      <w:pPr>
        <w:pStyle w:val="Notedebasdepage"/>
        <w:jc w:val="both"/>
      </w:pPr>
      <w:r w:rsidRPr="0053335D">
        <w:rPr>
          <w:rStyle w:val="Appelnotedebasdep"/>
        </w:rPr>
        <w:footnoteRef/>
      </w:r>
      <w:r w:rsidRPr="0053335D">
        <w:t xml:space="preserve"> </w:t>
      </w:r>
      <w:r w:rsidRPr="0053335D">
        <w:t xml:space="preserve">Congrégation pour la Doctrine de la Foi, </w:t>
      </w:r>
      <w:proofErr w:type="spellStart"/>
      <w:r w:rsidRPr="0053335D">
        <w:rPr>
          <w:i/>
          <w:iCs/>
        </w:rPr>
        <w:t>Decreto</w:t>
      </w:r>
      <w:proofErr w:type="spellEnd"/>
      <w:r w:rsidRPr="0053335D">
        <w:rPr>
          <w:i/>
          <w:iCs/>
        </w:rPr>
        <w:t xml:space="preserve"> </w:t>
      </w:r>
      <w:proofErr w:type="spellStart"/>
      <w:r w:rsidRPr="0053335D">
        <w:rPr>
          <w:i/>
          <w:iCs/>
        </w:rPr>
        <w:t>generale</w:t>
      </w:r>
      <w:proofErr w:type="spellEnd"/>
      <w:r w:rsidRPr="0053335D">
        <w:t xml:space="preserve">, </w:t>
      </w:r>
      <w:r w:rsidRPr="0053335D">
        <w:rPr>
          <w:i/>
          <w:iCs/>
        </w:rPr>
        <w:t xml:space="preserve">op. </w:t>
      </w:r>
      <w:proofErr w:type="spellStart"/>
      <w:r w:rsidRPr="0053335D">
        <w:rPr>
          <w:i/>
          <w:iCs/>
        </w:rPr>
        <w:t>cit</w:t>
      </w:r>
      <w:proofErr w:type="spellEnd"/>
      <w:r w:rsidRPr="0053335D">
        <w:rPr>
          <w:i/>
          <w:iCs/>
        </w:rPr>
        <w:t>.</w:t>
      </w:r>
      <w:r w:rsidRPr="0053335D">
        <w:t xml:space="preserve"> Sauf indication contraire, je donne mes propres traductions pour les langues autres que le français.</w:t>
      </w:r>
    </w:p>
  </w:footnote>
  <w:footnote w:id="5">
    <w:p w14:paraId="79B816B6" w14:textId="39D00889" w:rsidR="002F1C78" w:rsidRPr="0053335D" w:rsidRDefault="002F1C78" w:rsidP="0053335D">
      <w:pPr>
        <w:pStyle w:val="Notedebasdepage"/>
        <w:jc w:val="both"/>
      </w:pPr>
      <w:r w:rsidRPr="0053335D">
        <w:rPr>
          <w:rStyle w:val="Appelnotedebasdep"/>
        </w:rPr>
        <w:footnoteRef/>
      </w:r>
      <w:r w:rsidRPr="0053335D">
        <w:t xml:space="preserve"> </w:t>
      </w:r>
      <w:r w:rsidRPr="0053335D">
        <w:t xml:space="preserve">Marie Mandy, </w:t>
      </w:r>
      <w:r w:rsidRPr="0053335D">
        <w:rPr>
          <w:i/>
          <w:iCs/>
          <w:color w:val="202122"/>
          <w:shd w:val="clear" w:color="auto" w:fill="FFFFFF"/>
        </w:rPr>
        <w:t>Femmes prêtres, vocations interdites</w:t>
      </w:r>
      <w:r w:rsidRPr="0053335D">
        <w:rPr>
          <w:color w:val="202122"/>
          <w:shd w:val="clear" w:color="auto" w:fill="FFFFFF"/>
        </w:rPr>
        <w:t>,</w:t>
      </w:r>
      <w:r w:rsidR="00151014" w:rsidRPr="0053335D">
        <w:rPr>
          <w:color w:val="202122"/>
          <w:shd w:val="clear" w:color="auto" w:fill="FFFFFF"/>
        </w:rPr>
        <w:t xml:space="preserve"> France, 2024,</w:t>
      </w:r>
      <w:r w:rsidRPr="0053335D">
        <w:rPr>
          <w:color w:val="202122"/>
          <w:shd w:val="clear" w:color="auto" w:fill="FFFFFF"/>
        </w:rPr>
        <w:t xml:space="preserve"> documentaire diffusé sur Arte </w:t>
      </w:r>
      <w:r w:rsidR="00151014" w:rsidRPr="0053335D">
        <w:rPr>
          <w:color w:val="202122"/>
          <w:shd w:val="clear" w:color="auto" w:fill="FFFFFF"/>
        </w:rPr>
        <w:t>la même année</w:t>
      </w:r>
      <w:r w:rsidRPr="0053335D">
        <w:rPr>
          <w:color w:val="202122"/>
          <w:shd w:val="clear" w:color="auto" w:fill="FFFFFF"/>
        </w:rPr>
        <w:t>.</w:t>
      </w:r>
    </w:p>
  </w:footnote>
  <w:footnote w:id="6">
    <w:p w14:paraId="65C326A0" w14:textId="699251D9" w:rsidR="00DA01E5" w:rsidRPr="0053335D" w:rsidRDefault="00DA01E5" w:rsidP="0053335D">
      <w:pPr>
        <w:pStyle w:val="Notedebasdepage"/>
        <w:jc w:val="both"/>
      </w:pPr>
      <w:r w:rsidRPr="0053335D">
        <w:rPr>
          <w:rStyle w:val="Appelnotedebasdep"/>
        </w:rPr>
        <w:footnoteRef/>
      </w:r>
      <w:r w:rsidRPr="0053335D">
        <w:t xml:space="preserve"> </w:t>
      </w:r>
      <w:r w:rsidRPr="0053335D">
        <w:t xml:space="preserve">Sur l’existence de femmes prêtres chrétiennes et même évêques dans l’Antiquité et pendant le Haut Moyen Âge, je me permets de renvoyer à Antoine Paris, « Y a-t-il eu des femmes prêtres dans les premiers siècles de l’Église ? », </w:t>
      </w:r>
      <w:r w:rsidRPr="0053335D">
        <w:rPr>
          <w:i/>
          <w:iCs/>
        </w:rPr>
        <w:t>in</w:t>
      </w:r>
      <w:r w:rsidRPr="0053335D">
        <w:t xml:space="preserve"> Antoine Paris, </w:t>
      </w:r>
      <w:proofErr w:type="spellStart"/>
      <w:r w:rsidRPr="0053335D">
        <w:t>dir</w:t>
      </w:r>
      <w:proofErr w:type="spellEnd"/>
      <w:r w:rsidRPr="0053335D">
        <w:t xml:space="preserve">., </w:t>
      </w:r>
      <w:r w:rsidRPr="0053335D">
        <w:rPr>
          <w:i/>
          <w:iCs/>
        </w:rPr>
        <w:t>Questions controversées sur les premiers chrétiens</w:t>
      </w:r>
      <w:r w:rsidRPr="0053335D">
        <w:t>, Montréal, Novalis, sous presse.</w:t>
      </w:r>
    </w:p>
  </w:footnote>
  <w:footnote w:id="7">
    <w:p w14:paraId="3712B46A" w14:textId="63793BA2" w:rsidR="00151014" w:rsidRPr="0053335D" w:rsidRDefault="00151014" w:rsidP="0053335D">
      <w:pPr>
        <w:pStyle w:val="Notedebasdepage"/>
        <w:jc w:val="both"/>
      </w:pPr>
      <w:r w:rsidRPr="0053335D">
        <w:rPr>
          <w:rStyle w:val="Appelnotedebasdep"/>
        </w:rPr>
        <w:footnoteRef/>
      </w:r>
      <w:r w:rsidRPr="0053335D">
        <w:t xml:space="preserve"> </w:t>
      </w:r>
      <w:r w:rsidRPr="0053335D">
        <w:t xml:space="preserve">Le journal </w:t>
      </w:r>
      <w:r w:rsidRPr="0053335D">
        <w:rPr>
          <w:i/>
          <w:iCs/>
        </w:rPr>
        <w:t>La Croix</w:t>
      </w:r>
      <w:r w:rsidRPr="0053335D">
        <w:t xml:space="preserve"> a été fondé en 1882 par la Congrégation des Augustins de l’Assomption.</w:t>
      </w:r>
    </w:p>
  </w:footnote>
  <w:footnote w:id="8">
    <w:p w14:paraId="75439FF0" w14:textId="647C073B" w:rsidR="004B00E2" w:rsidRPr="0053335D" w:rsidRDefault="004B00E2" w:rsidP="0053335D">
      <w:pPr>
        <w:pStyle w:val="Notedebasdepage"/>
        <w:jc w:val="both"/>
      </w:pPr>
      <w:r w:rsidRPr="0053335D">
        <w:rPr>
          <w:rStyle w:val="Appelnotedebasdep"/>
        </w:rPr>
        <w:footnoteRef/>
      </w:r>
      <w:r w:rsidRPr="0053335D">
        <w:t xml:space="preserve"> </w:t>
      </w:r>
      <w:r w:rsidRPr="0053335D">
        <w:t xml:space="preserve">Christel </w:t>
      </w:r>
      <w:proofErr w:type="spellStart"/>
      <w:r w:rsidRPr="0053335D">
        <w:t>Juquois</w:t>
      </w:r>
      <w:proofErr w:type="spellEnd"/>
      <w:r w:rsidRPr="0053335D">
        <w:t xml:space="preserve">, « Documentaire : </w:t>
      </w:r>
      <w:r w:rsidRPr="0053335D">
        <w:rPr>
          <w:lang w:val="en-AU"/>
        </w:rPr>
        <w:t xml:space="preserve">“Femmes </w:t>
      </w:r>
      <w:proofErr w:type="spellStart"/>
      <w:r w:rsidRPr="0053335D">
        <w:rPr>
          <w:lang w:val="en-AU"/>
        </w:rPr>
        <w:t>prêtres</w:t>
      </w:r>
      <w:proofErr w:type="spellEnd"/>
      <w:r w:rsidRPr="0053335D">
        <w:rPr>
          <w:lang w:val="en-AU"/>
        </w:rPr>
        <w:t xml:space="preserve">, vocations </w:t>
      </w:r>
      <w:proofErr w:type="spellStart"/>
      <w:r w:rsidRPr="0053335D">
        <w:rPr>
          <w:lang w:val="en-AU"/>
        </w:rPr>
        <w:t>interdites</w:t>
      </w:r>
      <w:proofErr w:type="spellEnd"/>
      <w:r w:rsidRPr="0053335D">
        <w:rPr>
          <w:lang w:val="en-AU"/>
        </w:rPr>
        <w:t xml:space="preserve">” sur Arte, </w:t>
      </w:r>
      <w:proofErr w:type="spellStart"/>
      <w:r w:rsidRPr="0053335D">
        <w:rPr>
          <w:lang w:val="en-AU"/>
        </w:rPr>
        <w:t>l’ordination</w:t>
      </w:r>
      <w:proofErr w:type="spellEnd"/>
      <w:r w:rsidRPr="0053335D">
        <w:rPr>
          <w:lang w:val="en-AU"/>
        </w:rPr>
        <w:t xml:space="preserve"> des femmes </w:t>
      </w:r>
      <w:proofErr w:type="spellStart"/>
      <w:r w:rsidRPr="0053335D">
        <w:rPr>
          <w:lang w:val="en-AU"/>
        </w:rPr>
        <w:t>en</w:t>
      </w:r>
      <w:proofErr w:type="spellEnd"/>
      <w:r w:rsidRPr="0053335D">
        <w:rPr>
          <w:lang w:val="en-AU"/>
        </w:rPr>
        <w:t xml:space="preserve"> question</w:t>
      </w:r>
      <w:r w:rsidRPr="0053335D">
        <w:rPr>
          <w:lang w:val="fr-FR"/>
        </w:rPr>
        <w:t xml:space="preserve"> », </w:t>
      </w:r>
      <w:r w:rsidRPr="0053335D">
        <w:rPr>
          <w:i/>
          <w:iCs/>
          <w:lang w:val="fr-FR"/>
        </w:rPr>
        <w:t>La Croix</w:t>
      </w:r>
      <w:r w:rsidRPr="0053335D">
        <w:rPr>
          <w:lang w:val="fr-FR"/>
        </w:rPr>
        <w:t xml:space="preserve">, publication en ligne, 12 avril 2025. </w:t>
      </w:r>
      <w:r w:rsidRPr="0053335D">
        <w:rPr>
          <w:lang w:val="nl-BE"/>
        </w:rPr>
        <w:t xml:space="preserve">URL : </w:t>
      </w:r>
      <w:r w:rsidRPr="0053335D">
        <w:fldChar w:fldCharType="begin"/>
      </w:r>
      <w:r w:rsidRPr="0053335D">
        <w:rPr>
          <w:lang w:val="nl-BE"/>
        </w:rPr>
        <w:instrText>HYPERLINK "https://www.la-croix.com/religion/documentaire-femmes-pretres-vocations-interdites-sur-arte-l-ordination-des-femmes-en-question-20250411"</w:instrText>
      </w:r>
      <w:r w:rsidRPr="0053335D">
        <w:fldChar w:fldCharType="separate"/>
      </w:r>
      <w:r w:rsidRPr="0053335D">
        <w:rPr>
          <w:rStyle w:val="Lienhypertexte"/>
          <w:lang w:val="nl-BE"/>
        </w:rPr>
        <w:t>https://www.la-croix.com/religion/documentaire-femmes-pretres-vocations-interdites-sur-arte-l-ordination-des-femmes-en-question-20250411</w:t>
      </w:r>
      <w:r w:rsidRPr="0053335D">
        <w:fldChar w:fldCharType="end"/>
      </w:r>
      <w:r w:rsidRPr="0053335D">
        <w:rPr>
          <w:lang w:val="nl-BE"/>
        </w:rPr>
        <w:t xml:space="preserve">. </w:t>
      </w:r>
      <w:r w:rsidRPr="0053335D">
        <w:t>Page consultée le 12 décembre 2025.</w:t>
      </w:r>
    </w:p>
  </w:footnote>
  <w:footnote w:id="9">
    <w:p w14:paraId="3F8C2577" w14:textId="247ED834" w:rsidR="008157B3" w:rsidRPr="0053335D" w:rsidRDefault="008157B3" w:rsidP="0053335D">
      <w:pPr>
        <w:pStyle w:val="Notedebasdepage"/>
        <w:jc w:val="both"/>
      </w:pPr>
      <w:r w:rsidRPr="0053335D">
        <w:rPr>
          <w:rStyle w:val="Appelnotedebasdep"/>
        </w:rPr>
        <w:footnoteRef/>
      </w:r>
      <w:r w:rsidRPr="0053335D">
        <w:t xml:space="preserve"> </w:t>
      </w:r>
      <w:r w:rsidRPr="0053335D">
        <w:t xml:space="preserve">Voir, entre autres, le reportage de Delphine Evenou sur France Inter, « Abus sexuels dans l’Église : maladresse, inertie, rétention d’informations, 18 évêques mis en cause pour des manquements », 28 mars 2025. </w:t>
      </w:r>
      <w:r w:rsidRPr="0053335D">
        <w:rPr>
          <w:lang w:val="nl-BE"/>
        </w:rPr>
        <w:t xml:space="preserve">URL : </w:t>
      </w:r>
      <w:r w:rsidR="00D32D1C" w:rsidRPr="0053335D">
        <w:fldChar w:fldCharType="begin"/>
      </w:r>
      <w:r w:rsidR="00D32D1C" w:rsidRPr="0053335D">
        <w:rPr>
          <w:lang w:val="nl-BE"/>
        </w:rPr>
        <w:instrText>HYPERLINK "https://www.radiofrance.fr/franceinter/podcasts/l-info-de-france-inter/l-info-de-france-inter-3127183"</w:instrText>
      </w:r>
      <w:r w:rsidR="00D32D1C" w:rsidRPr="0053335D">
        <w:fldChar w:fldCharType="separate"/>
      </w:r>
      <w:r w:rsidR="00D32D1C" w:rsidRPr="0053335D">
        <w:rPr>
          <w:rStyle w:val="Lienhypertexte"/>
          <w:lang w:val="nl-BE"/>
        </w:rPr>
        <w:t>https://www.radiofrance.fr/franceinter/podcasts/l-info-de-france-inter/l-info-de-france-inter-3127183</w:t>
      </w:r>
      <w:r w:rsidR="00D32D1C" w:rsidRPr="0053335D">
        <w:fldChar w:fldCharType="end"/>
      </w:r>
      <w:r w:rsidR="00D32D1C" w:rsidRPr="0053335D">
        <w:rPr>
          <w:lang w:val="nl-BE"/>
        </w:rPr>
        <w:t xml:space="preserve">. </w:t>
      </w:r>
      <w:r w:rsidR="00D32D1C" w:rsidRPr="0053335D">
        <w:t>Page consultée le 11 décembre 2025.</w:t>
      </w:r>
    </w:p>
  </w:footnote>
  <w:footnote w:id="10">
    <w:p w14:paraId="334D5C75" w14:textId="043DAE08" w:rsidR="00A402DD" w:rsidRPr="0053335D" w:rsidRDefault="00A402DD" w:rsidP="0053335D">
      <w:pPr>
        <w:pStyle w:val="Notedebasdepage"/>
        <w:jc w:val="both"/>
      </w:pPr>
      <w:r w:rsidRPr="0053335D">
        <w:rPr>
          <w:rStyle w:val="Appelnotedebasdep"/>
        </w:rPr>
        <w:footnoteRef/>
      </w:r>
      <w:r w:rsidRPr="0053335D">
        <w:t xml:space="preserve"> </w:t>
      </w:r>
      <w:r w:rsidRPr="0053335D">
        <w:t>Un grand nombre des agressions sexuelles recensées, par exemple, dans l’article précédemment cité, portent aussi sur des hommes, majeurs ou mineurs. Celles-ci sont également favorisés par certains des éléments structurels que j’essaie de mettre en lumière ici – la transformation du texte en source d’autorité dont le sens s’impose ; l’imposition de ce sens par des personnes en situation de pouvoir incontestable – mais correspondent aussi à d’autres mécanismes.</w:t>
      </w:r>
    </w:p>
  </w:footnote>
  <w:footnote w:id="11">
    <w:p w14:paraId="50326607" w14:textId="01916868" w:rsidR="00A30045" w:rsidRPr="0053335D" w:rsidRDefault="00A30045" w:rsidP="0053335D">
      <w:pPr>
        <w:pStyle w:val="Notedebasdepage"/>
        <w:jc w:val="both"/>
      </w:pPr>
      <w:r w:rsidRPr="0053335D">
        <w:rPr>
          <w:rStyle w:val="Appelnotedebasdep"/>
        </w:rPr>
        <w:footnoteRef/>
      </w:r>
      <w:r w:rsidRPr="0053335D">
        <w:t xml:space="preserve"> </w:t>
      </w:r>
      <w:r w:rsidRPr="0053335D">
        <w:t xml:space="preserve">Le lien entre le viol et une certaine organisation de la société est notamment mis en lumière par Mary Ann </w:t>
      </w:r>
      <w:proofErr w:type="spellStart"/>
      <w:r w:rsidRPr="0053335D">
        <w:t>Manhart</w:t>
      </w:r>
      <w:proofErr w:type="spellEnd"/>
      <w:r w:rsidRPr="0053335D">
        <w:t> : « En un sens, le viol n’est pas une question réformiste mais révolutionnaire, parce que notre but ultime est d’éliminer le viol et que ce but ne peut pas être atteint sans une transformation révolutionnaire de notre société. Cela signifie une transformation de la famille, du système économique et de la psychologie des hommes et des femmes, une transformation qui rende l’exploitation sexuelle, conjointe à l’exploitation économique, impossible et même inimaginable. » (</w:t>
      </w:r>
      <w:r w:rsidR="0022596F" w:rsidRPr="0053335D">
        <w:t xml:space="preserve">Mary Ann </w:t>
      </w:r>
      <w:proofErr w:type="spellStart"/>
      <w:r w:rsidR="0022596F" w:rsidRPr="0053335D">
        <w:t>Manhart</w:t>
      </w:r>
      <w:proofErr w:type="spellEnd"/>
      <w:r w:rsidR="0022596F" w:rsidRPr="0053335D">
        <w:t xml:space="preserve">, </w:t>
      </w:r>
      <w:r w:rsidR="0022596F" w:rsidRPr="0053335D">
        <w:rPr>
          <w:i/>
          <w:iCs/>
        </w:rPr>
        <w:t>in</w:t>
      </w:r>
      <w:r w:rsidR="0022596F" w:rsidRPr="0053335D">
        <w:t xml:space="preserve"> </w:t>
      </w:r>
      <w:proofErr w:type="spellStart"/>
      <w:r w:rsidR="0022596F" w:rsidRPr="0053335D">
        <w:t>Noreen</w:t>
      </w:r>
      <w:proofErr w:type="spellEnd"/>
      <w:r w:rsidR="0022596F" w:rsidRPr="0053335D">
        <w:t xml:space="preserve"> </w:t>
      </w:r>
      <w:proofErr w:type="spellStart"/>
      <w:r w:rsidR="0022596F" w:rsidRPr="0053335D">
        <w:t>Connell</w:t>
      </w:r>
      <w:proofErr w:type="spellEnd"/>
      <w:r w:rsidR="0022596F" w:rsidRPr="0053335D">
        <w:t xml:space="preserve"> et Cassandra Wilson, </w:t>
      </w:r>
      <w:proofErr w:type="spellStart"/>
      <w:r w:rsidR="0022596F" w:rsidRPr="0053335D">
        <w:t>dir</w:t>
      </w:r>
      <w:proofErr w:type="spellEnd"/>
      <w:r w:rsidR="0022596F" w:rsidRPr="0053335D">
        <w:t xml:space="preserve">., </w:t>
      </w:r>
      <w:proofErr w:type="spellStart"/>
      <w:r w:rsidR="0022596F" w:rsidRPr="0053335D">
        <w:rPr>
          <w:i/>
          <w:iCs/>
        </w:rPr>
        <w:t>Rape</w:t>
      </w:r>
      <w:proofErr w:type="spellEnd"/>
      <w:r w:rsidR="0022596F" w:rsidRPr="0053335D">
        <w:rPr>
          <w:i/>
          <w:iCs/>
        </w:rPr>
        <w:t xml:space="preserve">: the First </w:t>
      </w:r>
      <w:proofErr w:type="spellStart"/>
      <w:r w:rsidR="0022596F" w:rsidRPr="0053335D">
        <w:rPr>
          <w:i/>
          <w:iCs/>
        </w:rPr>
        <w:t>Sourcebook</w:t>
      </w:r>
      <w:proofErr w:type="spellEnd"/>
      <w:r w:rsidR="0022596F" w:rsidRPr="0053335D">
        <w:rPr>
          <w:i/>
          <w:iCs/>
        </w:rPr>
        <w:t xml:space="preserve"> for </w:t>
      </w:r>
      <w:proofErr w:type="spellStart"/>
      <w:r w:rsidR="0022596F" w:rsidRPr="0053335D">
        <w:rPr>
          <w:i/>
          <w:iCs/>
        </w:rPr>
        <w:t>Feminists</w:t>
      </w:r>
      <w:proofErr w:type="spellEnd"/>
      <w:r w:rsidR="0022596F" w:rsidRPr="0053335D">
        <w:t xml:space="preserve">, New York, New American Library, 1974, </w:t>
      </w:r>
      <w:r w:rsidRPr="0053335D">
        <w:t xml:space="preserve">p. 249-250) L’autrice n’évoque pas alors le discours officiel de l’Église catholique, mais celui-ci participe d’une certaine manière de concevoir la « famille » et influe sur la « psychologie des hommes et des femmes », en mettant les premiers dans une position de pouvoir et les secondes dans une situation d’infériorité. Du fait de la place historique de l’Église catholique en Occident, on peut considérer que cette influence s’étend aussi sur les </w:t>
      </w:r>
      <w:proofErr w:type="spellStart"/>
      <w:r w:rsidRPr="0053335D">
        <w:t>non-croyant·es</w:t>
      </w:r>
      <w:proofErr w:type="spellEnd"/>
      <w:r w:rsidRPr="0053335D">
        <w:t>, par des phénomènes culturels par exemple. On peut penser par exemple à la façon dont certains discours de l’Église catholique ont érotisé la figure de la fille d’Hérode – alors même qu’aucun indice dans ce sens n’apparaît dans la manière dont elle est présentée dans la Bible (voir</w:t>
      </w:r>
      <w:r w:rsidR="006B72CF" w:rsidRPr="0053335D">
        <w:t xml:space="preserve"> </w:t>
      </w:r>
      <w:r w:rsidR="006B72CF" w:rsidRPr="0053335D">
        <w:rPr>
          <w:i/>
          <w:iCs/>
        </w:rPr>
        <w:t xml:space="preserve">Évangile selon Matthieu </w:t>
      </w:r>
      <w:r w:rsidR="006B72CF" w:rsidRPr="0053335D">
        <w:t xml:space="preserve">14, 1-12 et </w:t>
      </w:r>
      <w:r w:rsidR="006B72CF" w:rsidRPr="0053335D">
        <w:rPr>
          <w:i/>
          <w:iCs/>
        </w:rPr>
        <w:t xml:space="preserve">Évangile selon Marc </w:t>
      </w:r>
      <w:r w:rsidR="006B72CF" w:rsidRPr="0053335D">
        <w:t>6, 14-29</w:t>
      </w:r>
      <w:r w:rsidR="00BF2261" w:rsidRPr="0053335D">
        <w:t xml:space="preserve"> – pour les textes du Nouveau Testament, je suis la 28</w:t>
      </w:r>
      <w:r w:rsidR="00BF2261" w:rsidRPr="0053335D">
        <w:rPr>
          <w:vertAlign w:val="superscript"/>
        </w:rPr>
        <w:t>e</w:t>
      </w:r>
      <w:r w:rsidR="00BF2261" w:rsidRPr="0053335D">
        <w:t xml:space="preserve"> édition du </w:t>
      </w:r>
      <w:proofErr w:type="spellStart"/>
      <w:r w:rsidR="00BF2261" w:rsidRPr="0053335D">
        <w:rPr>
          <w:i/>
          <w:iCs/>
        </w:rPr>
        <w:t>Novum</w:t>
      </w:r>
      <w:proofErr w:type="spellEnd"/>
      <w:r w:rsidR="00BF2261" w:rsidRPr="0053335D">
        <w:rPr>
          <w:i/>
          <w:iCs/>
        </w:rPr>
        <w:t xml:space="preserve"> </w:t>
      </w:r>
      <w:proofErr w:type="spellStart"/>
      <w:r w:rsidR="00BF2261" w:rsidRPr="0053335D">
        <w:rPr>
          <w:i/>
          <w:iCs/>
        </w:rPr>
        <w:t>Testamentum</w:t>
      </w:r>
      <w:proofErr w:type="spellEnd"/>
      <w:r w:rsidR="00BF2261" w:rsidRPr="0053335D">
        <w:rPr>
          <w:i/>
          <w:iCs/>
        </w:rPr>
        <w:t xml:space="preserve"> </w:t>
      </w:r>
      <w:proofErr w:type="spellStart"/>
      <w:r w:rsidR="00BF2261" w:rsidRPr="0053335D">
        <w:rPr>
          <w:i/>
          <w:iCs/>
        </w:rPr>
        <w:t>Graece</w:t>
      </w:r>
      <w:proofErr w:type="spellEnd"/>
      <w:r w:rsidR="00BF2261" w:rsidRPr="0053335D">
        <w:t xml:space="preserve">, texte édité par Barbara </w:t>
      </w:r>
      <w:proofErr w:type="spellStart"/>
      <w:r w:rsidR="00BF2261" w:rsidRPr="0053335D">
        <w:t>Aland</w:t>
      </w:r>
      <w:proofErr w:type="spellEnd"/>
      <w:r w:rsidR="00BF2261" w:rsidRPr="0053335D">
        <w:t xml:space="preserve">, Kurt </w:t>
      </w:r>
      <w:proofErr w:type="spellStart"/>
      <w:r w:rsidR="00BF2261" w:rsidRPr="0053335D">
        <w:t>Aland</w:t>
      </w:r>
      <w:proofErr w:type="spellEnd"/>
      <w:r w:rsidR="00BF2261" w:rsidRPr="0053335D">
        <w:t xml:space="preserve"> </w:t>
      </w:r>
      <w:r w:rsidR="00BF2261" w:rsidRPr="0053335D">
        <w:rPr>
          <w:i/>
          <w:iCs/>
          <w:color w:val="000000" w:themeColor="text1"/>
        </w:rPr>
        <w:t>et al.</w:t>
      </w:r>
      <w:r w:rsidR="00BF2261" w:rsidRPr="0053335D">
        <w:rPr>
          <w:color w:val="000000" w:themeColor="text1"/>
        </w:rPr>
        <w:t xml:space="preserve">, Stuttgart, Deutsche </w:t>
      </w:r>
      <w:proofErr w:type="spellStart"/>
      <w:r w:rsidR="00BF2261" w:rsidRPr="0053335D">
        <w:rPr>
          <w:color w:val="000000" w:themeColor="text1"/>
        </w:rPr>
        <w:t>Bibelgesellschaft</w:t>
      </w:r>
      <w:proofErr w:type="spellEnd"/>
      <w:r w:rsidR="00BF2261" w:rsidRPr="0053335D">
        <w:rPr>
          <w:color w:val="000000" w:themeColor="text1"/>
        </w:rPr>
        <w:t>, 2012)</w:t>
      </w:r>
      <w:r w:rsidRPr="0053335D">
        <w:t xml:space="preserve"> – et dont cette érotisation a ensuite été reprise par des auteurs et peintres, même </w:t>
      </w:r>
      <w:proofErr w:type="spellStart"/>
      <w:r w:rsidRPr="0053335D">
        <w:t>non-croyant·es</w:t>
      </w:r>
      <w:proofErr w:type="spellEnd"/>
      <w:r w:rsidRPr="0053335D">
        <w:t xml:space="preserve"> (on peut penser, entre autres</w:t>
      </w:r>
      <w:r w:rsidR="0022596F" w:rsidRPr="0053335D">
        <w:t xml:space="preserve">, à </w:t>
      </w:r>
      <w:r w:rsidR="0022596F" w:rsidRPr="0053335D">
        <w:rPr>
          <w:lang w:val="fr-FR"/>
        </w:rPr>
        <w:t>« Hérodias » de Gustave Flaub</w:t>
      </w:r>
      <w:r w:rsidR="006B72CF" w:rsidRPr="0053335D">
        <w:rPr>
          <w:lang w:val="fr-FR"/>
        </w:rPr>
        <w:t>ert</w:t>
      </w:r>
      <w:r w:rsidR="0022596F" w:rsidRPr="0053335D">
        <w:rPr>
          <w:lang w:val="fr-FR"/>
        </w:rPr>
        <w:t xml:space="preserve"> – </w:t>
      </w:r>
      <w:r w:rsidR="0022596F" w:rsidRPr="0053335D">
        <w:rPr>
          <w:i/>
          <w:iCs/>
          <w:lang w:val="fr-FR"/>
        </w:rPr>
        <w:t>in</w:t>
      </w:r>
      <w:r w:rsidR="0022596F" w:rsidRPr="0053335D">
        <w:rPr>
          <w:lang w:val="fr-FR"/>
        </w:rPr>
        <w:t xml:space="preserve"> Gustave Flaubert, </w:t>
      </w:r>
      <w:r w:rsidR="0022596F" w:rsidRPr="0053335D">
        <w:rPr>
          <w:i/>
          <w:iCs/>
          <w:lang w:val="fr-FR"/>
        </w:rPr>
        <w:t>Trois Contes</w:t>
      </w:r>
      <w:r w:rsidR="0022596F" w:rsidRPr="0053335D">
        <w:rPr>
          <w:lang w:val="fr-FR"/>
        </w:rPr>
        <w:t>, Paris, 1910, p. 137-190 – et à</w:t>
      </w:r>
      <w:r w:rsidR="006B72CF" w:rsidRPr="0053335D">
        <w:rPr>
          <w:lang w:val="fr-FR"/>
        </w:rPr>
        <w:t xml:space="preserve"> </w:t>
      </w:r>
      <w:r w:rsidR="006B72CF" w:rsidRPr="0053335D">
        <w:rPr>
          <w:i/>
          <w:iCs/>
          <w:lang w:val="fr-FR"/>
        </w:rPr>
        <w:t>L’Apparition</w:t>
      </w:r>
      <w:r w:rsidR="006B72CF" w:rsidRPr="0053335D">
        <w:rPr>
          <w:lang w:val="fr-FR"/>
        </w:rPr>
        <w:t xml:space="preserve"> par Gustave Moreau, où le personnage est très largement nu – Musée d’Orsay, 1876)</w:t>
      </w:r>
      <w:r w:rsidRPr="0053335D">
        <w:t>. Sur la figure de la fille d’Hérode – souvent appelée Salomé, nom qui n’apparaît pas dans le Nouveau Testament, voir</w:t>
      </w:r>
      <w:r w:rsidR="0022596F" w:rsidRPr="0053335D">
        <w:t xml:space="preserve"> notamment</w:t>
      </w:r>
      <w:r w:rsidRPr="0053335D">
        <w:t xml:space="preserve"> </w:t>
      </w:r>
      <w:r w:rsidR="0022596F" w:rsidRPr="0053335D">
        <w:t xml:space="preserve">Janice Capel Anderson, « The Dancing </w:t>
      </w:r>
      <w:proofErr w:type="spellStart"/>
      <w:r w:rsidR="0022596F" w:rsidRPr="0053335D">
        <w:t>Daughter</w:t>
      </w:r>
      <w:proofErr w:type="spellEnd"/>
      <w:r w:rsidR="0022596F" w:rsidRPr="0053335D">
        <w:t xml:space="preserve"> », </w:t>
      </w:r>
      <w:r w:rsidR="0022596F" w:rsidRPr="0053335D">
        <w:rPr>
          <w:i/>
          <w:iCs/>
        </w:rPr>
        <w:t>in</w:t>
      </w:r>
      <w:r w:rsidR="0022596F" w:rsidRPr="0053335D">
        <w:t xml:space="preserve"> Janice Capel Anderson et Stephen D. Moore, </w:t>
      </w:r>
      <w:proofErr w:type="spellStart"/>
      <w:r w:rsidR="0022596F" w:rsidRPr="0053335D">
        <w:t>dir</w:t>
      </w:r>
      <w:proofErr w:type="spellEnd"/>
      <w:r w:rsidR="0022596F" w:rsidRPr="0053335D">
        <w:t xml:space="preserve">. </w:t>
      </w:r>
      <w:r w:rsidR="0022596F" w:rsidRPr="0053335D">
        <w:rPr>
          <w:i/>
          <w:iCs/>
        </w:rPr>
        <w:t xml:space="preserve">Mark and Method, New </w:t>
      </w:r>
      <w:proofErr w:type="spellStart"/>
      <w:r w:rsidR="0022596F" w:rsidRPr="0053335D">
        <w:rPr>
          <w:i/>
          <w:iCs/>
        </w:rPr>
        <w:t>approaches</w:t>
      </w:r>
      <w:proofErr w:type="spellEnd"/>
      <w:r w:rsidR="0022596F" w:rsidRPr="0053335D">
        <w:rPr>
          <w:i/>
          <w:iCs/>
        </w:rPr>
        <w:t xml:space="preserve"> in </w:t>
      </w:r>
      <w:proofErr w:type="spellStart"/>
      <w:r w:rsidR="0022596F" w:rsidRPr="0053335D">
        <w:rPr>
          <w:i/>
          <w:iCs/>
        </w:rPr>
        <w:t>biblical</w:t>
      </w:r>
      <w:proofErr w:type="spellEnd"/>
      <w:r w:rsidR="0022596F" w:rsidRPr="0053335D">
        <w:rPr>
          <w:i/>
          <w:iCs/>
        </w:rPr>
        <w:t xml:space="preserve"> </w:t>
      </w:r>
      <w:proofErr w:type="spellStart"/>
      <w:r w:rsidR="0022596F" w:rsidRPr="0053335D">
        <w:rPr>
          <w:i/>
          <w:iCs/>
        </w:rPr>
        <w:t>studies</w:t>
      </w:r>
      <w:proofErr w:type="spellEnd"/>
      <w:r w:rsidR="0022596F" w:rsidRPr="0053335D">
        <w:t xml:space="preserve">, Minneapolis, </w:t>
      </w:r>
      <w:proofErr w:type="spellStart"/>
      <w:r w:rsidR="0022596F" w:rsidRPr="0053335D">
        <w:t>Fortress</w:t>
      </w:r>
      <w:proofErr w:type="spellEnd"/>
      <w:r w:rsidR="0022596F" w:rsidRPr="0053335D">
        <w:t xml:space="preserve"> </w:t>
      </w:r>
      <w:proofErr w:type="spellStart"/>
      <w:r w:rsidR="0022596F" w:rsidRPr="0053335D">
        <w:t>Press</w:t>
      </w:r>
      <w:proofErr w:type="spellEnd"/>
      <w:r w:rsidR="0022596F" w:rsidRPr="0053335D">
        <w:t>, 2008</w:t>
      </w:r>
      <w:r w:rsidR="0022596F" w:rsidRPr="0053335D">
        <w:rPr>
          <w:vertAlign w:val="superscript"/>
        </w:rPr>
        <w:t>2</w:t>
      </w:r>
      <w:r w:rsidR="0022596F" w:rsidRPr="0053335D">
        <w:t>, p. 111-143.</w:t>
      </w:r>
    </w:p>
  </w:footnote>
  <w:footnote w:id="12">
    <w:p w14:paraId="1FF9F43F" w14:textId="48E45F79" w:rsidR="00A402DD" w:rsidRPr="0053335D" w:rsidRDefault="00A402DD" w:rsidP="0053335D">
      <w:pPr>
        <w:pStyle w:val="Notedebasdepage"/>
        <w:jc w:val="both"/>
      </w:pPr>
      <w:r w:rsidRPr="0053335D">
        <w:rPr>
          <w:rStyle w:val="Appelnotedebasdep"/>
        </w:rPr>
        <w:footnoteRef/>
      </w:r>
      <w:r w:rsidRPr="0053335D">
        <w:t xml:space="preserve"> </w:t>
      </w:r>
      <w:r w:rsidRPr="0053335D">
        <w:t>L’expression « </w:t>
      </w:r>
      <w:proofErr w:type="spellStart"/>
      <w:r w:rsidRPr="0053335D">
        <w:rPr>
          <w:i/>
          <w:iCs/>
        </w:rPr>
        <w:t>rape</w:t>
      </w:r>
      <w:proofErr w:type="spellEnd"/>
      <w:r w:rsidRPr="0053335D">
        <w:rPr>
          <w:i/>
          <w:iCs/>
        </w:rPr>
        <w:t xml:space="preserve"> culture</w:t>
      </w:r>
      <w:r w:rsidRPr="0053335D">
        <w:t> », « culture du viol »</w:t>
      </w:r>
      <w:r w:rsidR="00A30045" w:rsidRPr="0053335D">
        <w:t xml:space="preserve"> vient du documentaire </w:t>
      </w:r>
      <w:proofErr w:type="spellStart"/>
      <w:r w:rsidR="00A30045" w:rsidRPr="0053335D">
        <w:rPr>
          <w:i/>
          <w:iCs/>
        </w:rPr>
        <w:t>Rape</w:t>
      </w:r>
      <w:proofErr w:type="spellEnd"/>
      <w:r w:rsidR="00A30045" w:rsidRPr="0053335D">
        <w:rPr>
          <w:i/>
          <w:iCs/>
        </w:rPr>
        <w:t xml:space="preserve"> Culture</w:t>
      </w:r>
      <w:r w:rsidR="00A30045" w:rsidRPr="0053335D">
        <w:t xml:space="preserve">, produit par Margaret Lazarus et Renner </w:t>
      </w:r>
      <w:proofErr w:type="spellStart"/>
      <w:r w:rsidR="00A30045" w:rsidRPr="0053335D">
        <w:t>Wunderlich</w:t>
      </w:r>
      <w:proofErr w:type="spellEnd"/>
      <w:r w:rsidR="00A30045" w:rsidRPr="0053335D">
        <w:t xml:space="preserve"> (États-Unis, 1975, 1983</w:t>
      </w:r>
      <w:r w:rsidR="00A30045" w:rsidRPr="0053335D">
        <w:rPr>
          <w:vertAlign w:val="superscript"/>
        </w:rPr>
        <w:t>2</w:t>
      </w:r>
      <w:r w:rsidR="00A30045" w:rsidRPr="0053335D">
        <w:t>), consacré aux viols en général, quel que soit le genre de la personne qui en est victime.</w:t>
      </w:r>
    </w:p>
  </w:footnote>
  <w:footnote w:id="13">
    <w:p w14:paraId="59E1A883" w14:textId="34E80A5D" w:rsidR="00E2668B" w:rsidRPr="0053335D" w:rsidRDefault="00E2668B" w:rsidP="0053335D">
      <w:pPr>
        <w:pStyle w:val="Notedebasdepage"/>
        <w:jc w:val="both"/>
      </w:pPr>
      <w:r w:rsidRPr="0053335D">
        <w:rPr>
          <w:rStyle w:val="Appelnotedebasdep"/>
        </w:rPr>
        <w:footnoteRef/>
      </w:r>
      <w:r w:rsidRPr="0053335D">
        <w:t xml:space="preserve"> </w:t>
      </w:r>
      <w:r w:rsidRPr="0053335D">
        <w:rPr>
          <w:i/>
          <w:iCs/>
        </w:rPr>
        <w:t>Lettre aux évêques de l’Église catholique sur la collaboration de l’homme et de la femme dans l’Église et dans le monde</w:t>
      </w:r>
      <w:r w:rsidRPr="0053335D">
        <w:t xml:space="preserve">, datée du 31 mai 2004, signée par le préfet de la Congrégation pour la Doctrine de la Foi, Joseph Ratzinger, et par son secrétaire, Angelo Amato et approuvée par le pape Jean-Paul </w:t>
      </w:r>
      <w:r w:rsidRPr="0053335D">
        <w:rPr>
          <w:smallCaps/>
        </w:rPr>
        <w:t>ii</w:t>
      </w:r>
      <w:r w:rsidRPr="0053335D">
        <w:t xml:space="preserve">. Texte disponible en ligne en traduction française sur le site du Vatican. URL : </w:t>
      </w:r>
      <w:hyperlink r:id="rId2" w:history="1">
        <w:r w:rsidRPr="0053335D">
          <w:rPr>
            <w:rStyle w:val="Lienhypertexte"/>
          </w:rPr>
          <w:t>https://www.vatican.va/roman_curia/congregations/cfaith/documents/rc_con_cfaith_doc_20040731_collaboration_fr.html</w:t>
        </w:r>
      </w:hyperlink>
      <w:r w:rsidRPr="0053335D">
        <w:t xml:space="preserve"> Page consultée le 5 décembre 2025.</w:t>
      </w:r>
    </w:p>
  </w:footnote>
  <w:footnote w:id="14">
    <w:p w14:paraId="7B38FBD6" w14:textId="3AD10183" w:rsidR="004C44DF" w:rsidRPr="0053335D" w:rsidRDefault="004C44DF" w:rsidP="0053335D">
      <w:pPr>
        <w:pStyle w:val="Notedebasdepage"/>
        <w:jc w:val="both"/>
      </w:pPr>
      <w:r w:rsidRPr="0053335D">
        <w:rPr>
          <w:rStyle w:val="Appelnotedebasdep"/>
        </w:rPr>
        <w:footnoteRef/>
      </w:r>
      <w:r w:rsidRPr="0053335D">
        <w:t xml:space="preserve"> </w:t>
      </w:r>
      <w:r w:rsidR="00E2668B" w:rsidRPr="0053335D">
        <w:rPr>
          <w:i/>
          <w:iCs/>
        </w:rPr>
        <w:t>Lettre aux évêques de l’Église… dans le monde</w:t>
      </w:r>
      <w:r w:rsidR="00E2668B" w:rsidRPr="0053335D">
        <w:t>, 2.</w:t>
      </w:r>
      <w:r w:rsidR="00E2668B" w:rsidRPr="0053335D">
        <w:rPr>
          <w:i/>
          <w:iCs/>
        </w:rPr>
        <w:t xml:space="preserve"> </w:t>
      </w:r>
      <w:r w:rsidRPr="0053335D">
        <w:t>Je souligne.</w:t>
      </w:r>
      <w:r w:rsidR="00E2668B" w:rsidRPr="0053335D">
        <w:t xml:space="preserve"> La phrase figure dans une section intitulée « Le problème ». </w:t>
      </w:r>
    </w:p>
  </w:footnote>
  <w:footnote w:id="15">
    <w:p w14:paraId="2A8A45F8" w14:textId="3DF65DC6" w:rsidR="00E2668B" w:rsidRPr="0053335D" w:rsidRDefault="00E2668B" w:rsidP="0053335D">
      <w:pPr>
        <w:pStyle w:val="Notedebasdepage"/>
        <w:jc w:val="both"/>
      </w:pPr>
      <w:r w:rsidRPr="0053335D">
        <w:rPr>
          <w:rStyle w:val="Appelnotedebasdep"/>
        </w:rPr>
        <w:footnoteRef/>
      </w:r>
      <w:r w:rsidRPr="0053335D">
        <w:t xml:space="preserve"> </w:t>
      </w:r>
      <w:r w:rsidRPr="0053335D">
        <w:rPr>
          <w:i/>
          <w:iCs/>
        </w:rPr>
        <w:t>Lettre aux évêques de l’Église… dans le monde</w:t>
      </w:r>
      <w:r w:rsidRPr="0053335D">
        <w:t>, 2.</w:t>
      </w:r>
    </w:p>
  </w:footnote>
  <w:footnote w:id="16">
    <w:p w14:paraId="113A35D8" w14:textId="382802B6" w:rsidR="00E2668B" w:rsidRPr="0053335D" w:rsidRDefault="00E2668B" w:rsidP="0053335D">
      <w:pPr>
        <w:pStyle w:val="Notedebasdepage"/>
        <w:jc w:val="both"/>
      </w:pPr>
      <w:r w:rsidRPr="0053335D">
        <w:rPr>
          <w:rStyle w:val="Appelnotedebasdep"/>
        </w:rPr>
        <w:footnoteRef/>
      </w:r>
      <w:r w:rsidRPr="0053335D">
        <w:t xml:space="preserve"> </w:t>
      </w:r>
      <w:r w:rsidR="00621DCA" w:rsidRPr="0053335D">
        <w:t xml:space="preserve">Cardinal Martino, </w:t>
      </w:r>
      <w:r w:rsidR="00621DCA" w:rsidRPr="0053335D">
        <w:rPr>
          <w:i/>
          <w:iCs/>
        </w:rPr>
        <w:t>Compendium de la doctrine sociale de l’Église</w:t>
      </w:r>
      <w:r w:rsidR="00621DCA" w:rsidRPr="0053335D">
        <w:t xml:space="preserve">, disponible en français sur le site du Vatican. URL : </w:t>
      </w:r>
      <w:hyperlink r:id="rId3" w:history="1">
        <w:r w:rsidR="00621DCA" w:rsidRPr="0053335D">
          <w:rPr>
            <w:rStyle w:val="Lienhypertexte"/>
          </w:rPr>
          <w:t>https://www.vatican.va/roman_curia/pontifical_councils/justpeace/documents/rc_pc_justpeace_doc_20060526_compendio-dott-soc_fr.html</w:t>
        </w:r>
      </w:hyperlink>
      <w:r w:rsidR="00621DCA" w:rsidRPr="0053335D">
        <w:t xml:space="preserve"> Page consultée le 5 décembre 2025.</w:t>
      </w:r>
    </w:p>
  </w:footnote>
  <w:footnote w:id="17">
    <w:p w14:paraId="7800B835" w14:textId="6F1F2AFF" w:rsidR="00E2668B" w:rsidRPr="0053335D" w:rsidRDefault="00E2668B" w:rsidP="0053335D">
      <w:pPr>
        <w:pStyle w:val="Notedebasdepage"/>
        <w:jc w:val="both"/>
      </w:pPr>
      <w:r w:rsidRPr="0053335D">
        <w:rPr>
          <w:rStyle w:val="Appelnotedebasdep"/>
        </w:rPr>
        <w:footnoteRef/>
      </w:r>
      <w:r w:rsidRPr="0053335D">
        <w:t xml:space="preserve"> </w:t>
      </w:r>
      <w:r w:rsidR="00621DCA" w:rsidRPr="0053335D">
        <w:t xml:space="preserve">Le </w:t>
      </w:r>
      <w:r w:rsidR="00621DCA" w:rsidRPr="0053335D">
        <w:rPr>
          <w:i/>
          <w:iCs/>
        </w:rPr>
        <w:t>Compendium</w:t>
      </w:r>
      <w:r w:rsidRPr="0053335D">
        <w:rPr>
          <w:i/>
          <w:iCs/>
        </w:rPr>
        <w:t xml:space="preserve"> </w:t>
      </w:r>
      <w:r w:rsidRPr="0053335D">
        <w:t xml:space="preserve">cite ici l’encyclique </w:t>
      </w:r>
      <w:proofErr w:type="spellStart"/>
      <w:r w:rsidRPr="0053335D">
        <w:rPr>
          <w:i/>
          <w:iCs/>
        </w:rPr>
        <w:t>Laborem</w:t>
      </w:r>
      <w:proofErr w:type="spellEnd"/>
      <w:r w:rsidRPr="0053335D">
        <w:rPr>
          <w:i/>
          <w:iCs/>
        </w:rPr>
        <w:t xml:space="preserve"> </w:t>
      </w:r>
      <w:proofErr w:type="spellStart"/>
      <w:r w:rsidRPr="0053335D">
        <w:rPr>
          <w:i/>
          <w:iCs/>
        </w:rPr>
        <w:t>exercens</w:t>
      </w:r>
      <w:proofErr w:type="spellEnd"/>
      <w:r w:rsidRPr="0053335D">
        <w:t xml:space="preserve"> du pape Jean-Paul </w:t>
      </w:r>
      <w:r w:rsidRPr="0053335D">
        <w:rPr>
          <w:smallCaps/>
        </w:rPr>
        <w:t>ii</w:t>
      </w:r>
      <w:r w:rsidRPr="0053335D">
        <w:t xml:space="preserve"> (19). </w:t>
      </w:r>
    </w:p>
  </w:footnote>
  <w:footnote w:id="18">
    <w:p w14:paraId="6F551EC9" w14:textId="26FE92CB" w:rsidR="00621DCA" w:rsidRPr="0053335D" w:rsidRDefault="00621DCA" w:rsidP="0053335D">
      <w:pPr>
        <w:pStyle w:val="Notedebasdepage"/>
        <w:jc w:val="both"/>
      </w:pPr>
      <w:r w:rsidRPr="0053335D">
        <w:rPr>
          <w:rStyle w:val="Appelnotedebasdep"/>
        </w:rPr>
        <w:footnoteRef/>
      </w:r>
      <w:r w:rsidRPr="0053335D">
        <w:t xml:space="preserve"> </w:t>
      </w:r>
      <w:r w:rsidRPr="0053335D">
        <w:rPr>
          <w:i/>
          <w:iCs/>
        </w:rPr>
        <w:t>Lettre aux évêques de l’Église… dans le monde</w:t>
      </w:r>
      <w:r w:rsidRPr="0053335D">
        <w:t>, 4.</w:t>
      </w:r>
    </w:p>
  </w:footnote>
  <w:footnote w:id="19">
    <w:p w14:paraId="3FC943CC" w14:textId="130BBED9" w:rsidR="00621DCA" w:rsidRPr="0053335D" w:rsidRDefault="00621DCA" w:rsidP="0053335D">
      <w:pPr>
        <w:pStyle w:val="Notedebasdepage"/>
        <w:jc w:val="both"/>
      </w:pPr>
      <w:r w:rsidRPr="0053335D">
        <w:rPr>
          <w:rStyle w:val="Appelnotedebasdep"/>
        </w:rPr>
        <w:footnoteRef/>
      </w:r>
      <w:r w:rsidRPr="0053335D">
        <w:t xml:space="preserve"> </w:t>
      </w:r>
      <w:r w:rsidR="00A0049B" w:rsidRPr="0053335D">
        <w:rPr>
          <w:i/>
          <w:iCs/>
        </w:rPr>
        <w:t>Ibid</w:t>
      </w:r>
      <w:r w:rsidR="00A0049B" w:rsidRPr="0053335D">
        <w:t>.</w:t>
      </w:r>
    </w:p>
  </w:footnote>
  <w:footnote w:id="20">
    <w:p w14:paraId="34EFD0C6" w14:textId="73E2C619" w:rsidR="00621DCA" w:rsidRPr="0053335D" w:rsidRDefault="00621DCA" w:rsidP="0053335D">
      <w:pPr>
        <w:pStyle w:val="Notedebasdepage"/>
        <w:jc w:val="both"/>
      </w:pPr>
      <w:r w:rsidRPr="0053335D">
        <w:rPr>
          <w:rStyle w:val="Appelnotedebasdep"/>
        </w:rPr>
        <w:footnoteRef/>
      </w:r>
      <w:r w:rsidRPr="0053335D">
        <w:t xml:space="preserve"> </w:t>
      </w:r>
      <w:r w:rsidR="00A0049B" w:rsidRPr="0053335D">
        <w:rPr>
          <w:i/>
          <w:iCs/>
        </w:rPr>
        <w:t>Ibid</w:t>
      </w:r>
      <w:r w:rsidR="00A0049B" w:rsidRPr="0053335D">
        <w:t>.</w:t>
      </w:r>
    </w:p>
  </w:footnote>
  <w:footnote w:id="21">
    <w:p w14:paraId="22F98B2B" w14:textId="17F616ED" w:rsidR="007927D3" w:rsidRPr="0053335D" w:rsidRDefault="007927D3" w:rsidP="0053335D">
      <w:pPr>
        <w:pStyle w:val="Notedebasdepage"/>
        <w:jc w:val="both"/>
      </w:pPr>
      <w:r w:rsidRPr="0053335D">
        <w:rPr>
          <w:rStyle w:val="Appelnotedebasdep"/>
        </w:rPr>
        <w:footnoteRef/>
      </w:r>
      <w:r w:rsidRPr="0053335D">
        <w:t xml:space="preserve"> </w:t>
      </w:r>
      <w:r w:rsidRPr="0053335D">
        <w:t xml:space="preserve">Cardinal Martino, </w:t>
      </w:r>
      <w:r w:rsidRPr="0053335D">
        <w:rPr>
          <w:i/>
          <w:iCs/>
        </w:rPr>
        <w:t>Compendium de la doctrine sociale de l’Église</w:t>
      </w:r>
      <w:r w:rsidRPr="0053335D">
        <w:t xml:space="preserve">, </w:t>
      </w:r>
      <w:r w:rsidRPr="0053335D">
        <w:rPr>
          <w:i/>
          <w:iCs/>
        </w:rPr>
        <w:t xml:space="preserve">op. </w:t>
      </w:r>
      <w:proofErr w:type="spellStart"/>
      <w:r w:rsidRPr="0053335D">
        <w:rPr>
          <w:i/>
          <w:iCs/>
        </w:rPr>
        <w:t>cit</w:t>
      </w:r>
      <w:proofErr w:type="spellEnd"/>
      <w:r w:rsidRPr="0053335D">
        <w:rPr>
          <w:i/>
          <w:iCs/>
        </w:rPr>
        <w:t>.</w:t>
      </w:r>
      <w:r w:rsidRPr="0053335D">
        <w:t xml:space="preserve">, </w:t>
      </w:r>
      <w:r w:rsidR="00E17952" w:rsidRPr="0053335D">
        <w:t>36.</w:t>
      </w:r>
    </w:p>
  </w:footnote>
  <w:footnote w:id="22">
    <w:p w14:paraId="3C9AAE9B" w14:textId="377A3320" w:rsidR="00E17952" w:rsidRPr="0053335D" w:rsidRDefault="00E17952" w:rsidP="0053335D">
      <w:pPr>
        <w:pStyle w:val="Notedebasdepage"/>
        <w:jc w:val="both"/>
      </w:pPr>
      <w:r w:rsidRPr="0053335D">
        <w:rPr>
          <w:rStyle w:val="Appelnotedebasdep"/>
        </w:rPr>
        <w:footnoteRef/>
      </w:r>
      <w:r w:rsidRPr="0053335D">
        <w:t xml:space="preserve"> </w:t>
      </w:r>
      <w:r w:rsidRPr="0053335D">
        <w:t xml:space="preserve">Cardinal Martino, </w:t>
      </w:r>
      <w:r w:rsidRPr="0053335D">
        <w:rPr>
          <w:i/>
          <w:iCs/>
        </w:rPr>
        <w:t>Compendium de la doctrine sociale de l’Église</w:t>
      </w:r>
      <w:r w:rsidRPr="0053335D">
        <w:t xml:space="preserve">, </w:t>
      </w:r>
      <w:r w:rsidRPr="0053335D">
        <w:rPr>
          <w:i/>
          <w:iCs/>
        </w:rPr>
        <w:t xml:space="preserve">op. </w:t>
      </w:r>
      <w:proofErr w:type="spellStart"/>
      <w:r w:rsidRPr="0053335D">
        <w:rPr>
          <w:i/>
          <w:iCs/>
        </w:rPr>
        <w:t>cit</w:t>
      </w:r>
      <w:proofErr w:type="spellEnd"/>
      <w:r w:rsidRPr="0053335D">
        <w:rPr>
          <w:i/>
          <w:iCs/>
        </w:rPr>
        <w:t>.</w:t>
      </w:r>
      <w:r w:rsidRPr="0053335D">
        <w:t xml:space="preserve">, </w:t>
      </w:r>
      <w:r w:rsidR="007C2BE0" w:rsidRPr="0053335D">
        <w:t>113</w:t>
      </w:r>
      <w:r w:rsidRPr="0053335D">
        <w:t>.</w:t>
      </w:r>
    </w:p>
  </w:footnote>
  <w:footnote w:id="23">
    <w:p w14:paraId="71C086EE" w14:textId="51C3D10A" w:rsidR="00E17952" w:rsidRPr="0053335D" w:rsidRDefault="00E17952" w:rsidP="0053335D">
      <w:pPr>
        <w:pStyle w:val="Notedebasdepage"/>
        <w:jc w:val="both"/>
      </w:pPr>
      <w:r w:rsidRPr="0053335D">
        <w:rPr>
          <w:rStyle w:val="Appelnotedebasdep"/>
        </w:rPr>
        <w:footnoteRef/>
      </w:r>
      <w:r w:rsidRPr="0053335D">
        <w:t xml:space="preserve"> </w:t>
      </w:r>
      <w:r w:rsidRPr="0053335D">
        <w:t xml:space="preserve">Cardinal Martino, </w:t>
      </w:r>
      <w:r w:rsidRPr="0053335D">
        <w:rPr>
          <w:i/>
          <w:iCs/>
        </w:rPr>
        <w:t>Compendium de la doctrine sociale de l’Église</w:t>
      </w:r>
      <w:r w:rsidRPr="0053335D">
        <w:t xml:space="preserve">, </w:t>
      </w:r>
      <w:r w:rsidRPr="0053335D">
        <w:rPr>
          <w:i/>
          <w:iCs/>
        </w:rPr>
        <w:t>op. cit.</w:t>
      </w:r>
      <w:r w:rsidRPr="0053335D">
        <w:t xml:space="preserve">, </w:t>
      </w:r>
      <w:r w:rsidR="007C2BE0" w:rsidRPr="0053335D">
        <w:t>270</w:t>
      </w:r>
      <w:r w:rsidRPr="0053335D">
        <w:t>.</w:t>
      </w:r>
    </w:p>
  </w:footnote>
  <w:footnote w:id="24">
    <w:p w14:paraId="21EAE626" w14:textId="353C64C7" w:rsidR="00E17952" w:rsidRPr="0053335D" w:rsidRDefault="00E17952" w:rsidP="0053335D">
      <w:pPr>
        <w:pStyle w:val="Notedebasdepage"/>
        <w:jc w:val="both"/>
      </w:pPr>
      <w:r w:rsidRPr="0053335D">
        <w:rPr>
          <w:rStyle w:val="Appelnotedebasdep"/>
        </w:rPr>
        <w:footnoteRef/>
      </w:r>
      <w:r w:rsidRPr="0053335D">
        <w:t xml:space="preserve"> </w:t>
      </w:r>
      <w:r w:rsidRPr="0053335D">
        <w:t xml:space="preserve">Cardinal Martino, </w:t>
      </w:r>
      <w:r w:rsidRPr="0053335D">
        <w:rPr>
          <w:i/>
          <w:iCs/>
        </w:rPr>
        <w:t>Compendium de la doctrine sociale de l’Église</w:t>
      </w:r>
      <w:r w:rsidRPr="0053335D">
        <w:t xml:space="preserve">, </w:t>
      </w:r>
      <w:r w:rsidRPr="0053335D">
        <w:rPr>
          <w:i/>
          <w:iCs/>
        </w:rPr>
        <w:t>op. cit.</w:t>
      </w:r>
      <w:r w:rsidRPr="0053335D">
        <w:t xml:space="preserve">, </w:t>
      </w:r>
      <w:r w:rsidR="007C2BE0" w:rsidRPr="0053335D">
        <w:t>270</w:t>
      </w:r>
      <w:r w:rsidRPr="0053335D">
        <w:t>.</w:t>
      </w:r>
    </w:p>
  </w:footnote>
  <w:footnote w:id="25">
    <w:p w14:paraId="4FE89ED4" w14:textId="77777777" w:rsidR="0065030C" w:rsidRPr="0053335D" w:rsidRDefault="0065030C" w:rsidP="0053335D">
      <w:pPr>
        <w:pStyle w:val="Notedebasdepage"/>
        <w:jc w:val="both"/>
      </w:pPr>
      <w:r w:rsidRPr="0053335D">
        <w:rPr>
          <w:rStyle w:val="Appelnotedebasdep"/>
        </w:rPr>
        <w:footnoteRef/>
      </w:r>
      <w:r w:rsidRPr="0053335D">
        <w:t xml:space="preserve"> </w:t>
      </w:r>
      <w:r w:rsidRPr="0053335D">
        <w:rPr>
          <w:i/>
          <w:iCs/>
        </w:rPr>
        <w:t>Trésor de la langue française informatisé</w:t>
      </w:r>
      <w:r w:rsidRPr="0053335D">
        <w:t xml:space="preserve">, « Lire 1 », sens I. B. 1. </w:t>
      </w:r>
      <w:r w:rsidRPr="0053335D">
        <w:rPr>
          <w:lang w:val="nl-BE"/>
        </w:rPr>
        <w:t xml:space="preserve">URL : </w:t>
      </w:r>
      <w:hyperlink r:id="rId4" w:history="1">
        <w:r w:rsidRPr="0053335D">
          <w:rPr>
            <w:rStyle w:val="Lienhypertexte"/>
            <w:lang w:val="nl-BE"/>
          </w:rPr>
          <w:t>http://stella.atilf.fr/Dendien/scripts/tlfiv5/visusel.exe?11;s=3609752715;r=1;nat=;sol=0</w:t>
        </w:r>
      </w:hyperlink>
      <w:r w:rsidRPr="0053335D">
        <w:rPr>
          <w:lang w:val="nl-BE"/>
        </w:rPr>
        <w:t xml:space="preserve">;. </w:t>
      </w:r>
      <w:r w:rsidRPr="0053335D">
        <w:t xml:space="preserve">Page consultée le 17 décembre 2025. On retrouve cette idée d’un sens </w:t>
      </w:r>
      <w:r w:rsidRPr="0053335D">
        <w:rPr>
          <w:i/>
          <w:iCs/>
        </w:rPr>
        <w:t>contenu</w:t>
      </w:r>
      <w:r w:rsidRPr="0053335D">
        <w:t xml:space="preserve"> dans certains emplois figurés de « lire » : « Lire dans le cœur, dans les pensées. » (Sens II. B. dans la même rubrique.)</w:t>
      </w:r>
    </w:p>
  </w:footnote>
  <w:footnote w:id="26">
    <w:p w14:paraId="0C7D7DD3" w14:textId="3916B8A1" w:rsidR="006B4D4D" w:rsidRPr="0053335D" w:rsidRDefault="006B4D4D" w:rsidP="0053335D">
      <w:pPr>
        <w:pStyle w:val="Notedebasdepage"/>
        <w:jc w:val="both"/>
      </w:pPr>
      <w:r w:rsidRPr="0053335D">
        <w:rPr>
          <w:rStyle w:val="Appelnotedebasdep"/>
        </w:rPr>
        <w:footnoteRef/>
      </w:r>
      <w:r w:rsidRPr="0053335D">
        <w:t xml:space="preserve"> </w:t>
      </w:r>
      <w:r w:rsidRPr="0053335D">
        <w:t xml:space="preserve">Jean de La Fontaine, </w:t>
      </w:r>
      <w:r w:rsidRPr="0053335D">
        <w:rPr>
          <w:i/>
          <w:iCs/>
        </w:rPr>
        <w:t>Fables</w:t>
      </w:r>
      <w:r w:rsidRPr="0053335D">
        <w:t xml:space="preserve">, « À Monsieur Le Dauphin », avant le début du livre </w:t>
      </w:r>
      <w:r w:rsidRPr="0053335D">
        <w:rPr>
          <w:smallCaps/>
        </w:rPr>
        <w:t>i</w:t>
      </w:r>
      <w:r w:rsidRPr="0053335D">
        <w:t xml:space="preserve">, édition en ligne, URL : </w:t>
      </w:r>
      <w:hyperlink r:id="rId5" w:history="1">
        <w:r w:rsidRPr="0053335D">
          <w:rPr>
            <w:rStyle w:val="Lienhypertexte"/>
          </w:rPr>
          <w:t>https://www.vousnousils.fr/casden/pdf/id00255.pdf</w:t>
        </w:r>
      </w:hyperlink>
      <w:r w:rsidRPr="0053335D">
        <w:t xml:space="preserve"> ; page consultée le 12 décembre 2025, p. 27. On pourrait citer aussi dans « Le rat et l’huître » (neuvième fable du livre </w:t>
      </w:r>
      <w:r w:rsidRPr="0053335D">
        <w:rPr>
          <w:smallCaps/>
        </w:rPr>
        <w:t>viii</w:t>
      </w:r>
      <w:r w:rsidRPr="0053335D">
        <w:t xml:space="preserve">, p. 177) : « Cette fable contient plus d’un enseignement ». </w:t>
      </w:r>
    </w:p>
  </w:footnote>
  <w:footnote w:id="27">
    <w:p w14:paraId="209A3E17" w14:textId="65B658B0" w:rsidR="00C23088" w:rsidRPr="0053335D" w:rsidRDefault="00C23088" w:rsidP="0053335D">
      <w:pPr>
        <w:pStyle w:val="Notedebasdepage"/>
        <w:jc w:val="both"/>
      </w:pPr>
      <w:r w:rsidRPr="0053335D">
        <w:rPr>
          <w:rStyle w:val="Appelnotedebasdep"/>
        </w:rPr>
        <w:footnoteRef/>
      </w:r>
      <w:r w:rsidRPr="0053335D">
        <w:t xml:space="preserve"> </w:t>
      </w:r>
      <w:r w:rsidRPr="0053335D">
        <w:rPr>
          <w:i/>
          <w:iCs/>
        </w:rPr>
        <w:t>Programmes pour les cycles 2, 3, 4</w:t>
      </w:r>
      <w:r w:rsidRPr="0053335D">
        <w:t>, sur le site education.gouv.fr, p. 108. Je souligne.</w:t>
      </w:r>
    </w:p>
  </w:footnote>
  <w:footnote w:id="28">
    <w:p w14:paraId="1695FB52" w14:textId="61C5EBD5" w:rsidR="00C23088" w:rsidRPr="0053335D" w:rsidRDefault="00C23088" w:rsidP="0053335D">
      <w:pPr>
        <w:pStyle w:val="Notedebasdepage"/>
        <w:jc w:val="both"/>
      </w:pPr>
      <w:r w:rsidRPr="0053335D">
        <w:rPr>
          <w:rStyle w:val="Appelnotedebasdep"/>
        </w:rPr>
        <w:footnoteRef/>
      </w:r>
      <w:r w:rsidRPr="0053335D">
        <w:t xml:space="preserve"> </w:t>
      </w:r>
      <w:r w:rsidRPr="0053335D">
        <w:rPr>
          <w:i/>
          <w:iCs/>
        </w:rPr>
        <w:t>Ibid.</w:t>
      </w:r>
    </w:p>
  </w:footnote>
  <w:footnote w:id="29">
    <w:p w14:paraId="68DDD0B0" w14:textId="77777777" w:rsidR="00A0049B" w:rsidRPr="0053335D" w:rsidRDefault="00A0049B" w:rsidP="0053335D">
      <w:pPr>
        <w:pStyle w:val="Notedebasdepage"/>
        <w:jc w:val="both"/>
      </w:pPr>
      <w:r w:rsidRPr="0053335D">
        <w:rPr>
          <w:rStyle w:val="Appelnotedebasdep"/>
        </w:rPr>
        <w:footnoteRef/>
      </w:r>
      <w:r w:rsidRPr="0053335D">
        <w:t xml:space="preserve"> </w:t>
      </w:r>
      <w:r w:rsidRPr="0053335D">
        <w:t>« La compréhension est la finalité de toutes les lectures. » (</w:t>
      </w:r>
      <w:r w:rsidRPr="0053335D">
        <w:rPr>
          <w:i/>
          <w:iCs/>
        </w:rPr>
        <w:t>Programmes pour les cycles 2, 3, 4</w:t>
      </w:r>
      <w:r w:rsidRPr="0053335D">
        <w:t>, sur le site education.gouv.fr, p. 16). Lire, c’est « accéder au sens » d’un texte (</w:t>
      </w:r>
      <w:r w:rsidRPr="0053335D">
        <w:rPr>
          <w:i/>
          <w:iCs/>
        </w:rPr>
        <w:t xml:space="preserve">op. </w:t>
      </w:r>
      <w:proofErr w:type="spellStart"/>
      <w:r w:rsidRPr="0053335D">
        <w:rPr>
          <w:i/>
          <w:iCs/>
        </w:rPr>
        <w:t>cit</w:t>
      </w:r>
      <w:proofErr w:type="spellEnd"/>
      <w:r w:rsidRPr="0053335D">
        <w:rPr>
          <w:i/>
          <w:iCs/>
        </w:rPr>
        <w:t>.</w:t>
      </w:r>
      <w:r w:rsidRPr="0053335D">
        <w:t>, p. 107, et130). Dans le même document l’association de « compréhension » et « interprétation » revient à quatre reprises pour identifier le but de la lecture (p 107, 108 – deux fois – et 109).</w:t>
      </w:r>
    </w:p>
  </w:footnote>
  <w:footnote w:id="30">
    <w:p w14:paraId="5BC6EB26" w14:textId="7ECC46F7" w:rsidR="00270B47" w:rsidRPr="0053335D" w:rsidRDefault="00270B47" w:rsidP="0053335D">
      <w:pPr>
        <w:pStyle w:val="Notedebasdepage"/>
        <w:jc w:val="both"/>
      </w:pPr>
      <w:r w:rsidRPr="0053335D">
        <w:rPr>
          <w:rStyle w:val="Appelnotedebasdep"/>
        </w:rPr>
        <w:footnoteRef/>
      </w:r>
      <w:r w:rsidRPr="0053335D">
        <w:t xml:space="preserve"> </w:t>
      </w:r>
      <w:r w:rsidRPr="0053335D">
        <w:t xml:space="preserve">Voir l’excommunication mentionnée dans Congrégation pour la Doctrine de la Foi, </w:t>
      </w:r>
      <w:proofErr w:type="spellStart"/>
      <w:r w:rsidRPr="0053335D">
        <w:rPr>
          <w:i/>
          <w:iCs/>
        </w:rPr>
        <w:t>Decreto</w:t>
      </w:r>
      <w:proofErr w:type="spellEnd"/>
      <w:r w:rsidRPr="0053335D">
        <w:rPr>
          <w:i/>
          <w:iCs/>
        </w:rPr>
        <w:t xml:space="preserve"> </w:t>
      </w:r>
      <w:proofErr w:type="spellStart"/>
      <w:r w:rsidRPr="0053335D">
        <w:rPr>
          <w:i/>
          <w:iCs/>
        </w:rPr>
        <w:t>generale</w:t>
      </w:r>
      <w:proofErr w:type="spellEnd"/>
      <w:r w:rsidRPr="0053335D">
        <w:t xml:space="preserve">, </w:t>
      </w:r>
      <w:r w:rsidRPr="0053335D">
        <w:rPr>
          <w:i/>
          <w:iCs/>
        </w:rPr>
        <w:t xml:space="preserve">op. </w:t>
      </w:r>
      <w:proofErr w:type="spellStart"/>
      <w:r w:rsidRPr="0053335D">
        <w:rPr>
          <w:i/>
          <w:iCs/>
        </w:rPr>
        <w:t>cit</w:t>
      </w:r>
      <w:proofErr w:type="spellEnd"/>
      <w:r w:rsidRPr="0053335D">
        <w:rPr>
          <w:i/>
          <w:iCs/>
        </w:rPr>
        <w:t>.</w:t>
      </w:r>
    </w:p>
  </w:footnote>
  <w:footnote w:id="31">
    <w:p w14:paraId="47FFC0BA" w14:textId="4CA45A1C" w:rsidR="00A55BB5" w:rsidRPr="0053335D" w:rsidRDefault="00A55BB5" w:rsidP="0053335D">
      <w:pPr>
        <w:pStyle w:val="Notedebasdepage"/>
        <w:jc w:val="both"/>
      </w:pPr>
      <w:r w:rsidRPr="0053335D">
        <w:rPr>
          <w:rStyle w:val="Appelnotedebasdep"/>
        </w:rPr>
        <w:footnoteRef/>
      </w:r>
      <w:r w:rsidRPr="0053335D">
        <w:t xml:space="preserve"> </w:t>
      </w:r>
      <w:r w:rsidRPr="0053335D">
        <w:t xml:space="preserve">Pierre-Louis </w:t>
      </w:r>
      <w:proofErr w:type="spellStart"/>
      <w:r w:rsidRPr="0053335D">
        <w:t>Patoine</w:t>
      </w:r>
      <w:proofErr w:type="spellEnd"/>
      <w:r w:rsidRPr="0053335D">
        <w:t xml:space="preserve">, « Points de départ, lignes de fuite », </w:t>
      </w:r>
      <w:r w:rsidRPr="0053335D">
        <w:rPr>
          <w:i/>
          <w:iCs/>
        </w:rPr>
        <w:t>in</w:t>
      </w:r>
      <w:r w:rsidRPr="0053335D">
        <w:t xml:space="preserve"> Pierre-Louis </w:t>
      </w:r>
      <w:proofErr w:type="spellStart"/>
      <w:r w:rsidRPr="0053335D">
        <w:t>Patoine</w:t>
      </w:r>
      <w:proofErr w:type="spellEnd"/>
      <w:r w:rsidRPr="0053335D">
        <w:t xml:space="preserve">, </w:t>
      </w:r>
      <w:r w:rsidRPr="0053335D">
        <w:rPr>
          <w:i/>
          <w:iCs/>
        </w:rPr>
        <w:t xml:space="preserve">Corps/texte. Pour une théorie de la lecture empathique. Cooper, </w:t>
      </w:r>
      <w:proofErr w:type="spellStart"/>
      <w:r w:rsidRPr="0053335D">
        <w:rPr>
          <w:i/>
          <w:iCs/>
        </w:rPr>
        <w:t>Danielewski</w:t>
      </w:r>
      <w:proofErr w:type="spellEnd"/>
      <w:r w:rsidRPr="0053335D">
        <w:rPr>
          <w:i/>
          <w:iCs/>
        </w:rPr>
        <w:t xml:space="preserve">, Frey, </w:t>
      </w:r>
      <w:proofErr w:type="spellStart"/>
      <w:r w:rsidRPr="0053335D">
        <w:rPr>
          <w:i/>
          <w:iCs/>
        </w:rPr>
        <w:t>Palahniuk</w:t>
      </w:r>
      <w:proofErr w:type="spellEnd"/>
      <w:r w:rsidRPr="0053335D">
        <w:t xml:space="preserve">, Lyon, ENS Éditions, coll. « Signes », 2015. Publication en ligne. URL : </w:t>
      </w:r>
      <w:hyperlink r:id="rId6" w:history="1">
        <w:r w:rsidRPr="0053335D">
          <w:rPr>
            <w:rStyle w:val="Lienhypertexte"/>
          </w:rPr>
          <w:t>https://books.openedition.org/enseditions/4006?lang=fr</w:t>
        </w:r>
      </w:hyperlink>
      <w:r w:rsidRPr="0053335D">
        <w:t>. Page consultée le 9 décembre 2025.</w:t>
      </w:r>
    </w:p>
  </w:footnote>
  <w:footnote w:id="32">
    <w:p w14:paraId="442942F0" w14:textId="77F40236" w:rsidR="00A55BB5" w:rsidRPr="0053335D" w:rsidRDefault="00A55BB5" w:rsidP="0053335D">
      <w:pPr>
        <w:pStyle w:val="Notedebasdepage"/>
        <w:jc w:val="both"/>
      </w:pPr>
      <w:r w:rsidRPr="0053335D">
        <w:rPr>
          <w:rStyle w:val="Appelnotedebasdep"/>
        </w:rPr>
        <w:footnoteRef/>
      </w:r>
      <w:r w:rsidRPr="0053335D">
        <w:t xml:space="preserve"> </w:t>
      </w:r>
      <w:r w:rsidRPr="0053335D">
        <w:rPr>
          <w:i/>
          <w:iCs/>
        </w:rPr>
        <w:t>Ibid.</w:t>
      </w:r>
    </w:p>
  </w:footnote>
  <w:footnote w:id="33">
    <w:p w14:paraId="58D228A4" w14:textId="14D0CBA7" w:rsidR="00A55BB5" w:rsidRPr="0053335D" w:rsidRDefault="00A55BB5" w:rsidP="0053335D">
      <w:pPr>
        <w:pStyle w:val="Notedebasdepage"/>
        <w:jc w:val="both"/>
      </w:pPr>
      <w:r w:rsidRPr="0053335D">
        <w:rPr>
          <w:rStyle w:val="Appelnotedebasdep"/>
        </w:rPr>
        <w:footnoteRef/>
      </w:r>
      <w:r w:rsidRPr="0053335D">
        <w:t xml:space="preserve"> </w:t>
      </w:r>
      <w:r w:rsidRPr="0053335D">
        <w:rPr>
          <w:i/>
          <w:iCs/>
        </w:rPr>
        <w:t xml:space="preserve">Ibid. </w:t>
      </w:r>
      <w:r w:rsidRPr="0053335D">
        <w:t xml:space="preserve">Sur le refus de la conception </w:t>
      </w:r>
      <w:proofErr w:type="spellStart"/>
      <w:r w:rsidRPr="0053335D">
        <w:t>logocentrée</w:t>
      </w:r>
      <w:proofErr w:type="spellEnd"/>
      <w:r w:rsidRPr="0053335D">
        <w:t xml:space="preserve"> de la lecture, </w:t>
      </w:r>
      <w:r w:rsidRPr="0053335D">
        <w:rPr>
          <w:i/>
          <w:iCs/>
        </w:rPr>
        <w:t>cf</w:t>
      </w:r>
      <w:r w:rsidRPr="0053335D">
        <w:t xml:space="preserve">. aussi Susan Sontag, </w:t>
      </w:r>
      <w:r w:rsidRPr="0053335D">
        <w:rPr>
          <w:i/>
          <w:iCs/>
        </w:rPr>
        <w:t xml:space="preserve">Against </w:t>
      </w:r>
      <w:proofErr w:type="spellStart"/>
      <w:r w:rsidRPr="0053335D">
        <w:rPr>
          <w:i/>
          <w:iCs/>
        </w:rPr>
        <w:t>Interpretation</w:t>
      </w:r>
      <w:proofErr w:type="spellEnd"/>
      <w:r w:rsidRPr="0053335D">
        <w:rPr>
          <w:i/>
          <w:iCs/>
        </w:rPr>
        <w:t xml:space="preserve"> and </w:t>
      </w:r>
      <w:proofErr w:type="spellStart"/>
      <w:r w:rsidRPr="0053335D">
        <w:rPr>
          <w:i/>
          <w:iCs/>
        </w:rPr>
        <w:t>Other</w:t>
      </w:r>
      <w:proofErr w:type="spellEnd"/>
      <w:r w:rsidRPr="0053335D">
        <w:rPr>
          <w:i/>
          <w:iCs/>
        </w:rPr>
        <w:t xml:space="preserve"> </w:t>
      </w:r>
      <w:proofErr w:type="spellStart"/>
      <w:r w:rsidRPr="0053335D">
        <w:rPr>
          <w:i/>
          <w:iCs/>
        </w:rPr>
        <w:t>Essays</w:t>
      </w:r>
      <w:proofErr w:type="spellEnd"/>
      <w:r w:rsidRPr="0053335D">
        <w:t xml:space="preserve">, New York, Farrar, </w:t>
      </w:r>
      <w:proofErr w:type="spellStart"/>
      <w:r w:rsidRPr="0053335D">
        <w:t>Straus</w:t>
      </w:r>
      <w:proofErr w:type="spellEnd"/>
      <w:r w:rsidRPr="0053335D">
        <w:t xml:space="preserve"> &amp; Giroux, 1964.</w:t>
      </w:r>
    </w:p>
  </w:footnote>
  <w:footnote w:id="34">
    <w:p w14:paraId="1B36F4DF" w14:textId="6E64FB4D" w:rsidR="004D1BD1" w:rsidRPr="0053335D" w:rsidRDefault="004D1BD1" w:rsidP="0053335D">
      <w:pPr>
        <w:pStyle w:val="Notedebasdepage"/>
        <w:jc w:val="both"/>
      </w:pPr>
      <w:r w:rsidRPr="0053335D">
        <w:rPr>
          <w:rStyle w:val="Appelnotedebasdep"/>
        </w:rPr>
        <w:footnoteRef/>
      </w:r>
      <w:r w:rsidRPr="0053335D">
        <w:t xml:space="preserve"> </w:t>
      </w:r>
      <w:r w:rsidR="00CF4469" w:rsidRPr="0053335D">
        <w:t>Craig Thom</w:t>
      </w:r>
      <w:r w:rsidR="004305AC" w:rsidRPr="0053335D">
        <w:t>p</w:t>
      </w:r>
      <w:r w:rsidR="00CF4469" w:rsidRPr="0053335D">
        <w:t xml:space="preserve">son, </w:t>
      </w:r>
      <w:proofErr w:type="spellStart"/>
      <w:r w:rsidR="00CF4469" w:rsidRPr="0053335D">
        <w:rPr>
          <w:i/>
          <w:iCs/>
        </w:rPr>
        <w:t>Blankets</w:t>
      </w:r>
      <w:proofErr w:type="spellEnd"/>
      <w:r w:rsidR="00CF4469" w:rsidRPr="0053335D">
        <w:t xml:space="preserve">, Marietta-Portland, Top Shelf Productions, 2003. Traduction en français par Alain David sous le titre </w:t>
      </w:r>
      <w:proofErr w:type="spellStart"/>
      <w:r w:rsidR="00CF4469" w:rsidRPr="0053335D">
        <w:rPr>
          <w:i/>
          <w:iCs/>
        </w:rPr>
        <w:t>Blankets</w:t>
      </w:r>
      <w:proofErr w:type="spellEnd"/>
      <w:r w:rsidR="00CF4469" w:rsidRPr="0053335D">
        <w:rPr>
          <w:i/>
          <w:iCs/>
        </w:rPr>
        <w:t>, manteau de neige</w:t>
      </w:r>
      <w:r w:rsidR="00CF4469" w:rsidRPr="0053335D">
        <w:t>, Paris, Casterman, 2004.</w:t>
      </w:r>
    </w:p>
  </w:footnote>
  <w:footnote w:id="35">
    <w:p w14:paraId="2A5B66A6" w14:textId="0DBB8EF3" w:rsidR="00B03AC5" w:rsidRPr="0053335D" w:rsidRDefault="00B03AC5" w:rsidP="0053335D">
      <w:pPr>
        <w:pStyle w:val="Notedebasdepage"/>
        <w:jc w:val="both"/>
      </w:pPr>
      <w:r w:rsidRPr="0053335D">
        <w:rPr>
          <w:rStyle w:val="Appelnotedebasdep"/>
        </w:rPr>
        <w:footnoteRef/>
      </w:r>
      <w:r w:rsidRPr="0053335D">
        <w:t xml:space="preserve"> </w:t>
      </w:r>
      <w:r w:rsidRPr="0053335D">
        <w:rPr>
          <w:i/>
          <w:iCs/>
        </w:rPr>
        <w:t>Évangile selon Matthieu</w:t>
      </w:r>
      <w:r w:rsidRPr="0053335D">
        <w:t xml:space="preserve"> 9, 20-22 et </w:t>
      </w:r>
      <w:r w:rsidRPr="0053335D">
        <w:rPr>
          <w:i/>
          <w:iCs/>
        </w:rPr>
        <w:t>Évangile selon Marc</w:t>
      </w:r>
      <w:r w:rsidRPr="0053335D">
        <w:t xml:space="preserve"> 5, 25-34.</w:t>
      </w:r>
    </w:p>
  </w:footnote>
  <w:footnote w:id="36">
    <w:p w14:paraId="1A031061" w14:textId="514F6866" w:rsidR="00B03AC5" w:rsidRPr="0053335D" w:rsidRDefault="00B03AC5" w:rsidP="0053335D">
      <w:pPr>
        <w:pStyle w:val="Notedebasdepage"/>
        <w:jc w:val="both"/>
      </w:pPr>
      <w:r w:rsidRPr="0053335D">
        <w:rPr>
          <w:rStyle w:val="Appelnotedebasdep"/>
        </w:rPr>
        <w:footnoteRef/>
      </w:r>
      <w:r w:rsidRPr="0053335D">
        <w:t xml:space="preserve"> </w:t>
      </w:r>
      <w:r w:rsidRPr="0053335D">
        <w:t>Craig Thom</w:t>
      </w:r>
      <w:r w:rsidR="004305AC" w:rsidRPr="0053335D">
        <w:t>p</w:t>
      </w:r>
      <w:r w:rsidRPr="0053335D">
        <w:t xml:space="preserve">son, </w:t>
      </w:r>
      <w:proofErr w:type="spellStart"/>
      <w:r w:rsidRPr="0053335D">
        <w:rPr>
          <w:i/>
          <w:iCs/>
        </w:rPr>
        <w:t>Blankets</w:t>
      </w:r>
      <w:proofErr w:type="spellEnd"/>
      <w:r w:rsidRPr="0053335D">
        <w:rPr>
          <w:i/>
          <w:iCs/>
        </w:rPr>
        <w:t>, manteau de neige</w:t>
      </w:r>
      <w:r w:rsidRPr="0053335D">
        <w:t xml:space="preserve">, </w:t>
      </w:r>
      <w:r w:rsidRPr="0053335D">
        <w:rPr>
          <w:i/>
          <w:iCs/>
        </w:rPr>
        <w:t xml:space="preserve">op. </w:t>
      </w:r>
      <w:proofErr w:type="spellStart"/>
      <w:r w:rsidRPr="0053335D">
        <w:rPr>
          <w:i/>
          <w:iCs/>
        </w:rPr>
        <w:t>cit</w:t>
      </w:r>
      <w:proofErr w:type="spellEnd"/>
      <w:r w:rsidRPr="0053335D">
        <w:rPr>
          <w:i/>
          <w:iCs/>
        </w:rPr>
        <w:t>.</w:t>
      </w:r>
      <w:r w:rsidRPr="0053335D">
        <w:t xml:space="preserve"> </w:t>
      </w:r>
    </w:p>
  </w:footnote>
  <w:footnote w:id="37">
    <w:p w14:paraId="19D7A592" w14:textId="07EE3408" w:rsidR="00067608" w:rsidRPr="0053335D" w:rsidRDefault="00067608" w:rsidP="0053335D">
      <w:pPr>
        <w:pStyle w:val="Notedebasdepage"/>
        <w:jc w:val="both"/>
      </w:pPr>
      <w:r w:rsidRPr="0053335D">
        <w:rPr>
          <w:rStyle w:val="Appelnotedebasdep"/>
        </w:rPr>
        <w:footnoteRef/>
      </w:r>
      <w:r w:rsidRPr="0053335D">
        <w:t xml:space="preserve"> </w:t>
      </w:r>
      <w:r w:rsidR="00A0049B" w:rsidRPr="0053335D">
        <w:rPr>
          <w:i/>
          <w:iCs/>
        </w:rPr>
        <w:t>Ibid.</w:t>
      </w:r>
      <w:r w:rsidRPr="0053335D">
        <w:t xml:space="preserve"> </w:t>
      </w:r>
    </w:p>
  </w:footnote>
  <w:footnote w:id="38">
    <w:p w14:paraId="10233EA8" w14:textId="68631405" w:rsidR="00067608" w:rsidRPr="0053335D" w:rsidRDefault="00067608" w:rsidP="0053335D">
      <w:pPr>
        <w:pStyle w:val="Notedebasdepage"/>
        <w:jc w:val="both"/>
      </w:pPr>
      <w:r w:rsidRPr="0053335D">
        <w:rPr>
          <w:rStyle w:val="Appelnotedebasdep"/>
        </w:rPr>
        <w:footnoteRef/>
      </w:r>
      <w:r w:rsidRPr="0053335D">
        <w:t xml:space="preserve"> </w:t>
      </w:r>
      <w:r w:rsidRPr="0053335D">
        <w:rPr>
          <w:i/>
          <w:iCs/>
        </w:rPr>
        <w:t>Évangile selon Marc</w:t>
      </w:r>
      <w:r w:rsidRPr="0053335D">
        <w:t xml:space="preserve"> 5, 30. Le détail de la puissance sortie de Jésus est donnée par le narrateur de l’</w:t>
      </w:r>
      <w:r w:rsidRPr="0053335D">
        <w:rPr>
          <w:i/>
          <w:iCs/>
        </w:rPr>
        <w:t>Évangile selon Marc</w:t>
      </w:r>
      <w:r w:rsidRPr="0053335D">
        <w:t xml:space="preserve"> dans le même verset mais il n’apparaît pas dans les mots de Jésus. On ne trouve pas ces éléments dans la version matthéenne, où Jésus dit « Prends courage, fille, ta confiance t’a sauvée. » (</w:t>
      </w:r>
      <w:r w:rsidRPr="0053335D">
        <w:rPr>
          <w:i/>
          <w:iCs/>
        </w:rPr>
        <w:t>Évangile selon Matthieu</w:t>
      </w:r>
      <w:r w:rsidRPr="0053335D">
        <w:t xml:space="preserve"> 9, 22). </w:t>
      </w:r>
    </w:p>
  </w:footnote>
  <w:footnote w:id="39">
    <w:p w14:paraId="51E0FD51" w14:textId="669E53B4" w:rsidR="00A55BB5" w:rsidRPr="0053335D" w:rsidRDefault="00A55BB5" w:rsidP="0053335D">
      <w:pPr>
        <w:pStyle w:val="Notedebasdepage"/>
        <w:jc w:val="both"/>
      </w:pPr>
      <w:r w:rsidRPr="0053335D">
        <w:rPr>
          <w:rStyle w:val="Appelnotedebasdep"/>
        </w:rPr>
        <w:footnoteRef/>
      </w:r>
      <w:r w:rsidRPr="0053335D">
        <w:t xml:space="preserve"> </w:t>
      </w:r>
      <w:r w:rsidR="004E632B" w:rsidRPr="0053335D">
        <w:t xml:space="preserve">Tristan Garcia, </w:t>
      </w:r>
      <w:r w:rsidR="004E632B" w:rsidRPr="0053335D">
        <w:rPr>
          <w:i/>
          <w:iCs/>
        </w:rPr>
        <w:t>Nous</w:t>
      </w:r>
      <w:r w:rsidR="004E632B" w:rsidRPr="0053335D">
        <w:t xml:space="preserve">, Paris, Grasset, 2016, p. 113. Cité dans Andrei </w:t>
      </w:r>
      <w:proofErr w:type="spellStart"/>
      <w:r w:rsidR="004E632B" w:rsidRPr="0053335D">
        <w:t>Minzetanu</w:t>
      </w:r>
      <w:proofErr w:type="spellEnd"/>
      <w:r w:rsidR="004E632B" w:rsidRPr="0053335D">
        <w:t xml:space="preserve">, « La lecture comme événement », </w:t>
      </w:r>
      <w:r w:rsidR="004E632B" w:rsidRPr="0053335D">
        <w:rPr>
          <w:i/>
          <w:iCs/>
        </w:rPr>
        <w:t>Littérature</w:t>
      </w:r>
      <w:r w:rsidR="004E632B" w:rsidRPr="0053335D">
        <w:t xml:space="preserve">, 187, 3, 2017, p. 97-110, note </w:t>
      </w:r>
      <w:r w:rsidR="00C80CCB" w:rsidRPr="0053335D">
        <w:t>62 p. 107.</w:t>
      </w:r>
    </w:p>
  </w:footnote>
  <w:footnote w:id="40">
    <w:p w14:paraId="4501D5A8" w14:textId="55BA3026" w:rsidR="005B54FA" w:rsidRPr="0053335D" w:rsidRDefault="005B54FA" w:rsidP="0053335D">
      <w:pPr>
        <w:pStyle w:val="Notedebasdepage"/>
        <w:jc w:val="both"/>
      </w:pPr>
      <w:r w:rsidRPr="0053335D">
        <w:rPr>
          <w:rStyle w:val="Appelnotedebasdep"/>
        </w:rPr>
        <w:footnoteRef/>
      </w:r>
      <w:r w:rsidRPr="0053335D">
        <w:t xml:space="preserve"> </w:t>
      </w:r>
      <w:r w:rsidR="00C80CCB" w:rsidRPr="0053335D">
        <w:t xml:space="preserve">Michel Tremblay, </w:t>
      </w:r>
      <w:r w:rsidR="00C80CCB" w:rsidRPr="0053335D">
        <w:rPr>
          <w:i/>
          <w:iCs/>
        </w:rPr>
        <w:t>Un ange cornu avec des ailes en tôle</w:t>
      </w:r>
      <w:r w:rsidR="00C80CCB" w:rsidRPr="0053335D">
        <w:t xml:space="preserve">, Montréal-Arles, </w:t>
      </w:r>
      <w:proofErr w:type="spellStart"/>
      <w:r w:rsidR="00C80CCB" w:rsidRPr="0053335D">
        <w:t>Leméac</w:t>
      </w:r>
      <w:proofErr w:type="spellEnd"/>
      <w:r w:rsidR="00C80CCB" w:rsidRPr="0053335D">
        <w:t>-Actes Sud, 1994 p. 211. Cité dans Gérard Langlade, « Événement de lecture et reconfiguration des œuvres », Fabula / Les colloques, L’héritage littéraire de Paul Ricœur (</w:t>
      </w:r>
      <w:proofErr w:type="spellStart"/>
      <w:r w:rsidR="00C80CCB" w:rsidRPr="0053335D">
        <w:t>dir</w:t>
      </w:r>
      <w:proofErr w:type="spellEnd"/>
      <w:r w:rsidR="00C80CCB" w:rsidRPr="0053335D">
        <w:t>. Micheline Cambron), URL : http://www.fabula.org/colloques/document1922.php, page consultée le 20 décembre 2025.</w:t>
      </w:r>
    </w:p>
  </w:footnote>
  <w:footnote w:id="41">
    <w:p w14:paraId="27A69537" w14:textId="729C9651" w:rsidR="00C80CCB" w:rsidRPr="0053335D" w:rsidRDefault="00C80CCB" w:rsidP="0053335D">
      <w:pPr>
        <w:pStyle w:val="Notedebasdepage"/>
        <w:jc w:val="both"/>
      </w:pPr>
      <w:r w:rsidRPr="0053335D">
        <w:rPr>
          <w:rStyle w:val="Appelnotedebasdep"/>
        </w:rPr>
        <w:footnoteRef/>
      </w:r>
      <w:r w:rsidRPr="0053335D">
        <w:t xml:space="preserve"> </w:t>
      </w:r>
      <w:r w:rsidRPr="0053335D">
        <w:t xml:space="preserve">Voir Andrei </w:t>
      </w:r>
      <w:proofErr w:type="spellStart"/>
      <w:r w:rsidRPr="0053335D">
        <w:t>Minzetanu</w:t>
      </w:r>
      <w:proofErr w:type="spellEnd"/>
      <w:r w:rsidRPr="0053335D">
        <w:t xml:space="preserve">, « La lecture comme événement », </w:t>
      </w:r>
      <w:r w:rsidRPr="0053335D">
        <w:rPr>
          <w:i/>
          <w:iCs/>
        </w:rPr>
        <w:t xml:space="preserve">art. </w:t>
      </w:r>
      <w:proofErr w:type="spellStart"/>
      <w:r w:rsidRPr="0053335D">
        <w:rPr>
          <w:i/>
          <w:iCs/>
        </w:rPr>
        <w:t>cit</w:t>
      </w:r>
      <w:proofErr w:type="spellEnd"/>
      <w:r w:rsidRPr="0053335D">
        <w:rPr>
          <w:i/>
          <w:iCs/>
        </w:rPr>
        <w:t>.</w:t>
      </w:r>
      <w:r w:rsidRPr="0053335D">
        <w:t xml:space="preserve"> et Gérard Langlade, « Événement de lecture et reconfiguration des œuvres », </w:t>
      </w:r>
      <w:r w:rsidRPr="0053335D">
        <w:rPr>
          <w:i/>
          <w:iCs/>
        </w:rPr>
        <w:t xml:space="preserve">art. </w:t>
      </w:r>
      <w:proofErr w:type="spellStart"/>
      <w:r w:rsidRPr="0053335D">
        <w:rPr>
          <w:i/>
          <w:iCs/>
        </w:rPr>
        <w:t>cit</w:t>
      </w:r>
      <w:proofErr w:type="spellEnd"/>
      <w:r w:rsidRPr="0053335D">
        <w:rPr>
          <w:i/>
          <w:iCs/>
        </w:rPr>
        <w:t>.</w:t>
      </w:r>
    </w:p>
  </w:footnote>
  <w:footnote w:id="42">
    <w:p w14:paraId="0353A87E" w14:textId="06C03734" w:rsidR="0032053A" w:rsidRPr="0053335D" w:rsidRDefault="0032053A" w:rsidP="0053335D">
      <w:pPr>
        <w:pStyle w:val="Notedebasdepage"/>
        <w:jc w:val="both"/>
      </w:pPr>
      <w:r w:rsidRPr="0053335D">
        <w:rPr>
          <w:rStyle w:val="Appelnotedebasdep"/>
        </w:rPr>
        <w:footnoteRef/>
      </w:r>
      <w:r w:rsidRPr="0053335D">
        <w:t xml:space="preserve"> </w:t>
      </w:r>
      <w:r w:rsidRPr="0053335D">
        <w:t xml:space="preserve">On pourrait penser ici à la façon dont Georges </w:t>
      </w:r>
      <w:r w:rsidR="001F7F79" w:rsidRPr="0053335D">
        <w:t>Poulet</w:t>
      </w:r>
      <w:r w:rsidRPr="0053335D">
        <w:t xml:space="preserve"> présente la lecture comme le moment où </w:t>
      </w:r>
      <w:r w:rsidR="00AA0AA0" w:rsidRPr="0053335D">
        <w:t xml:space="preserve">j’ai l’impression qu’une autre personne que moi ressent et parle à l’intérieur de moi. L’expérience de lecture est ainsi </w:t>
      </w:r>
      <w:r w:rsidRPr="0053335D">
        <w:t xml:space="preserve">« une sorte de distinction schizoïde entre ce que je ressens et ce que l’autre [un autre en moi] ressent » (Georges </w:t>
      </w:r>
      <w:r w:rsidR="001F7F79" w:rsidRPr="0053335D">
        <w:t>Poule</w:t>
      </w:r>
      <w:r w:rsidRPr="0053335D">
        <w:t>t, «</w:t>
      </w:r>
      <w:r w:rsidR="001F7F79" w:rsidRPr="0053335D">
        <w:t> </w:t>
      </w:r>
      <w:proofErr w:type="spellStart"/>
      <w:r w:rsidRPr="0053335D">
        <w:t>Criticism</w:t>
      </w:r>
      <w:proofErr w:type="spellEnd"/>
      <w:r w:rsidRPr="0053335D">
        <w:t xml:space="preserve"> and the </w:t>
      </w:r>
      <w:proofErr w:type="spellStart"/>
      <w:r w:rsidRPr="0053335D">
        <w:t>experience</w:t>
      </w:r>
      <w:proofErr w:type="spellEnd"/>
      <w:r w:rsidRPr="0053335D">
        <w:t xml:space="preserve"> of </w:t>
      </w:r>
      <w:proofErr w:type="spellStart"/>
      <w:r w:rsidRPr="0053335D">
        <w:t>interiority</w:t>
      </w:r>
      <w:proofErr w:type="spellEnd"/>
      <w:r w:rsidRPr="0053335D">
        <w:t xml:space="preserve"> », dans</w:t>
      </w:r>
      <w:r w:rsidR="00AA0AA0" w:rsidRPr="0053335D">
        <w:t xml:space="preserve"> Jane P. </w:t>
      </w:r>
      <w:proofErr w:type="spellStart"/>
      <w:r w:rsidR="00AA0AA0" w:rsidRPr="0053335D">
        <w:t>Tompkins</w:t>
      </w:r>
      <w:proofErr w:type="spellEnd"/>
      <w:r w:rsidR="00AA0AA0" w:rsidRPr="0053335D">
        <w:t xml:space="preserve">, </w:t>
      </w:r>
      <w:proofErr w:type="spellStart"/>
      <w:r w:rsidR="00AA0AA0" w:rsidRPr="0053335D">
        <w:t>dir</w:t>
      </w:r>
      <w:proofErr w:type="spellEnd"/>
      <w:r w:rsidR="00AA0AA0" w:rsidRPr="0053335D">
        <w:t>.,</w:t>
      </w:r>
      <w:r w:rsidRPr="0053335D">
        <w:t xml:space="preserve"> </w:t>
      </w:r>
      <w:r w:rsidRPr="0053335D">
        <w:rPr>
          <w:i/>
          <w:iCs/>
        </w:rPr>
        <w:t>Reader-</w:t>
      </w:r>
      <w:proofErr w:type="spellStart"/>
      <w:r w:rsidRPr="0053335D">
        <w:rPr>
          <w:i/>
          <w:iCs/>
        </w:rPr>
        <w:t>Response</w:t>
      </w:r>
      <w:proofErr w:type="spellEnd"/>
      <w:r w:rsidRPr="0053335D">
        <w:rPr>
          <w:i/>
          <w:iCs/>
        </w:rPr>
        <w:t xml:space="preserve"> </w:t>
      </w:r>
      <w:proofErr w:type="spellStart"/>
      <w:r w:rsidRPr="0053335D">
        <w:rPr>
          <w:i/>
          <w:iCs/>
        </w:rPr>
        <w:t>Criticism</w:t>
      </w:r>
      <w:proofErr w:type="spellEnd"/>
      <w:r w:rsidRPr="0053335D">
        <w:rPr>
          <w:i/>
          <w:iCs/>
        </w:rPr>
        <w:t xml:space="preserve">. </w:t>
      </w:r>
      <w:r w:rsidRPr="0053335D">
        <w:rPr>
          <w:i/>
          <w:iCs/>
          <w:lang w:val="en-US"/>
        </w:rPr>
        <w:t>From Formalism to Post-Structuralism</w:t>
      </w:r>
      <w:r w:rsidRPr="0053335D">
        <w:rPr>
          <w:lang w:val="en-US"/>
        </w:rPr>
        <w:t>, Baltimore, The John Hopkins University Press, 1986, p. 41-19, p. 47).</w:t>
      </w:r>
    </w:p>
  </w:footnote>
  <w:footnote w:id="43">
    <w:p w14:paraId="6213A5AA" w14:textId="40742B1E" w:rsidR="00692BEE" w:rsidRPr="0053335D" w:rsidRDefault="00692BEE" w:rsidP="0053335D">
      <w:pPr>
        <w:pStyle w:val="Notedebasdepage"/>
        <w:jc w:val="both"/>
      </w:pPr>
      <w:r w:rsidRPr="0053335D">
        <w:rPr>
          <w:rStyle w:val="Appelnotedebasdep"/>
        </w:rPr>
        <w:footnoteRef/>
      </w:r>
      <w:r w:rsidRPr="0053335D">
        <w:t xml:space="preserve"> </w:t>
      </w:r>
      <w:r w:rsidR="00197CC3" w:rsidRPr="0053335D">
        <w:t xml:space="preserve">Augustin, </w:t>
      </w:r>
      <w:r w:rsidR="00197CC3" w:rsidRPr="0053335D">
        <w:rPr>
          <w:i/>
          <w:iCs/>
        </w:rPr>
        <w:t>Les Confessions</w:t>
      </w:r>
      <w:r w:rsidR="00197CC3" w:rsidRPr="0053335D">
        <w:t xml:space="preserve"> </w:t>
      </w:r>
      <w:r w:rsidR="00197CC3" w:rsidRPr="0053335D">
        <w:rPr>
          <w:smallCaps/>
        </w:rPr>
        <w:t>viii</w:t>
      </w:r>
      <w:r w:rsidR="00197CC3" w:rsidRPr="0053335D">
        <w:t>, 12, 29.</w:t>
      </w:r>
      <w:r w:rsidR="007C43EE" w:rsidRPr="0053335D">
        <w:t xml:space="preserve"> Je suis le texte latin édité sur le site de l’université de Georgetown. URL : </w:t>
      </w:r>
      <w:hyperlink r:id="rId7" w:history="1">
        <w:r w:rsidR="007C43EE" w:rsidRPr="0053335D">
          <w:rPr>
            <w:rStyle w:val="Lienhypertexte"/>
          </w:rPr>
          <w:t>https://faculty.georgetown.edu/jod/latinconf/8.html</w:t>
        </w:r>
      </w:hyperlink>
      <w:r w:rsidR="007C43EE" w:rsidRPr="0053335D">
        <w:t>. Page consultée le 12 décembre 2025.</w:t>
      </w:r>
    </w:p>
  </w:footnote>
  <w:footnote w:id="44">
    <w:p w14:paraId="29BBA050" w14:textId="5135A93C" w:rsidR="00692BEE" w:rsidRPr="0053335D" w:rsidRDefault="00692BEE" w:rsidP="0053335D">
      <w:pPr>
        <w:pStyle w:val="Notedebasdepage"/>
        <w:jc w:val="both"/>
        <w:rPr>
          <w:i/>
          <w:iCs/>
        </w:rPr>
      </w:pPr>
      <w:r w:rsidRPr="0053335D">
        <w:rPr>
          <w:rStyle w:val="Appelnotedebasdep"/>
        </w:rPr>
        <w:footnoteRef/>
      </w:r>
      <w:r w:rsidRPr="0053335D">
        <w:t xml:space="preserve"> </w:t>
      </w:r>
      <w:r w:rsidR="00132F9C" w:rsidRPr="0053335D">
        <w:t xml:space="preserve">Augustin, </w:t>
      </w:r>
      <w:r w:rsidR="00132F9C" w:rsidRPr="0053335D">
        <w:rPr>
          <w:i/>
          <w:iCs/>
        </w:rPr>
        <w:t>Les Confessions</w:t>
      </w:r>
      <w:r w:rsidR="00132F9C" w:rsidRPr="0053335D">
        <w:t xml:space="preserve"> </w:t>
      </w:r>
      <w:r w:rsidR="00132F9C" w:rsidRPr="0053335D">
        <w:rPr>
          <w:smallCaps/>
        </w:rPr>
        <w:t>viii</w:t>
      </w:r>
      <w:r w:rsidR="00132F9C" w:rsidRPr="0053335D">
        <w:t xml:space="preserve">, 12, 29, </w:t>
      </w:r>
      <w:r w:rsidR="00132F9C" w:rsidRPr="0053335D">
        <w:rPr>
          <w:i/>
          <w:iCs/>
        </w:rPr>
        <w:t xml:space="preserve">op. </w:t>
      </w:r>
      <w:proofErr w:type="spellStart"/>
      <w:r w:rsidR="00132F9C" w:rsidRPr="0053335D">
        <w:rPr>
          <w:i/>
          <w:iCs/>
        </w:rPr>
        <w:t>cit</w:t>
      </w:r>
      <w:proofErr w:type="spellEnd"/>
      <w:r w:rsidR="00132F9C" w:rsidRPr="0053335D">
        <w:rPr>
          <w:i/>
          <w:iCs/>
        </w:rPr>
        <w:t xml:space="preserve">. </w:t>
      </w:r>
      <w:r w:rsidRPr="0053335D">
        <w:t>Il s’agit de l’</w:t>
      </w:r>
      <w:r w:rsidRPr="0053335D">
        <w:rPr>
          <w:i/>
          <w:iCs/>
        </w:rPr>
        <w:t>Épître aux Romains</w:t>
      </w:r>
      <w:r w:rsidRPr="0053335D">
        <w:t xml:space="preserve"> 13, 13-14.</w:t>
      </w:r>
      <w:r w:rsidR="007C43EE" w:rsidRPr="0053335D">
        <w:t xml:space="preserve"> Le texte donné par Augustin est différent de celui de la Vulgate. Voir </w:t>
      </w:r>
      <w:r w:rsidR="00681C57" w:rsidRPr="0053335D">
        <w:t xml:space="preserve">le texte édité par Angela M. </w:t>
      </w:r>
      <w:proofErr w:type="spellStart"/>
      <w:r w:rsidR="00681C57" w:rsidRPr="0053335D">
        <w:t>Kinney</w:t>
      </w:r>
      <w:proofErr w:type="spellEnd"/>
      <w:r w:rsidR="00681C57" w:rsidRPr="0053335D">
        <w:t xml:space="preserve"> dans </w:t>
      </w:r>
      <w:r w:rsidR="00681C57" w:rsidRPr="0053335D">
        <w:rPr>
          <w:i/>
          <w:iCs/>
        </w:rPr>
        <w:t xml:space="preserve">The Vulgate Bible: </w:t>
      </w:r>
      <w:proofErr w:type="spellStart"/>
      <w:r w:rsidR="00681C57" w:rsidRPr="0053335D">
        <w:rPr>
          <w:i/>
          <w:iCs/>
        </w:rPr>
        <w:t>Douay-Rheims</w:t>
      </w:r>
      <w:proofErr w:type="spellEnd"/>
      <w:r w:rsidR="00681C57" w:rsidRPr="0053335D">
        <w:rPr>
          <w:i/>
          <w:iCs/>
        </w:rPr>
        <w:t xml:space="preserve"> Translation. 6. The New Testament</w:t>
      </w:r>
      <w:r w:rsidR="00681C57" w:rsidRPr="0053335D">
        <w:t xml:space="preserve">, Cambridge (Massachusetts)-Londres, Harvard </w:t>
      </w:r>
      <w:proofErr w:type="spellStart"/>
      <w:r w:rsidR="00681C57" w:rsidRPr="0053335D">
        <w:t>University</w:t>
      </w:r>
      <w:proofErr w:type="spellEnd"/>
      <w:r w:rsidR="00681C57" w:rsidRPr="0053335D">
        <w:t xml:space="preserve"> </w:t>
      </w:r>
      <w:proofErr w:type="spellStart"/>
      <w:r w:rsidR="00681C57" w:rsidRPr="0053335D">
        <w:t>Press</w:t>
      </w:r>
      <w:proofErr w:type="spellEnd"/>
      <w:r w:rsidR="00681C57" w:rsidRPr="0053335D">
        <w:t>, 2013.</w:t>
      </w:r>
      <w:r w:rsidR="00681C57" w:rsidRPr="0053335D">
        <w:rPr>
          <w:i/>
          <w:iCs/>
        </w:rPr>
        <w:t xml:space="preserve"> </w:t>
      </w:r>
    </w:p>
  </w:footnote>
  <w:footnote w:id="45">
    <w:p w14:paraId="4B9F6349" w14:textId="14AA54F7" w:rsidR="00E35730" w:rsidRPr="0053335D" w:rsidRDefault="00E35730" w:rsidP="0053335D">
      <w:pPr>
        <w:jc w:val="both"/>
        <w:rPr>
          <w:sz w:val="20"/>
          <w:szCs w:val="20"/>
        </w:rPr>
      </w:pPr>
      <w:r w:rsidRPr="0053335D">
        <w:rPr>
          <w:rStyle w:val="Appelnotedebasdep"/>
          <w:sz w:val="20"/>
          <w:szCs w:val="20"/>
        </w:rPr>
        <w:footnoteRef/>
      </w:r>
      <w:r w:rsidRPr="0053335D">
        <w:rPr>
          <w:sz w:val="20"/>
          <w:szCs w:val="20"/>
        </w:rPr>
        <w:t xml:space="preserve"> </w:t>
      </w:r>
      <w:r w:rsidRPr="0053335D">
        <w:rPr>
          <w:sz w:val="20"/>
          <w:szCs w:val="20"/>
        </w:rPr>
        <w:t xml:space="preserve">Augustin, </w:t>
      </w:r>
      <w:r w:rsidRPr="0053335D">
        <w:rPr>
          <w:i/>
          <w:iCs/>
          <w:sz w:val="20"/>
          <w:szCs w:val="20"/>
        </w:rPr>
        <w:t>Les Confessions</w:t>
      </w:r>
      <w:r w:rsidRPr="0053335D">
        <w:rPr>
          <w:sz w:val="20"/>
          <w:szCs w:val="20"/>
        </w:rPr>
        <w:t xml:space="preserve"> </w:t>
      </w:r>
      <w:r w:rsidRPr="0053335D">
        <w:rPr>
          <w:smallCaps/>
          <w:sz w:val="20"/>
          <w:szCs w:val="20"/>
        </w:rPr>
        <w:t>viii</w:t>
      </w:r>
      <w:r w:rsidRPr="0053335D">
        <w:rPr>
          <w:sz w:val="20"/>
          <w:szCs w:val="20"/>
        </w:rPr>
        <w:t xml:space="preserve">, 12, 29, </w:t>
      </w:r>
      <w:r w:rsidRPr="0053335D">
        <w:rPr>
          <w:i/>
          <w:iCs/>
          <w:sz w:val="20"/>
          <w:szCs w:val="20"/>
        </w:rPr>
        <w:t xml:space="preserve">op. </w:t>
      </w:r>
      <w:proofErr w:type="spellStart"/>
      <w:r w:rsidRPr="0053335D">
        <w:rPr>
          <w:i/>
          <w:iCs/>
          <w:sz w:val="20"/>
          <w:szCs w:val="20"/>
        </w:rPr>
        <w:t>cit</w:t>
      </w:r>
      <w:proofErr w:type="spellEnd"/>
      <w:r w:rsidRPr="0053335D">
        <w:rPr>
          <w:i/>
          <w:iCs/>
          <w:sz w:val="20"/>
          <w:szCs w:val="20"/>
        </w:rPr>
        <w:t xml:space="preserve">. </w:t>
      </w:r>
      <w:r w:rsidR="002A3F75" w:rsidRPr="0053335D">
        <w:rPr>
          <w:sz w:val="20"/>
          <w:szCs w:val="20"/>
        </w:rPr>
        <w:t>On pourrait aussi mentionner un passage d’Origène, qui présente alors une réception de la Bible radicalement non intellectuelle : « ton âme en tire bénéfice [des Écritures] même si ton intellect (</w:t>
      </w:r>
      <w:r w:rsidR="002A3F75" w:rsidRPr="0053335D">
        <w:rPr>
          <w:sz w:val="20"/>
          <w:szCs w:val="20"/>
          <w:lang w:val="el-GR"/>
        </w:rPr>
        <w:t>ὁ</w:t>
      </w:r>
      <w:r w:rsidR="002A3F75" w:rsidRPr="0053335D">
        <w:rPr>
          <w:sz w:val="20"/>
          <w:szCs w:val="20"/>
        </w:rPr>
        <w:t xml:space="preserve"> </w:t>
      </w:r>
      <w:proofErr w:type="spellStart"/>
      <w:r w:rsidR="002A3F75" w:rsidRPr="0053335D">
        <w:rPr>
          <w:sz w:val="20"/>
          <w:szCs w:val="20"/>
          <w:lang w:val="el-GR"/>
        </w:rPr>
        <w:t>νοῦς</w:t>
      </w:r>
      <w:proofErr w:type="spellEnd"/>
      <w:r w:rsidR="002A3F75" w:rsidRPr="0053335D">
        <w:rPr>
          <w:sz w:val="20"/>
          <w:szCs w:val="20"/>
        </w:rPr>
        <w:t xml:space="preserve">) ne perçoit pas le fruit de ce bénéfice venant des textes » (Origène, </w:t>
      </w:r>
      <w:r w:rsidR="002A3F75" w:rsidRPr="0053335D">
        <w:rPr>
          <w:i/>
          <w:iCs/>
          <w:sz w:val="20"/>
          <w:szCs w:val="20"/>
        </w:rPr>
        <w:t>Philocalie 1-20 : sur les écritures</w:t>
      </w:r>
      <w:r w:rsidR="002A3F75" w:rsidRPr="0053335D">
        <w:rPr>
          <w:sz w:val="20"/>
          <w:szCs w:val="20"/>
        </w:rPr>
        <w:t xml:space="preserve">, 12, 2 [= </w:t>
      </w:r>
      <w:proofErr w:type="spellStart"/>
      <w:r w:rsidR="002A3F75" w:rsidRPr="0053335D">
        <w:rPr>
          <w:smallCaps/>
          <w:sz w:val="20"/>
          <w:szCs w:val="20"/>
        </w:rPr>
        <w:t>xx</w:t>
      </w:r>
      <w:r w:rsidR="002A3F75" w:rsidRPr="0053335D">
        <w:rPr>
          <w:sz w:val="20"/>
          <w:szCs w:val="20"/>
          <w:vertAlign w:val="superscript"/>
        </w:rPr>
        <w:t>e</w:t>
      </w:r>
      <w:proofErr w:type="spellEnd"/>
      <w:r w:rsidR="002A3F75" w:rsidRPr="0053335D">
        <w:rPr>
          <w:sz w:val="20"/>
          <w:szCs w:val="20"/>
        </w:rPr>
        <w:t xml:space="preserve"> Homélie sur Josué, 2], texte établi et traduit par Marguerite </w:t>
      </w:r>
      <w:proofErr w:type="spellStart"/>
      <w:r w:rsidR="002A3F75" w:rsidRPr="0053335D">
        <w:rPr>
          <w:sz w:val="20"/>
          <w:szCs w:val="20"/>
        </w:rPr>
        <w:t>Harl</w:t>
      </w:r>
      <w:proofErr w:type="spellEnd"/>
      <w:r w:rsidR="002A3F75" w:rsidRPr="0053335D">
        <w:rPr>
          <w:sz w:val="20"/>
          <w:szCs w:val="20"/>
        </w:rPr>
        <w:t>, Paris, Éditions du Cerf, 1983, p. 393).</w:t>
      </w:r>
    </w:p>
  </w:footnote>
  <w:footnote w:id="46">
    <w:p w14:paraId="7D5779B9" w14:textId="77777777" w:rsidR="004305AC" w:rsidRPr="0053335D" w:rsidRDefault="004305AC" w:rsidP="0053335D">
      <w:pPr>
        <w:pStyle w:val="Notedebasdepage"/>
        <w:jc w:val="both"/>
      </w:pPr>
      <w:r w:rsidRPr="0053335D">
        <w:rPr>
          <w:rStyle w:val="Appelnotedebasdep"/>
        </w:rPr>
        <w:footnoteRef/>
      </w:r>
      <w:r w:rsidRPr="0053335D">
        <w:t xml:space="preserve"> </w:t>
      </w:r>
      <w:r w:rsidRPr="0053335D">
        <w:rPr>
          <w:i/>
          <w:iCs/>
        </w:rPr>
        <w:t>Évangile selon Luc</w:t>
      </w:r>
      <w:r w:rsidRPr="0053335D">
        <w:t xml:space="preserve"> 4, 16.</w:t>
      </w:r>
    </w:p>
  </w:footnote>
  <w:footnote w:id="47">
    <w:p w14:paraId="1FE59AEE" w14:textId="77777777" w:rsidR="004305AC" w:rsidRPr="0053335D" w:rsidRDefault="004305AC" w:rsidP="0053335D">
      <w:pPr>
        <w:pStyle w:val="Notedebasdepage"/>
        <w:jc w:val="both"/>
      </w:pPr>
      <w:r w:rsidRPr="0053335D">
        <w:rPr>
          <w:rStyle w:val="Appelnotedebasdep"/>
        </w:rPr>
        <w:footnoteRef/>
      </w:r>
      <w:r w:rsidRPr="0053335D">
        <w:t xml:space="preserve"> </w:t>
      </w:r>
      <w:r w:rsidRPr="0053335D">
        <w:rPr>
          <w:i/>
          <w:iCs/>
        </w:rPr>
        <w:t>Isaïe</w:t>
      </w:r>
      <w:r w:rsidRPr="0053335D">
        <w:t xml:space="preserve"> 61, 1-2, cité en </w:t>
      </w:r>
      <w:r w:rsidRPr="0053335D">
        <w:rPr>
          <w:i/>
          <w:iCs/>
        </w:rPr>
        <w:t>Évangile selon Luc</w:t>
      </w:r>
      <w:r w:rsidRPr="0053335D">
        <w:t xml:space="preserve"> 4, 18-19.</w:t>
      </w:r>
    </w:p>
  </w:footnote>
  <w:footnote w:id="48">
    <w:p w14:paraId="46756584" w14:textId="529131C0" w:rsidR="004305AC" w:rsidRPr="0053335D" w:rsidRDefault="004305AC" w:rsidP="0053335D">
      <w:pPr>
        <w:pStyle w:val="Notedebasdepage"/>
        <w:jc w:val="both"/>
      </w:pPr>
      <w:r w:rsidRPr="0053335D">
        <w:rPr>
          <w:rStyle w:val="Appelnotedebasdep"/>
        </w:rPr>
        <w:footnoteRef/>
      </w:r>
      <w:r w:rsidRPr="0053335D">
        <w:t xml:space="preserve"> </w:t>
      </w:r>
      <w:r w:rsidR="00681C57" w:rsidRPr="0053335D">
        <w:rPr>
          <w:i/>
          <w:iCs/>
        </w:rPr>
        <w:t>Évangile selon Luc</w:t>
      </w:r>
      <w:r w:rsidR="00681C57" w:rsidRPr="0053335D">
        <w:t xml:space="preserve"> 4, 21.</w:t>
      </w:r>
    </w:p>
  </w:footnote>
  <w:footnote w:id="49">
    <w:p w14:paraId="22EF8084" w14:textId="3BFCA36D" w:rsidR="00D52C35" w:rsidRPr="0053335D" w:rsidRDefault="00D52C35" w:rsidP="0053335D">
      <w:pPr>
        <w:pStyle w:val="Notedebasdepage"/>
        <w:jc w:val="both"/>
      </w:pPr>
      <w:r w:rsidRPr="0053335D">
        <w:rPr>
          <w:rStyle w:val="Appelnotedebasdep"/>
        </w:rPr>
        <w:footnoteRef/>
      </w:r>
      <w:r w:rsidRPr="0053335D">
        <w:t xml:space="preserve"> </w:t>
      </w:r>
      <w:r w:rsidRPr="0053335D">
        <w:t>L’adjectif π</w:t>
      </w:r>
      <w:proofErr w:type="spellStart"/>
      <w:r w:rsidRPr="0053335D">
        <w:t>λήρης</w:t>
      </w:r>
      <w:proofErr w:type="spellEnd"/>
      <w:r w:rsidR="00681C57" w:rsidRPr="0053335D">
        <w:t xml:space="preserve">, </w:t>
      </w:r>
      <w:proofErr w:type="spellStart"/>
      <w:r w:rsidR="00681C57" w:rsidRPr="0053335D">
        <w:rPr>
          <w:i/>
          <w:iCs/>
        </w:rPr>
        <w:t>plêrês</w:t>
      </w:r>
      <w:proofErr w:type="spellEnd"/>
      <w:r w:rsidRPr="0053335D">
        <w:t xml:space="preserve"> signifie « plein, rempli, complet » (Pierre Chantraine, </w:t>
      </w:r>
      <w:r w:rsidRPr="0053335D">
        <w:rPr>
          <w:i/>
          <w:iCs/>
        </w:rPr>
        <w:t>Dictionnaire étymologique de la langue grecque : histoire des mots</w:t>
      </w:r>
      <w:r w:rsidRPr="0053335D">
        <w:t xml:space="preserve">, Paris, </w:t>
      </w:r>
      <w:proofErr w:type="spellStart"/>
      <w:r w:rsidRPr="0053335D">
        <w:t>Klincksieck</w:t>
      </w:r>
      <w:proofErr w:type="spellEnd"/>
      <w:r w:rsidRPr="0053335D">
        <w:t>, 1977, p. 902).</w:t>
      </w:r>
    </w:p>
  </w:footnote>
  <w:footnote w:id="50">
    <w:p w14:paraId="63E4581D" w14:textId="79E38E05" w:rsidR="00D52C35" w:rsidRPr="0053335D" w:rsidRDefault="00D52C35" w:rsidP="0053335D">
      <w:pPr>
        <w:pStyle w:val="Notedebasdepage"/>
        <w:jc w:val="both"/>
      </w:pPr>
      <w:r w:rsidRPr="0053335D">
        <w:rPr>
          <w:rStyle w:val="Appelnotedebasdep"/>
        </w:rPr>
        <w:footnoteRef/>
      </w:r>
      <w:r w:rsidRPr="0053335D">
        <w:t xml:space="preserve"> </w:t>
      </w:r>
      <w:proofErr w:type="spellStart"/>
      <w:r w:rsidR="00681C57" w:rsidRPr="0053335D">
        <w:t>Πληρῶ</w:t>
      </w:r>
      <w:proofErr w:type="spellEnd"/>
      <w:r w:rsidR="00681C57" w:rsidRPr="0053335D">
        <w:t xml:space="preserve">, </w:t>
      </w:r>
      <w:proofErr w:type="spellStart"/>
      <w:r w:rsidR="00681C57" w:rsidRPr="0053335D">
        <w:rPr>
          <w:i/>
          <w:iCs/>
        </w:rPr>
        <w:t>plêrô</w:t>
      </w:r>
      <w:proofErr w:type="spellEnd"/>
      <w:r w:rsidR="00681C57" w:rsidRPr="0053335D">
        <w:t xml:space="preserve"> a ce sens par exemple en Aristote, </w:t>
      </w:r>
      <w:r w:rsidR="00681C57" w:rsidRPr="0053335D">
        <w:rPr>
          <w:i/>
          <w:iCs/>
        </w:rPr>
        <w:t>Histoire des animaux</w:t>
      </w:r>
      <w:r w:rsidR="00681C57" w:rsidRPr="0053335D">
        <w:t xml:space="preserve"> </w:t>
      </w:r>
      <w:r w:rsidR="00681C57" w:rsidRPr="0053335D">
        <w:rPr>
          <w:smallCaps/>
        </w:rPr>
        <w:t>v</w:t>
      </w:r>
      <w:r w:rsidR="00681C57" w:rsidRPr="0053335D">
        <w:t xml:space="preserve">, 4, 7 pour la grossesse des poissons ovipares. Voir le texte édité par Pierre Louis dans Aristote, </w:t>
      </w:r>
      <w:r w:rsidR="00681C57" w:rsidRPr="0053335D">
        <w:rPr>
          <w:i/>
          <w:iCs/>
        </w:rPr>
        <w:t xml:space="preserve">Histoire des animaux. Vol. 2 Livres </w:t>
      </w:r>
      <w:r w:rsidR="00681C57" w:rsidRPr="0053335D">
        <w:rPr>
          <w:i/>
          <w:iCs/>
          <w:smallCaps/>
        </w:rPr>
        <w:t>v-vii</w:t>
      </w:r>
      <w:r w:rsidR="00681C57" w:rsidRPr="0053335D">
        <w:rPr>
          <w:smallCaps/>
        </w:rPr>
        <w:t xml:space="preserve">, </w:t>
      </w:r>
      <w:r w:rsidR="00681C57" w:rsidRPr="0053335D">
        <w:t xml:space="preserve">Paris, Les Belles Lettres, 1968. Peut-être est-il possible de faire un lien entre ce passage et la grossesse de Marie, qui commence en </w:t>
      </w:r>
      <w:r w:rsidR="00681C57" w:rsidRPr="0053335D">
        <w:rPr>
          <w:i/>
          <w:iCs/>
        </w:rPr>
        <w:t>Évangile selon Luc</w:t>
      </w:r>
      <w:r w:rsidR="00681C57" w:rsidRPr="0053335D">
        <w:t xml:space="preserve"> 1, 26-38, même si le verbe π</w:t>
      </w:r>
      <w:proofErr w:type="spellStart"/>
      <w:r w:rsidR="00681C57" w:rsidRPr="0053335D">
        <w:t>ληρῶ</w:t>
      </w:r>
      <w:proofErr w:type="spellEnd"/>
      <w:r w:rsidR="00681C57" w:rsidRPr="0053335D">
        <w:t xml:space="preserve">, </w:t>
      </w:r>
      <w:proofErr w:type="spellStart"/>
      <w:r w:rsidR="00681C57" w:rsidRPr="0053335D">
        <w:rPr>
          <w:i/>
          <w:iCs/>
        </w:rPr>
        <w:t>plêrô</w:t>
      </w:r>
      <w:proofErr w:type="spellEnd"/>
      <w:r w:rsidR="00681C57" w:rsidRPr="0053335D">
        <w:t xml:space="preserve"> n’apparaît pas alors. </w:t>
      </w:r>
      <w:r w:rsidR="002A3F75" w:rsidRPr="0053335D">
        <w:t xml:space="preserve">Interprété comme </w:t>
      </w:r>
    </w:p>
    <w:p w14:paraId="1C04B27C" w14:textId="77828F6B" w:rsidR="002A3F75" w:rsidRPr="0053335D" w:rsidRDefault="00592325" w:rsidP="0053335D">
      <w:pPr>
        <w:pStyle w:val="Notedebasdepage"/>
        <w:jc w:val="both"/>
      </w:pPr>
      <w:r w:rsidRPr="0053335D">
        <w:t>« ce passage des Écritures a été engendré dans vos oreilles », le passage pourrait être rapproché de l’idée que Jésus a été conçu par l’oreille de Marie, que l’on trouve notamment dans la littérature patristique.</w:t>
      </w:r>
      <w:r w:rsidR="001237FC" w:rsidRPr="0053335D">
        <w:t xml:space="preserve"> </w:t>
      </w:r>
      <w:r w:rsidRPr="0053335D">
        <w:t xml:space="preserve">Voir par exemple Éphrem, </w:t>
      </w:r>
      <w:r w:rsidRPr="0053335D">
        <w:rPr>
          <w:i/>
          <w:iCs/>
        </w:rPr>
        <w:t xml:space="preserve">Hymne sur la virginité </w:t>
      </w:r>
      <w:r w:rsidRPr="0053335D">
        <w:rPr>
          <w:smallCaps/>
        </w:rPr>
        <w:t>xxiii</w:t>
      </w:r>
      <w:r w:rsidRPr="0053335D">
        <w:t xml:space="preserve">, 5 ; </w:t>
      </w:r>
      <w:r w:rsidRPr="0053335D">
        <w:rPr>
          <w:i/>
          <w:iCs/>
        </w:rPr>
        <w:t xml:space="preserve">Hymne sur l’Église </w:t>
      </w:r>
      <w:r w:rsidRPr="0053335D">
        <w:rPr>
          <w:smallCaps/>
        </w:rPr>
        <w:t>xxxv</w:t>
      </w:r>
      <w:r w:rsidRPr="0053335D">
        <w:t xml:space="preserve">, 18 et </w:t>
      </w:r>
      <w:r w:rsidRPr="0053335D">
        <w:rPr>
          <w:smallCaps/>
        </w:rPr>
        <w:t>xlix</w:t>
      </w:r>
      <w:r w:rsidRPr="0053335D">
        <w:t>, 7-8, texte édité</w:t>
      </w:r>
      <w:r w:rsidR="001237FC" w:rsidRPr="0053335D">
        <w:t xml:space="preserve"> et traduit</w:t>
      </w:r>
      <w:r w:rsidRPr="0053335D">
        <w:t xml:space="preserve"> par Edmund Beck respectivement dans </w:t>
      </w:r>
      <w:r w:rsidR="001237FC" w:rsidRPr="0053335D">
        <w:rPr>
          <w:i/>
          <w:iCs/>
        </w:rPr>
        <w:t xml:space="preserve">Des </w:t>
      </w:r>
      <w:proofErr w:type="spellStart"/>
      <w:r w:rsidR="001237FC" w:rsidRPr="0053335D">
        <w:rPr>
          <w:i/>
          <w:iCs/>
        </w:rPr>
        <w:t>Heiligen</w:t>
      </w:r>
      <w:proofErr w:type="spellEnd"/>
      <w:r w:rsidR="001237FC" w:rsidRPr="0053335D">
        <w:rPr>
          <w:i/>
          <w:iCs/>
        </w:rPr>
        <w:t xml:space="preserve"> </w:t>
      </w:r>
      <w:proofErr w:type="spellStart"/>
      <w:r w:rsidR="001237FC" w:rsidRPr="0053335D">
        <w:rPr>
          <w:i/>
          <w:iCs/>
        </w:rPr>
        <w:t>Ephraem</w:t>
      </w:r>
      <w:proofErr w:type="spellEnd"/>
      <w:r w:rsidR="001237FC" w:rsidRPr="0053335D">
        <w:rPr>
          <w:i/>
          <w:iCs/>
        </w:rPr>
        <w:t xml:space="preserve"> des </w:t>
      </w:r>
      <w:proofErr w:type="spellStart"/>
      <w:r w:rsidR="001237FC" w:rsidRPr="0053335D">
        <w:rPr>
          <w:i/>
          <w:iCs/>
        </w:rPr>
        <w:t>Syrers</w:t>
      </w:r>
      <w:proofErr w:type="spellEnd"/>
      <w:r w:rsidR="001237FC" w:rsidRPr="0053335D">
        <w:rPr>
          <w:i/>
          <w:iCs/>
        </w:rPr>
        <w:t xml:space="preserve"> </w:t>
      </w:r>
      <w:proofErr w:type="spellStart"/>
      <w:r w:rsidR="001237FC" w:rsidRPr="0053335D">
        <w:rPr>
          <w:i/>
          <w:iCs/>
        </w:rPr>
        <w:t>Hymnen</w:t>
      </w:r>
      <w:proofErr w:type="spellEnd"/>
      <w:r w:rsidR="001237FC" w:rsidRPr="0053335D">
        <w:rPr>
          <w:i/>
          <w:iCs/>
        </w:rPr>
        <w:t xml:space="preserve"> de </w:t>
      </w:r>
      <w:proofErr w:type="spellStart"/>
      <w:r w:rsidR="001237FC" w:rsidRPr="0053335D">
        <w:rPr>
          <w:i/>
          <w:iCs/>
        </w:rPr>
        <w:t>Ecclesia</w:t>
      </w:r>
      <w:proofErr w:type="spellEnd"/>
      <w:r w:rsidR="001237FC" w:rsidRPr="0053335D">
        <w:t xml:space="preserve">, Louvain, Secrétariat du Corpus </w:t>
      </w:r>
      <w:proofErr w:type="spellStart"/>
      <w:r w:rsidR="001237FC" w:rsidRPr="0053335D">
        <w:t>scriptorum</w:t>
      </w:r>
      <w:proofErr w:type="spellEnd"/>
      <w:r w:rsidR="001237FC" w:rsidRPr="0053335D">
        <w:t xml:space="preserve"> </w:t>
      </w:r>
      <w:proofErr w:type="spellStart"/>
      <w:r w:rsidR="001237FC" w:rsidRPr="0053335D">
        <w:t>Christianorum</w:t>
      </w:r>
      <w:proofErr w:type="spellEnd"/>
      <w:r w:rsidR="001237FC" w:rsidRPr="0053335D">
        <w:t xml:space="preserve"> </w:t>
      </w:r>
      <w:proofErr w:type="spellStart"/>
      <w:r w:rsidR="001237FC" w:rsidRPr="0053335D">
        <w:t>Orientalium</w:t>
      </w:r>
      <w:proofErr w:type="spellEnd"/>
      <w:r w:rsidR="001237FC" w:rsidRPr="0053335D">
        <w:t xml:space="preserve">, 1960 et </w:t>
      </w:r>
      <w:r w:rsidR="001237FC" w:rsidRPr="0053335D">
        <w:rPr>
          <w:i/>
          <w:iCs/>
        </w:rPr>
        <w:t xml:space="preserve">Des </w:t>
      </w:r>
      <w:proofErr w:type="spellStart"/>
      <w:r w:rsidR="001237FC" w:rsidRPr="0053335D">
        <w:rPr>
          <w:i/>
          <w:iCs/>
        </w:rPr>
        <w:t>heiligen</w:t>
      </w:r>
      <w:proofErr w:type="spellEnd"/>
      <w:r w:rsidR="001237FC" w:rsidRPr="0053335D">
        <w:rPr>
          <w:i/>
          <w:iCs/>
        </w:rPr>
        <w:t xml:space="preserve"> </w:t>
      </w:r>
      <w:proofErr w:type="spellStart"/>
      <w:r w:rsidR="001237FC" w:rsidRPr="0053335D">
        <w:rPr>
          <w:i/>
          <w:iCs/>
        </w:rPr>
        <w:t>Ephraem</w:t>
      </w:r>
      <w:proofErr w:type="spellEnd"/>
      <w:r w:rsidR="001237FC" w:rsidRPr="0053335D">
        <w:rPr>
          <w:i/>
          <w:iCs/>
        </w:rPr>
        <w:t xml:space="preserve"> des </w:t>
      </w:r>
      <w:proofErr w:type="spellStart"/>
      <w:r w:rsidR="001237FC" w:rsidRPr="0053335D">
        <w:rPr>
          <w:i/>
          <w:iCs/>
        </w:rPr>
        <w:t>Syrers</w:t>
      </w:r>
      <w:proofErr w:type="spellEnd"/>
      <w:r w:rsidR="001237FC" w:rsidRPr="0053335D">
        <w:rPr>
          <w:i/>
          <w:iCs/>
        </w:rPr>
        <w:t xml:space="preserve"> </w:t>
      </w:r>
      <w:proofErr w:type="spellStart"/>
      <w:r w:rsidR="001237FC" w:rsidRPr="0053335D">
        <w:rPr>
          <w:i/>
          <w:iCs/>
        </w:rPr>
        <w:t>Hymnen</w:t>
      </w:r>
      <w:proofErr w:type="spellEnd"/>
      <w:r w:rsidR="001237FC" w:rsidRPr="0053335D">
        <w:rPr>
          <w:i/>
          <w:iCs/>
        </w:rPr>
        <w:t xml:space="preserve"> de </w:t>
      </w:r>
      <w:proofErr w:type="spellStart"/>
      <w:r w:rsidR="001237FC" w:rsidRPr="0053335D">
        <w:rPr>
          <w:i/>
          <w:iCs/>
        </w:rPr>
        <w:t>Virginitate</w:t>
      </w:r>
      <w:proofErr w:type="spellEnd"/>
      <w:r w:rsidR="001237FC" w:rsidRPr="0053335D">
        <w:t xml:space="preserve">, Louvain, Secrétariat du Corpus </w:t>
      </w:r>
      <w:proofErr w:type="spellStart"/>
      <w:r w:rsidR="001237FC" w:rsidRPr="0053335D">
        <w:t>scriptorum</w:t>
      </w:r>
      <w:proofErr w:type="spellEnd"/>
      <w:r w:rsidR="001237FC" w:rsidRPr="0053335D">
        <w:t xml:space="preserve"> </w:t>
      </w:r>
      <w:proofErr w:type="spellStart"/>
      <w:r w:rsidR="001237FC" w:rsidRPr="0053335D">
        <w:t>Christianorum</w:t>
      </w:r>
      <w:proofErr w:type="spellEnd"/>
      <w:r w:rsidR="001237FC" w:rsidRPr="0053335D">
        <w:t xml:space="preserve"> </w:t>
      </w:r>
      <w:proofErr w:type="spellStart"/>
      <w:r w:rsidR="001237FC" w:rsidRPr="0053335D">
        <w:t>Orientalium</w:t>
      </w:r>
      <w:proofErr w:type="spellEnd"/>
      <w:r w:rsidR="001237FC" w:rsidRPr="0053335D">
        <w:t xml:space="preserve"> 1962. Sur la conception auriculaire de Jésus, voir aussi</w:t>
      </w:r>
      <w:r w:rsidRPr="0053335D">
        <w:t xml:space="preserve"> N</w:t>
      </w:r>
      <w:r w:rsidR="001237FC" w:rsidRPr="0053335D">
        <w:t xml:space="preserve">icholas </w:t>
      </w:r>
      <w:r w:rsidRPr="0053335D">
        <w:t xml:space="preserve">Constas, </w:t>
      </w:r>
      <w:r w:rsidRPr="0053335D">
        <w:rPr>
          <w:i/>
          <w:iCs/>
        </w:rPr>
        <w:t xml:space="preserve">Proclus of Constantinople and the Cult of the Virgin in </w:t>
      </w:r>
      <w:proofErr w:type="spellStart"/>
      <w:r w:rsidRPr="0053335D">
        <w:rPr>
          <w:i/>
          <w:iCs/>
        </w:rPr>
        <w:t>Late</w:t>
      </w:r>
      <w:proofErr w:type="spellEnd"/>
      <w:r w:rsidRPr="0053335D">
        <w:rPr>
          <w:i/>
          <w:iCs/>
        </w:rPr>
        <w:t xml:space="preserve"> </w:t>
      </w:r>
      <w:proofErr w:type="spellStart"/>
      <w:r w:rsidRPr="0053335D">
        <w:rPr>
          <w:i/>
          <w:iCs/>
        </w:rPr>
        <w:t>Antiquity</w:t>
      </w:r>
      <w:proofErr w:type="spellEnd"/>
      <w:r w:rsidRPr="0053335D">
        <w:t xml:space="preserve">, </w:t>
      </w:r>
      <w:r w:rsidR="001237FC" w:rsidRPr="0053335D">
        <w:t xml:space="preserve">Leiden-Boston (Massachusetts), Brill, 2003, </w:t>
      </w:r>
      <w:r w:rsidRPr="0053335D">
        <w:t>p. 279-281</w:t>
      </w:r>
      <w:r w:rsidR="001237FC" w:rsidRPr="0053335D">
        <w:t xml:space="preserve"> et note 4 p. 294</w:t>
      </w:r>
      <w:r w:rsidR="00E30952" w:rsidRPr="0053335D">
        <w:t xml:space="preserve"> et Marie-Thérèse Elia, « La conception du Fils de Dieu dans le sein de Marie selon Jacques de </w:t>
      </w:r>
      <w:proofErr w:type="spellStart"/>
      <w:r w:rsidR="00E30952" w:rsidRPr="0053335D">
        <w:t>Saroug</w:t>
      </w:r>
      <w:proofErr w:type="spellEnd"/>
      <w:r w:rsidR="00E30952" w:rsidRPr="0053335D">
        <w:t xml:space="preserve"> », </w:t>
      </w:r>
      <w:r w:rsidR="00E30952" w:rsidRPr="0053335D">
        <w:rPr>
          <w:i/>
          <w:iCs/>
        </w:rPr>
        <w:t>Laval théologique et philosophique</w:t>
      </w:r>
      <w:r w:rsidR="00E30952" w:rsidRPr="0053335D">
        <w:t>, 76, 1, 2020, p. 41-60.</w:t>
      </w:r>
    </w:p>
  </w:footnote>
  <w:footnote w:id="51">
    <w:p w14:paraId="531C293F" w14:textId="6D723A2C" w:rsidR="00F36C97" w:rsidRPr="0053335D" w:rsidRDefault="00F36C97" w:rsidP="0053335D">
      <w:pPr>
        <w:pStyle w:val="Notedebasdepage"/>
        <w:jc w:val="both"/>
      </w:pPr>
      <w:r w:rsidRPr="0053335D">
        <w:rPr>
          <w:rStyle w:val="Appelnotedebasdep"/>
        </w:rPr>
        <w:footnoteRef/>
      </w:r>
      <w:r w:rsidRPr="0053335D">
        <w:t xml:space="preserve"> </w:t>
      </w:r>
      <w:r w:rsidRPr="0053335D">
        <w:rPr>
          <w:i/>
          <w:iCs/>
        </w:rPr>
        <w:t>Évangile selon Jean</w:t>
      </w:r>
      <w:r w:rsidRPr="0053335D">
        <w:t xml:space="preserve"> 1, 14. Dans ce passage, le mot </w:t>
      </w:r>
      <w:proofErr w:type="spellStart"/>
      <w:r w:rsidRPr="0053335D">
        <w:t>λόγος</w:t>
      </w:r>
      <w:proofErr w:type="spellEnd"/>
      <w:r w:rsidRPr="0053335D">
        <w:t xml:space="preserve"> </w:t>
      </w:r>
      <w:r w:rsidRPr="0053335D">
        <w:rPr>
          <w:i/>
          <w:iCs/>
        </w:rPr>
        <w:t>logos</w:t>
      </w:r>
      <w:r w:rsidRPr="0053335D">
        <w:t>, est extrêmement polysémique. Qu’il apparaisse au début du livre attribué à Jean pourrait conduire à lui donner aussi une sens métalittéraire : la « parole » en question peut être le texte qui commence.</w:t>
      </w:r>
    </w:p>
  </w:footnote>
  <w:footnote w:id="52">
    <w:p w14:paraId="75A8FF83" w14:textId="39B9D061" w:rsidR="00F36C97" w:rsidRPr="0053335D" w:rsidRDefault="00F36C97" w:rsidP="0053335D">
      <w:pPr>
        <w:jc w:val="both"/>
        <w:rPr>
          <w:sz w:val="20"/>
          <w:szCs w:val="20"/>
          <w:highlight w:val="yellow"/>
        </w:rPr>
      </w:pPr>
      <w:r w:rsidRPr="0053335D">
        <w:rPr>
          <w:rStyle w:val="Appelnotedebasdep"/>
          <w:sz w:val="20"/>
          <w:szCs w:val="20"/>
        </w:rPr>
        <w:footnoteRef/>
      </w:r>
      <w:r w:rsidRPr="0053335D">
        <w:rPr>
          <w:sz w:val="20"/>
          <w:szCs w:val="20"/>
        </w:rPr>
        <w:t xml:space="preserve"> </w:t>
      </w:r>
      <w:r w:rsidRPr="0053335D">
        <w:rPr>
          <w:sz w:val="20"/>
          <w:szCs w:val="20"/>
        </w:rPr>
        <w:t xml:space="preserve">L’idée du texte et de la lecture empêche enfin de prendre en compte une autre réalité du contact avec les textes, particulièrement religieux : le fait qu’on peut y avoir accès d’abord par l’oralité plutôt que par le lecture ; le fait aussi qu’on puisse les connaître par des mises en images ou encore par des échos intertextuels. Même parmi un public croyant et pratiquant, la Bible est souvent plus régulièrement entendue – lors des cérémonies – que lue. Plusieurs personnes ont pu aussi connaître l’histoire de la rencontre entre Jésus et deux témoins sur un chemin proche de Jérusalem par </w:t>
      </w:r>
      <w:r w:rsidRPr="0053335D">
        <w:rPr>
          <w:i/>
          <w:iCs/>
          <w:sz w:val="20"/>
          <w:szCs w:val="20"/>
        </w:rPr>
        <w:t xml:space="preserve">Les Pèlerins d’Emmaüs </w:t>
      </w:r>
      <w:r w:rsidRPr="0053335D">
        <w:rPr>
          <w:sz w:val="20"/>
          <w:szCs w:val="20"/>
        </w:rPr>
        <w:t>de Rembrandt</w:t>
      </w:r>
      <w:r w:rsidRPr="0053335D">
        <w:rPr>
          <w:rStyle w:val="Appelnotedebasdep"/>
          <w:sz w:val="20"/>
          <w:szCs w:val="20"/>
        </w:rPr>
        <w:t xml:space="preserve"> </w:t>
      </w:r>
      <w:r w:rsidRPr="0053335D">
        <w:rPr>
          <w:sz w:val="20"/>
          <w:szCs w:val="20"/>
        </w:rPr>
        <w:t xml:space="preserve">(Rembrandt, </w:t>
      </w:r>
      <w:r w:rsidRPr="0053335D">
        <w:rPr>
          <w:i/>
          <w:iCs/>
          <w:sz w:val="20"/>
          <w:szCs w:val="20"/>
        </w:rPr>
        <w:t>Les Pèlerins d’Emmaüs</w:t>
      </w:r>
      <w:r w:rsidRPr="0053335D">
        <w:rPr>
          <w:sz w:val="20"/>
          <w:szCs w:val="20"/>
        </w:rPr>
        <w:t>, vers 1628, musée Jacquemart-André, Paris) plutôt que par le récit de cette entrevue dans l’</w:t>
      </w:r>
      <w:r w:rsidRPr="0053335D">
        <w:rPr>
          <w:i/>
          <w:iCs/>
          <w:sz w:val="20"/>
          <w:szCs w:val="20"/>
        </w:rPr>
        <w:t>Évangile selon Luc</w:t>
      </w:r>
      <w:r w:rsidRPr="0053335D">
        <w:rPr>
          <w:sz w:val="20"/>
          <w:szCs w:val="20"/>
        </w:rPr>
        <w:t xml:space="preserve"> (24, 13-34). D’autres ont pu lire le vers de Victor Hugo « Les ténèbres sans l’arche et l’eau sans la colombe » (Victor Hugo, « Pleine mer », </w:t>
      </w:r>
      <w:r w:rsidRPr="0053335D">
        <w:rPr>
          <w:i/>
          <w:iCs/>
          <w:sz w:val="20"/>
          <w:szCs w:val="20"/>
        </w:rPr>
        <w:t>La Légende des siècles</w:t>
      </w:r>
      <w:r w:rsidRPr="0053335D">
        <w:rPr>
          <w:sz w:val="20"/>
          <w:szCs w:val="20"/>
        </w:rPr>
        <w:t xml:space="preserve">, Paris, Hetzel, 1859, p. 207-216, p. 207) en ne découvrant qu’ensuite l’histoire de Noé et de la colombe dans la </w:t>
      </w:r>
      <w:r w:rsidRPr="0053335D">
        <w:rPr>
          <w:i/>
          <w:iCs/>
          <w:sz w:val="20"/>
          <w:szCs w:val="20"/>
        </w:rPr>
        <w:t>Genèse</w:t>
      </w:r>
      <w:r w:rsidRPr="0053335D">
        <w:rPr>
          <w:sz w:val="20"/>
          <w:szCs w:val="20"/>
        </w:rPr>
        <w:t xml:space="preserve"> (</w:t>
      </w:r>
      <w:r w:rsidRPr="0053335D">
        <w:rPr>
          <w:i/>
          <w:iCs/>
          <w:sz w:val="20"/>
          <w:szCs w:val="20"/>
        </w:rPr>
        <w:t>Genèse</w:t>
      </w:r>
      <w:r w:rsidRPr="0053335D">
        <w:rPr>
          <w:sz w:val="20"/>
          <w:szCs w:val="20"/>
        </w:rPr>
        <w:t xml:space="preserve"> 6-8 et plus spécialement </w:t>
      </w:r>
      <w:r w:rsidRPr="0053335D">
        <w:rPr>
          <w:i/>
          <w:iCs/>
          <w:sz w:val="20"/>
          <w:szCs w:val="20"/>
        </w:rPr>
        <w:t xml:space="preserve">Genèse </w:t>
      </w:r>
      <w:r w:rsidRPr="0053335D">
        <w:rPr>
          <w:sz w:val="20"/>
          <w:szCs w:val="20"/>
        </w:rPr>
        <w:t>8, 8-12).</w:t>
      </w:r>
    </w:p>
  </w:footnote>
  <w:footnote w:id="53">
    <w:p w14:paraId="5BBFFCFC" w14:textId="6F1AD0D2" w:rsidR="00022545" w:rsidRPr="0053335D" w:rsidRDefault="00022545" w:rsidP="0053335D">
      <w:pPr>
        <w:pStyle w:val="Notedebasdepage"/>
        <w:jc w:val="both"/>
      </w:pPr>
      <w:r w:rsidRPr="0053335D">
        <w:rPr>
          <w:rStyle w:val="Appelnotedebasdep"/>
        </w:rPr>
        <w:footnoteRef/>
      </w:r>
      <w:r w:rsidRPr="0053335D">
        <w:t xml:space="preserve"> </w:t>
      </w:r>
      <w:r w:rsidR="00D40EDA" w:rsidRPr="0053335D">
        <w:t>On n’est pas si loin de l’opposition entre « allégorie » et « pertinence », que l’on trouve chez John R. R. Tolkien : « l’allégorie sous toutes ses formes me déplaît cordialement, et il en est ainsi depuis que j’ai eu un âge suffisamment raisonnable pour détecter sa présence. Je préfère de loin l’histoire, vraie ou inventée, avec tout ce qu’elle comporte de pertinence (</w:t>
      </w:r>
      <w:proofErr w:type="spellStart"/>
      <w:r w:rsidR="00D40EDA" w:rsidRPr="0053335D">
        <w:rPr>
          <w:i/>
          <w:iCs/>
        </w:rPr>
        <w:t>its</w:t>
      </w:r>
      <w:proofErr w:type="spellEnd"/>
      <w:r w:rsidR="00D40EDA" w:rsidRPr="0053335D">
        <w:rPr>
          <w:i/>
          <w:iCs/>
        </w:rPr>
        <w:t xml:space="preserve"> </w:t>
      </w:r>
      <w:proofErr w:type="spellStart"/>
      <w:r w:rsidR="00D40EDA" w:rsidRPr="0053335D">
        <w:rPr>
          <w:i/>
          <w:iCs/>
        </w:rPr>
        <w:t>varied</w:t>
      </w:r>
      <w:proofErr w:type="spellEnd"/>
      <w:r w:rsidR="00D40EDA" w:rsidRPr="0053335D">
        <w:rPr>
          <w:i/>
          <w:iCs/>
        </w:rPr>
        <w:t xml:space="preserve"> </w:t>
      </w:r>
      <w:proofErr w:type="spellStart"/>
      <w:r w:rsidR="00D40EDA" w:rsidRPr="0053335D">
        <w:rPr>
          <w:i/>
          <w:iCs/>
        </w:rPr>
        <w:t>applicability</w:t>
      </w:r>
      <w:proofErr w:type="spellEnd"/>
      <w:r w:rsidR="00D40EDA" w:rsidRPr="0053335D">
        <w:t xml:space="preserve">) pour la pensée et l’expérience des lecteurs. Je crois que beaucoup de gens confondent </w:t>
      </w:r>
      <w:r w:rsidR="00D40EDA" w:rsidRPr="0053335D">
        <w:rPr>
          <w:lang w:val="en-AU"/>
        </w:rPr>
        <w:t>“</w:t>
      </w:r>
      <w:r w:rsidR="00D40EDA" w:rsidRPr="0053335D">
        <w:t>pertinence</w:t>
      </w:r>
      <w:r w:rsidR="00D40EDA" w:rsidRPr="0053335D">
        <w:rPr>
          <w:lang w:val="en-AU"/>
        </w:rPr>
        <w:t>”</w:t>
      </w:r>
      <w:r w:rsidR="00D40EDA" w:rsidRPr="0053335D">
        <w:t xml:space="preserve"> (</w:t>
      </w:r>
      <w:proofErr w:type="spellStart"/>
      <w:r w:rsidR="00D40EDA" w:rsidRPr="0053335D">
        <w:rPr>
          <w:i/>
          <w:iCs/>
        </w:rPr>
        <w:t>applicability</w:t>
      </w:r>
      <w:proofErr w:type="spellEnd"/>
      <w:r w:rsidR="00D40EDA" w:rsidRPr="0053335D">
        <w:t xml:space="preserve">) et </w:t>
      </w:r>
      <w:r w:rsidR="00D40EDA" w:rsidRPr="0053335D">
        <w:rPr>
          <w:lang w:val="en-AU"/>
        </w:rPr>
        <w:t>“</w:t>
      </w:r>
      <w:r w:rsidR="00D40EDA" w:rsidRPr="0053335D">
        <w:t>allégorie</w:t>
      </w:r>
      <w:r w:rsidR="00D40EDA" w:rsidRPr="0053335D">
        <w:rPr>
          <w:lang w:val="en-AU"/>
        </w:rPr>
        <w:t>”</w:t>
      </w:r>
      <w:r w:rsidR="00D40EDA" w:rsidRPr="0053335D">
        <w:t xml:space="preserve"> (</w:t>
      </w:r>
      <w:proofErr w:type="spellStart"/>
      <w:r w:rsidR="00D40EDA" w:rsidRPr="0053335D">
        <w:rPr>
          <w:i/>
          <w:iCs/>
        </w:rPr>
        <w:t>allegory</w:t>
      </w:r>
      <w:proofErr w:type="spellEnd"/>
      <w:r w:rsidR="00D40EDA" w:rsidRPr="0053335D">
        <w:t>), mais l’une réside dans la liberté du lecteur, l’autre dans un projet de domination de la part de l’auteur »</w:t>
      </w:r>
      <w:r w:rsidR="00E30952" w:rsidRPr="0053335D">
        <w:t xml:space="preserve"> (John R. R. Tolkien, « </w:t>
      </w:r>
      <w:proofErr w:type="spellStart"/>
      <w:r w:rsidR="00E30952" w:rsidRPr="0053335D">
        <w:t>Foreword</w:t>
      </w:r>
      <w:proofErr w:type="spellEnd"/>
      <w:r w:rsidR="00E30952" w:rsidRPr="0053335D">
        <w:t xml:space="preserve"> to the second </w:t>
      </w:r>
      <w:proofErr w:type="spellStart"/>
      <w:r w:rsidR="00E30952" w:rsidRPr="0053335D">
        <w:t>edition</w:t>
      </w:r>
      <w:proofErr w:type="spellEnd"/>
      <w:r w:rsidR="00E30952" w:rsidRPr="0053335D">
        <w:t xml:space="preserve"> », </w:t>
      </w:r>
      <w:r w:rsidR="00E30952" w:rsidRPr="0053335D">
        <w:rPr>
          <w:i/>
          <w:iCs/>
        </w:rPr>
        <w:t xml:space="preserve">in </w:t>
      </w:r>
      <w:r w:rsidR="00E30952" w:rsidRPr="0053335D">
        <w:t xml:space="preserve">John R. R. Tolkien, </w:t>
      </w:r>
      <w:r w:rsidR="00E30952" w:rsidRPr="0053335D">
        <w:rPr>
          <w:i/>
          <w:iCs/>
        </w:rPr>
        <w:t>The Lord of the Rings</w:t>
      </w:r>
      <w:r w:rsidR="00E30952" w:rsidRPr="0053335D">
        <w:t xml:space="preserve">, p. </w:t>
      </w:r>
      <w:r w:rsidR="00E30952" w:rsidRPr="0053335D">
        <w:rPr>
          <w:smallCaps/>
        </w:rPr>
        <w:t>xx</w:t>
      </w:r>
      <w:r w:rsidR="00E30952" w:rsidRPr="0053335D">
        <w:t xml:space="preserve"> dans l’édition du 50</w:t>
      </w:r>
      <w:r w:rsidR="00E30952" w:rsidRPr="0053335D">
        <w:rPr>
          <w:vertAlign w:val="superscript"/>
        </w:rPr>
        <w:t>e</w:t>
      </w:r>
      <w:r w:rsidR="00E30952" w:rsidRPr="0053335D">
        <w:t xml:space="preserve"> anniversaire, Londres, Harper Collins Publisher, 2004).</w:t>
      </w:r>
    </w:p>
  </w:footnote>
  <w:footnote w:id="54">
    <w:p w14:paraId="2BEC417D" w14:textId="1A21B12F" w:rsidR="00022545" w:rsidRPr="0053335D" w:rsidRDefault="00022545" w:rsidP="0053335D">
      <w:pPr>
        <w:pStyle w:val="Notedebasdepage"/>
        <w:jc w:val="both"/>
      </w:pPr>
      <w:r w:rsidRPr="0053335D">
        <w:rPr>
          <w:rStyle w:val="Appelnotedebasdep"/>
        </w:rPr>
        <w:footnoteRef/>
      </w:r>
      <w:r w:rsidRPr="0053335D">
        <w:t xml:space="preserve"> </w:t>
      </w:r>
      <w:r w:rsidRPr="0053335D">
        <w:t xml:space="preserve">C’est ce que </w:t>
      </w:r>
      <w:proofErr w:type="spellStart"/>
      <w:r w:rsidRPr="0053335D">
        <w:t>Douix</w:t>
      </w:r>
      <w:proofErr w:type="spellEnd"/>
      <w:r w:rsidRPr="0053335D">
        <w:t xml:space="preserve"> appelle</w:t>
      </w:r>
      <w:r w:rsidR="00D40EDA" w:rsidRPr="0053335D">
        <w:t xml:space="preserve">, dans un ouvrage à paraître, la </w:t>
      </w:r>
      <w:r w:rsidR="00D40EDA" w:rsidRPr="0053335D">
        <w:rPr>
          <w:i/>
          <w:iCs/>
        </w:rPr>
        <w:t>Littérature vulnérable</w:t>
      </w:r>
      <w:r w:rsidR="00D40EDA" w:rsidRPr="0053335D">
        <w:t>.</w:t>
      </w:r>
    </w:p>
  </w:footnote>
  <w:footnote w:id="55">
    <w:p w14:paraId="7945A8B4" w14:textId="356A97B5" w:rsidR="00E30952" w:rsidRPr="0053335D" w:rsidRDefault="00E30952" w:rsidP="0053335D">
      <w:pPr>
        <w:pStyle w:val="Notedebasdepage"/>
        <w:jc w:val="both"/>
      </w:pPr>
      <w:r w:rsidRPr="0053335D">
        <w:rPr>
          <w:rStyle w:val="Appelnotedebasdep"/>
        </w:rPr>
        <w:footnoteRef/>
      </w:r>
      <w:r w:rsidRPr="0053335D">
        <w:rPr>
          <w:lang w:val="fr-FR"/>
        </w:rPr>
        <w:t xml:space="preserve"> Sur le </w:t>
      </w:r>
      <w:r w:rsidRPr="0053335D">
        <w:rPr>
          <w:i/>
          <w:iCs/>
          <w:lang w:val="fr-FR"/>
        </w:rPr>
        <w:t xml:space="preserve">close </w:t>
      </w:r>
      <w:proofErr w:type="spellStart"/>
      <w:r w:rsidRPr="0053335D">
        <w:rPr>
          <w:i/>
          <w:iCs/>
          <w:lang w:val="fr-FR"/>
        </w:rPr>
        <w:t>reading</w:t>
      </w:r>
      <w:proofErr w:type="spellEnd"/>
      <w:r w:rsidRPr="0053335D">
        <w:rPr>
          <w:lang w:val="fr-FR"/>
        </w:rPr>
        <w:t>, voir notamment</w:t>
      </w:r>
      <w:r w:rsidR="00451FE3" w:rsidRPr="0053335D">
        <w:rPr>
          <w:lang w:val="fr-FR"/>
        </w:rPr>
        <w:t xml:space="preserve"> Frank </w:t>
      </w:r>
      <w:proofErr w:type="spellStart"/>
      <w:r w:rsidR="00451FE3" w:rsidRPr="0053335D">
        <w:rPr>
          <w:lang w:val="fr-FR"/>
        </w:rPr>
        <w:t>Lentricchia</w:t>
      </w:r>
      <w:proofErr w:type="spellEnd"/>
      <w:r w:rsidR="00451FE3" w:rsidRPr="0053335D">
        <w:rPr>
          <w:lang w:val="fr-FR"/>
        </w:rPr>
        <w:t xml:space="preserve"> et Andrew Dubois (</w:t>
      </w:r>
      <w:proofErr w:type="spellStart"/>
      <w:r w:rsidR="00451FE3" w:rsidRPr="0053335D">
        <w:rPr>
          <w:lang w:val="fr-FR"/>
        </w:rPr>
        <w:t>dir</w:t>
      </w:r>
      <w:proofErr w:type="spellEnd"/>
      <w:r w:rsidR="00451FE3" w:rsidRPr="0053335D">
        <w:rPr>
          <w:lang w:val="fr-FR"/>
        </w:rPr>
        <w:t>.),</w:t>
      </w:r>
      <w:r w:rsidRPr="0053335D">
        <w:rPr>
          <w:lang w:val="fr-FR"/>
        </w:rPr>
        <w:t xml:space="preserve"> </w:t>
      </w:r>
      <w:r w:rsidRPr="0053335D">
        <w:rPr>
          <w:i/>
          <w:iCs/>
          <w:lang w:val="fr-FR"/>
        </w:rPr>
        <w:t xml:space="preserve">Close </w:t>
      </w:r>
      <w:proofErr w:type="gramStart"/>
      <w:r w:rsidRPr="0053335D">
        <w:rPr>
          <w:i/>
          <w:iCs/>
          <w:lang w:val="fr-FR"/>
        </w:rPr>
        <w:t>Reading:</w:t>
      </w:r>
      <w:proofErr w:type="gramEnd"/>
      <w:r w:rsidRPr="0053335D">
        <w:rPr>
          <w:i/>
          <w:iCs/>
          <w:lang w:val="fr-FR"/>
        </w:rPr>
        <w:t xml:space="preserve"> The Reader</w:t>
      </w:r>
      <w:r w:rsidRPr="0053335D">
        <w:rPr>
          <w:lang w:val="fr-FR"/>
        </w:rPr>
        <w:t xml:space="preserve">, Durham, </w:t>
      </w:r>
      <w:r w:rsidR="00451FE3" w:rsidRPr="0053335D">
        <w:rPr>
          <w:lang w:val="fr-FR"/>
        </w:rPr>
        <w:t xml:space="preserve">Duke </w:t>
      </w:r>
      <w:proofErr w:type="spellStart"/>
      <w:r w:rsidR="00451FE3" w:rsidRPr="0053335D">
        <w:rPr>
          <w:lang w:val="fr-FR"/>
        </w:rPr>
        <w:t>University</w:t>
      </w:r>
      <w:proofErr w:type="spellEnd"/>
      <w:r w:rsidR="00451FE3" w:rsidRPr="0053335D">
        <w:rPr>
          <w:lang w:val="fr-FR"/>
        </w:rPr>
        <w:t xml:space="preserve"> </w:t>
      </w:r>
      <w:proofErr w:type="spellStart"/>
      <w:r w:rsidR="00451FE3" w:rsidRPr="0053335D">
        <w:rPr>
          <w:lang w:val="fr-FR"/>
        </w:rPr>
        <w:t>Press</w:t>
      </w:r>
      <w:proofErr w:type="spellEnd"/>
      <w:r w:rsidR="00451FE3" w:rsidRPr="0053335D">
        <w:rPr>
          <w:lang w:val="fr-FR"/>
        </w:rPr>
        <w:t xml:space="preserve">, </w:t>
      </w:r>
      <w:r w:rsidRPr="0053335D">
        <w:rPr>
          <w:lang w:val="fr-FR"/>
        </w:rPr>
        <w:t xml:space="preserve">2003. </w:t>
      </w:r>
    </w:p>
  </w:footnote>
  <w:footnote w:id="56">
    <w:p w14:paraId="2B96A1DB" w14:textId="5FFDFA33" w:rsidR="00451FE3" w:rsidRPr="0053335D" w:rsidRDefault="00451FE3" w:rsidP="0053335D">
      <w:pPr>
        <w:pStyle w:val="Notedebasdepage"/>
        <w:jc w:val="both"/>
      </w:pPr>
      <w:r w:rsidRPr="0053335D">
        <w:rPr>
          <w:rStyle w:val="Appelnotedebasdep"/>
        </w:rPr>
        <w:footnoteRef/>
      </w:r>
      <w:r w:rsidRPr="0053335D">
        <w:t xml:space="preserve"> </w:t>
      </w:r>
      <w:r w:rsidRPr="0053335D">
        <w:t xml:space="preserve">C’est une telle méthode que propose Stanley Fish dans Stanley Fish, </w:t>
      </w:r>
      <w:r w:rsidRPr="0053335D">
        <w:rPr>
          <w:lang w:val="en-US"/>
        </w:rPr>
        <w:t xml:space="preserve">« Literature in the Reader: Affective Stylistics », </w:t>
      </w:r>
      <w:r w:rsidRPr="0053335D">
        <w:rPr>
          <w:i/>
          <w:iCs/>
        </w:rPr>
        <w:t xml:space="preserve">New </w:t>
      </w:r>
      <w:proofErr w:type="spellStart"/>
      <w:r w:rsidRPr="0053335D">
        <w:rPr>
          <w:i/>
          <w:iCs/>
        </w:rPr>
        <w:t>Literary</w:t>
      </w:r>
      <w:proofErr w:type="spellEnd"/>
      <w:r w:rsidRPr="0053335D">
        <w:rPr>
          <w:i/>
          <w:iCs/>
        </w:rPr>
        <w:t xml:space="preserve"> </w:t>
      </w:r>
      <w:proofErr w:type="spellStart"/>
      <w:r w:rsidRPr="0053335D">
        <w:rPr>
          <w:i/>
          <w:iCs/>
        </w:rPr>
        <w:t>History</w:t>
      </w:r>
      <w:proofErr w:type="spellEnd"/>
      <w:r w:rsidRPr="0053335D">
        <w:t>, 2, 1, 1970, p. 123-162.</w:t>
      </w:r>
    </w:p>
  </w:footnote>
  <w:footnote w:id="57">
    <w:p w14:paraId="193911F3" w14:textId="022D10FA" w:rsidR="00451FE3" w:rsidRPr="0053335D" w:rsidRDefault="00451FE3" w:rsidP="0053335D">
      <w:pPr>
        <w:pStyle w:val="Notedebasdepage"/>
        <w:jc w:val="both"/>
      </w:pPr>
      <w:r w:rsidRPr="0053335D">
        <w:rPr>
          <w:rStyle w:val="Appelnotedebasdep"/>
        </w:rPr>
        <w:footnoteRef/>
      </w:r>
      <w:r w:rsidRPr="0053335D">
        <w:t xml:space="preserve"> </w:t>
      </w:r>
      <w:r w:rsidRPr="0053335D">
        <w:t xml:space="preserve">C’est le point sur lequel je réviserais la théorie de Stanley Fish qui n’envisage la progression de la lecture que « de gauche à droite » suivant « la chaîne des mots » (Stanley Fish, </w:t>
      </w:r>
      <w:r w:rsidRPr="0053335D">
        <w:rPr>
          <w:lang w:val="en-US"/>
        </w:rPr>
        <w:t>« Literature in the Reader</w:t>
      </w:r>
      <w:r w:rsidRPr="0053335D">
        <w:rPr>
          <w:lang w:val="fr-FR"/>
        </w:rPr>
        <w:t xml:space="preserve"> », </w:t>
      </w:r>
      <w:r w:rsidRPr="0053335D">
        <w:rPr>
          <w:i/>
          <w:iCs/>
          <w:lang w:val="fr-FR"/>
        </w:rPr>
        <w:t xml:space="preserve">art. </w:t>
      </w:r>
      <w:proofErr w:type="spellStart"/>
      <w:r w:rsidRPr="0053335D">
        <w:rPr>
          <w:i/>
          <w:iCs/>
          <w:lang w:val="fr-FR"/>
        </w:rPr>
        <w:t>cit</w:t>
      </w:r>
      <w:proofErr w:type="spellEnd"/>
      <w:r w:rsidRPr="0053335D">
        <w:rPr>
          <w:i/>
          <w:iCs/>
          <w:lang w:val="fr-FR"/>
        </w:rPr>
        <w:t>.</w:t>
      </w:r>
      <w:r w:rsidRPr="0053335D">
        <w:rPr>
          <w:lang w:val="fr-FR"/>
        </w:rPr>
        <w:t>, p. 143</w:t>
      </w:r>
      <w:r w:rsidRPr="0053335D">
        <w:t>) alors qu’</w:t>
      </w:r>
      <w:proofErr w:type="spellStart"/>
      <w:r w:rsidRPr="0053335D">
        <w:t>un·e</w:t>
      </w:r>
      <w:proofErr w:type="spellEnd"/>
      <w:r w:rsidRPr="0053335D">
        <w:t xml:space="preserve"> </w:t>
      </w:r>
      <w:proofErr w:type="spellStart"/>
      <w:r w:rsidRPr="0053335D">
        <w:t>lecteur·rice</w:t>
      </w:r>
      <w:proofErr w:type="spellEnd"/>
      <w:r w:rsidRPr="0053335D">
        <w:t xml:space="preserve"> peut aussi lire en diagonale et à rebours de l’ordre des pages.</w:t>
      </w:r>
    </w:p>
  </w:footnote>
  <w:footnote w:id="58">
    <w:p w14:paraId="3DD5CB56" w14:textId="28840AD0" w:rsidR="003A6E15" w:rsidRPr="0053335D" w:rsidRDefault="003A6E15" w:rsidP="0053335D">
      <w:pPr>
        <w:pStyle w:val="Notedebasdepage"/>
        <w:jc w:val="both"/>
      </w:pPr>
      <w:r w:rsidRPr="0053335D">
        <w:rPr>
          <w:rStyle w:val="Appelnotedebasdep"/>
        </w:rPr>
        <w:footnoteRef/>
      </w:r>
      <w:r w:rsidRPr="0053335D">
        <w:t xml:space="preserve"> </w:t>
      </w:r>
      <w:r w:rsidRPr="0053335D">
        <w:rPr>
          <w:i/>
          <w:iCs/>
        </w:rPr>
        <w:t>Lettre aux évêques de l’Église… dans le monde</w:t>
      </w:r>
      <w:r w:rsidRPr="0053335D">
        <w:t>, 5.</w:t>
      </w:r>
    </w:p>
  </w:footnote>
  <w:footnote w:id="59">
    <w:p w14:paraId="68826230" w14:textId="5D7466A1" w:rsidR="003A6E15" w:rsidRPr="0053335D" w:rsidRDefault="003A6E15" w:rsidP="0053335D">
      <w:pPr>
        <w:pStyle w:val="Notedebasdepage"/>
        <w:jc w:val="both"/>
        <w:rPr>
          <w:i/>
          <w:iCs/>
        </w:rPr>
      </w:pPr>
      <w:r w:rsidRPr="0053335D">
        <w:rPr>
          <w:rStyle w:val="Appelnotedebasdep"/>
        </w:rPr>
        <w:footnoteRef/>
      </w:r>
      <w:r w:rsidRPr="0053335D">
        <w:t xml:space="preserve"> </w:t>
      </w:r>
      <w:r w:rsidR="0053335D" w:rsidRPr="0053335D">
        <w:rPr>
          <w:i/>
          <w:iCs/>
        </w:rPr>
        <w:t>Ibid.</w:t>
      </w:r>
    </w:p>
  </w:footnote>
  <w:footnote w:id="60">
    <w:p w14:paraId="5D243F26" w14:textId="595039ED" w:rsidR="003A6E15" w:rsidRPr="0053335D" w:rsidRDefault="003A6E15" w:rsidP="0053335D">
      <w:pPr>
        <w:pStyle w:val="Notedebasdepage"/>
        <w:jc w:val="both"/>
        <w:rPr>
          <w:i/>
          <w:iCs/>
        </w:rPr>
      </w:pPr>
      <w:r w:rsidRPr="0053335D">
        <w:rPr>
          <w:rStyle w:val="Appelnotedebasdep"/>
        </w:rPr>
        <w:footnoteRef/>
      </w:r>
      <w:r w:rsidRPr="0053335D">
        <w:t xml:space="preserve"> </w:t>
      </w:r>
      <w:r w:rsidR="0053335D" w:rsidRPr="0053335D">
        <w:rPr>
          <w:i/>
          <w:iCs/>
        </w:rPr>
        <w:t>Ibid.</w:t>
      </w:r>
    </w:p>
  </w:footnote>
  <w:footnote w:id="61">
    <w:p w14:paraId="18652BA1" w14:textId="77CDA724" w:rsidR="003A6E15" w:rsidRPr="0053335D" w:rsidRDefault="003A6E15" w:rsidP="0053335D">
      <w:pPr>
        <w:pStyle w:val="Notedebasdepage"/>
        <w:jc w:val="both"/>
      </w:pPr>
      <w:r w:rsidRPr="0053335D">
        <w:rPr>
          <w:rStyle w:val="Appelnotedebasdep"/>
        </w:rPr>
        <w:footnoteRef/>
      </w:r>
      <w:r w:rsidRPr="0053335D">
        <w:t xml:space="preserve"> </w:t>
      </w:r>
      <w:r w:rsidR="0053335D" w:rsidRPr="0053335D">
        <w:rPr>
          <w:i/>
          <w:iCs/>
        </w:rPr>
        <w:t>Ibid.</w:t>
      </w:r>
    </w:p>
  </w:footnote>
  <w:footnote w:id="62">
    <w:p w14:paraId="603F8F4B" w14:textId="77777777" w:rsidR="003A6E15" w:rsidRPr="0053335D" w:rsidRDefault="003A6E15" w:rsidP="0053335D">
      <w:pPr>
        <w:pStyle w:val="Notedebasdepage"/>
        <w:jc w:val="both"/>
      </w:pPr>
      <w:r w:rsidRPr="0053335D">
        <w:rPr>
          <w:rStyle w:val="Appelnotedebasdep"/>
        </w:rPr>
        <w:footnoteRef/>
      </w:r>
      <w:r w:rsidRPr="0053335D">
        <w:t xml:space="preserve"> </w:t>
      </w:r>
      <w:r w:rsidRPr="0053335D">
        <w:rPr>
          <w:i/>
          <w:iCs/>
        </w:rPr>
        <w:t>Lettre aux évêques de l’Église… dans le monde</w:t>
      </w:r>
      <w:r w:rsidRPr="0053335D">
        <w:t>, 5.</w:t>
      </w:r>
    </w:p>
  </w:footnote>
  <w:footnote w:id="63">
    <w:p w14:paraId="3FF7AF97" w14:textId="17F72BFD" w:rsidR="00E579BF" w:rsidRPr="0053335D" w:rsidRDefault="00E579BF" w:rsidP="0053335D">
      <w:pPr>
        <w:pStyle w:val="Notedebasdepage"/>
        <w:jc w:val="both"/>
        <w:rPr>
          <w:lang w:val="en-US"/>
        </w:rPr>
      </w:pPr>
      <w:r w:rsidRPr="0053335D">
        <w:rPr>
          <w:rStyle w:val="Appelnotedebasdep"/>
        </w:rPr>
        <w:footnoteRef/>
      </w:r>
      <w:r w:rsidRPr="0053335D">
        <w:t xml:space="preserve"> </w:t>
      </w:r>
      <w:r w:rsidRPr="0053335D">
        <w:t xml:space="preserve">Pour l’hébreu, je suis le texte dit massorétique tel qu’il est édité </w:t>
      </w:r>
      <w:r w:rsidR="00357330" w:rsidRPr="0053335D">
        <w:t>par</w:t>
      </w:r>
      <w:r w:rsidRPr="0053335D">
        <w:t xml:space="preserve"> </w:t>
      </w:r>
      <w:r w:rsidR="00357330" w:rsidRPr="0053335D">
        <w:rPr>
          <w:color w:val="000000" w:themeColor="text1"/>
        </w:rPr>
        <w:t xml:space="preserve">Rudolf Kittel, Karl </w:t>
      </w:r>
      <w:proofErr w:type="spellStart"/>
      <w:r w:rsidR="00357330" w:rsidRPr="0053335D">
        <w:rPr>
          <w:color w:val="000000" w:themeColor="text1"/>
        </w:rPr>
        <w:t>Elliger</w:t>
      </w:r>
      <w:proofErr w:type="spellEnd"/>
      <w:r w:rsidR="00357330" w:rsidRPr="0053335D">
        <w:rPr>
          <w:color w:val="000000" w:themeColor="text1"/>
        </w:rPr>
        <w:t xml:space="preserve">, Wilhelm Rudolph </w:t>
      </w:r>
      <w:r w:rsidR="00357330" w:rsidRPr="0053335D">
        <w:rPr>
          <w:i/>
          <w:iCs/>
          <w:color w:val="000000" w:themeColor="text1"/>
        </w:rPr>
        <w:t>et al.</w:t>
      </w:r>
      <w:r w:rsidR="00357330" w:rsidRPr="0053335D">
        <w:rPr>
          <w:color w:val="000000" w:themeColor="text1"/>
        </w:rPr>
        <w:t xml:space="preserve"> dans </w:t>
      </w:r>
      <w:proofErr w:type="spellStart"/>
      <w:r w:rsidR="00357330" w:rsidRPr="0053335D">
        <w:rPr>
          <w:i/>
          <w:iCs/>
          <w:color w:val="000000" w:themeColor="text1"/>
        </w:rPr>
        <w:t>Biblia</w:t>
      </w:r>
      <w:proofErr w:type="spellEnd"/>
      <w:r w:rsidR="00357330" w:rsidRPr="0053335D">
        <w:rPr>
          <w:i/>
          <w:iCs/>
          <w:color w:val="000000" w:themeColor="text1"/>
        </w:rPr>
        <w:t xml:space="preserve"> </w:t>
      </w:r>
      <w:proofErr w:type="spellStart"/>
      <w:r w:rsidR="00357330" w:rsidRPr="0053335D">
        <w:rPr>
          <w:i/>
          <w:iCs/>
          <w:color w:val="000000" w:themeColor="text1"/>
        </w:rPr>
        <w:t>Hebraica</w:t>
      </w:r>
      <w:proofErr w:type="spellEnd"/>
      <w:r w:rsidR="00357330" w:rsidRPr="0053335D">
        <w:rPr>
          <w:i/>
          <w:iCs/>
          <w:color w:val="000000" w:themeColor="text1"/>
        </w:rPr>
        <w:t xml:space="preserve"> </w:t>
      </w:r>
      <w:proofErr w:type="spellStart"/>
      <w:r w:rsidR="00357330" w:rsidRPr="0053335D">
        <w:rPr>
          <w:i/>
          <w:iCs/>
          <w:color w:val="000000" w:themeColor="text1"/>
        </w:rPr>
        <w:t>Stuttgartensia</w:t>
      </w:r>
      <w:proofErr w:type="spellEnd"/>
      <w:r w:rsidR="00357330" w:rsidRPr="0053335D">
        <w:rPr>
          <w:color w:val="000000" w:themeColor="text1"/>
        </w:rPr>
        <w:t xml:space="preserve">, Stuttgart, Deutsche </w:t>
      </w:r>
      <w:proofErr w:type="spellStart"/>
      <w:r w:rsidR="00357330" w:rsidRPr="0053335D">
        <w:rPr>
          <w:color w:val="000000" w:themeColor="text1"/>
        </w:rPr>
        <w:t>Bibelgesellschaft</w:t>
      </w:r>
      <w:proofErr w:type="spellEnd"/>
      <w:r w:rsidR="00357330" w:rsidRPr="0053335D">
        <w:rPr>
          <w:color w:val="000000" w:themeColor="text1"/>
        </w:rPr>
        <w:t>, 5</w:t>
      </w:r>
      <w:r w:rsidR="00357330" w:rsidRPr="0053335D">
        <w:rPr>
          <w:color w:val="000000" w:themeColor="text1"/>
          <w:vertAlign w:val="superscript"/>
        </w:rPr>
        <w:t>e</w:t>
      </w:r>
      <w:r w:rsidR="00357330" w:rsidRPr="0053335D">
        <w:rPr>
          <w:color w:val="000000" w:themeColor="text1"/>
        </w:rPr>
        <w:t xml:space="preserve"> édition en 1997.</w:t>
      </w:r>
    </w:p>
  </w:footnote>
  <w:footnote w:id="64">
    <w:p w14:paraId="2B73C35E" w14:textId="743342DB" w:rsidR="0089701C" w:rsidRPr="0053335D" w:rsidRDefault="0089701C" w:rsidP="0053335D">
      <w:pPr>
        <w:pStyle w:val="Notedebasdepage"/>
        <w:jc w:val="both"/>
        <w:rPr>
          <w:lang w:val="en-US"/>
        </w:rPr>
      </w:pPr>
      <w:r w:rsidRPr="0053335D">
        <w:rPr>
          <w:rStyle w:val="Appelnotedebasdep"/>
        </w:rPr>
        <w:footnoteRef/>
      </w:r>
      <w:r w:rsidRPr="0053335D">
        <w:rPr>
          <w:lang w:val="en-US"/>
        </w:rPr>
        <w:t xml:space="preserve"> Le mot </w:t>
      </w:r>
      <w:proofErr w:type="spellStart"/>
      <w:r w:rsidRPr="0053335D">
        <w:rPr>
          <w:lang w:val="en-US"/>
        </w:rPr>
        <w:t>hébreu</w:t>
      </w:r>
      <w:proofErr w:type="spellEnd"/>
      <w:r w:rsidRPr="0053335D">
        <w:rPr>
          <w:lang w:val="en-US"/>
        </w:rPr>
        <w:t xml:space="preserve"> </w:t>
      </w:r>
      <w:proofErr w:type="spellStart"/>
      <w:r w:rsidRPr="0053335D">
        <w:rPr>
          <w:color w:val="000000"/>
        </w:rPr>
        <w:t>אָדָם</w:t>
      </w:r>
      <w:proofErr w:type="spellEnd"/>
      <w:r w:rsidRPr="0053335D">
        <w:rPr>
          <w:color w:val="000000"/>
          <w:lang w:val="en-US"/>
        </w:rPr>
        <w:t xml:space="preserve">, </w:t>
      </w:r>
      <w:r w:rsidRPr="0053335D">
        <w:rPr>
          <w:i/>
          <w:iCs/>
          <w:color w:val="000000"/>
          <w:lang w:val="en-US"/>
        </w:rPr>
        <w:t>‘</w:t>
      </w:r>
      <w:proofErr w:type="spellStart"/>
      <w:r w:rsidRPr="0053335D">
        <w:rPr>
          <w:i/>
          <w:iCs/>
          <w:color w:val="000000"/>
          <w:lang w:val="en-US"/>
        </w:rPr>
        <w:t>adam</w:t>
      </w:r>
      <w:proofErr w:type="spellEnd"/>
      <w:r w:rsidRPr="0053335D">
        <w:rPr>
          <w:color w:val="000000"/>
          <w:lang w:val="en-US"/>
        </w:rPr>
        <w:t xml:space="preserve"> </w:t>
      </w:r>
      <w:proofErr w:type="spellStart"/>
      <w:r w:rsidRPr="0053335D">
        <w:rPr>
          <w:color w:val="000000"/>
          <w:lang w:val="en-US"/>
        </w:rPr>
        <w:t>signifie</w:t>
      </w:r>
      <w:proofErr w:type="spellEnd"/>
      <w:r w:rsidRPr="0053335D">
        <w:rPr>
          <w:color w:val="000000"/>
          <w:lang w:val="en-US"/>
        </w:rPr>
        <w:t xml:space="preserve"> « </w:t>
      </w:r>
      <w:proofErr w:type="spellStart"/>
      <w:r w:rsidRPr="0053335D">
        <w:rPr>
          <w:color w:val="000000"/>
          <w:lang w:val="en-US"/>
        </w:rPr>
        <w:t>celui</w:t>
      </w:r>
      <w:proofErr w:type="spellEnd"/>
      <w:r w:rsidRPr="0053335D">
        <w:rPr>
          <w:color w:val="000000"/>
          <w:lang w:val="en-US"/>
        </w:rPr>
        <w:t xml:space="preserve"> </w:t>
      </w:r>
      <w:proofErr w:type="spellStart"/>
      <w:r w:rsidRPr="0053335D">
        <w:rPr>
          <w:color w:val="000000"/>
          <w:lang w:val="en-US"/>
        </w:rPr>
        <w:t>formé</w:t>
      </w:r>
      <w:proofErr w:type="spellEnd"/>
      <w:r w:rsidRPr="0053335D">
        <w:rPr>
          <w:color w:val="000000"/>
          <w:lang w:val="en-US"/>
        </w:rPr>
        <w:t xml:space="preserve"> de </w:t>
      </w:r>
      <w:proofErr w:type="spellStart"/>
      <w:r w:rsidRPr="0053335D">
        <w:rPr>
          <w:color w:val="000000"/>
        </w:rPr>
        <w:t>אֲדָמָה</w:t>
      </w:r>
      <w:proofErr w:type="spellEnd"/>
      <w:r w:rsidRPr="0053335D">
        <w:rPr>
          <w:color w:val="000000"/>
          <w:lang w:val="en-US"/>
        </w:rPr>
        <w:t xml:space="preserve"> [</w:t>
      </w:r>
      <w:r w:rsidRPr="0053335D">
        <w:rPr>
          <w:i/>
          <w:iCs/>
          <w:color w:val="000000"/>
          <w:lang w:val="en-US"/>
        </w:rPr>
        <w:t>‘</w:t>
      </w:r>
      <w:proofErr w:type="spellStart"/>
      <w:r w:rsidRPr="0053335D">
        <w:rPr>
          <w:i/>
          <w:iCs/>
          <w:color w:val="000000"/>
          <w:lang w:val="en-US"/>
        </w:rPr>
        <w:t>adamah</w:t>
      </w:r>
      <w:proofErr w:type="spellEnd"/>
      <w:r w:rsidRPr="0053335D">
        <w:rPr>
          <w:color w:val="000000"/>
          <w:lang w:val="en-US"/>
        </w:rPr>
        <w:t>] le sol » (</w:t>
      </w:r>
      <w:r w:rsidRPr="0053335D">
        <w:rPr>
          <w:lang w:val="en-US"/>
        </w:rPr>
        <w:t xml:space="preserve">Ernest David Klein, </w:t>
      </w:r>
      <w:r w:rsidRPr="0053335D">
        <w:rPr>
          <w:i/>
          <w:iCs/>
          <w:lang w:val="en-US"/>
        </w:rPr>
        <w:t>A Comprehensive Etymological Dictionary of the Hebrew Language of Readers of English</w:t>
      </w:r>
      <w:r w:rsidRPr="0053335D">
        <w:rPr>
          <w:lang w:val="en-US"/>
        </w:rPr>
        <w:t xml:space="preserve">, </w:t>
      </w:r>
      <w:proofErr w:type="spellStart"/>
      <w:r w:rsidRPr="0053335D">
        <w:rPr>
          <w:lang w:val="en-US"/>
        </w:rPr>
        <w:t>Jérusalem</w:t>
      </w:r>
      <w:proofErr w:type="spellEnd"/>
      <w:r w:rsidRPr="0053335D">
        <w:rPr>
          <w:lang w:val="en-US"/>
        </w:rPr>
        <w:t>-Haifa, University of Haifa, 1987).</w:t>
      </w:r>
    </w:p>
  </w:footnote>
  <w:footnote w:id="65">
    <w:p w14:paraId="0586913D" w14:textId="1C87700C" w:rsidR="00357330" w:rsidRPr="0053335D" w:rsidRDefault="00357330" w:rsidP="0053335D">
      <w:pPr>
        <w:pStyle w:val="Notedebasdepage"/>
        <w:jc w:val="both"/>
        <w:rPr>
          <w:lang w:val="en-US"/>
        </w:rPr>
      </w:pPr>
      <w:r w:rsidRPr="0053335D">
        <w:rPr>
          <w:rStyle w:val="Appelnotedebasdep"/>
        </w:rPr>
        <w:footnoteRef/>
      </w:r>
      <w:r w:rsidRPr="0053335D">
        <w:rPr>
          <w:lang w:val="en-US"/>
        </w:rPr>
        <w:t xml:space="preserve"> </w:t>
      </w:r>
      <w:proofErr w:type="spellStart"/>
      <w:r w:rsidRPr="0053335D">
        <w:rPr>
          <w:i/>
          <w:iCs/>
          <w:lang w:val="en-US"/>
        </w:rPr>
        <w:t>Genèse</w:t>
      </w:r>
      <w:proofErr w:type="spellEnd"/>
      <w:r w:rsidRPr="0053335D">
        <w:rPr>
          <w:lang w:val="en-US"/>
        </w:rPr>
        <w:t xml:space="preserve"> 1, 27.</w:t>
      </w:r>
    </w:p>
  </w:footnote>
  <w:footnote w:id="66">
    <w:p w14:paraId="26362191" w14:textId="6E88ED10" w:rsidR="00357330" w:rsidRPr="0053335D" w:rsidRDefault="00357330" w:rsidP="0053335D">
      <w:pPr>
        <w:pStyle w:val="Notedebasdepage"/>
        <w:jc w:val="both"/>
        <w:rPr>
          <w:lang w:val="en-US"/>
        </w:rPr>
      </w:pPr>
      <w:r w:rsidRPr="0053335D">
        <w:rPr>
          <w:rStyle w:val="Appelnotedebasdep"/>
        </w:rPr>
        <w:footnoteRef/>
      </w:r>
      <w:r w:rsidRPr="0053335D">
        <w:rPr>
          <w:lang w:val="en-US"/>
        </w:rPr>
        <w:t xml:space="preserve"> Ernest David Klein, </w:t>
      </w:r>
      <w:r w:rsidRPr="0053335D">
        <w:rPr>
          <w:i/>
          <w:iCs/>
          <w:lang w:val="en-US"/>
        </w:rPr>
        <w:t>A Comprehensive Etymological Dictionary of the Hebrew Language</w:t>
      </w:r>
      <w:r w:rsidR="0089701C" w:rsidRPr="0053335D">
        <w:rPr>
          <w:lang w:val="en-US"/>
        </w:rPr>
        <w:t xml:space="preserve">, </w:t>
      </w:r>
      <w:r w:rsidR="0089701C" w:rsidRPr="0053335D">
        <w:rPr>
          <w:i/>
          <w:iCs/>
          <w:lang w:val="en-US"/>
        </w:rPr>
        <w:t>op. cit.</w:t>
      </w:r>
    </w:p>
  </w:footnote>
  <w:footnote w:id="67">
    <w:p w14:paraId="42F11827" w14:textId="46473245" w:rsidR="00357330" w:rsidRPr="0053335D" w:rsidRDefault="00357330" w:rsidP="0053335D">
      <w:pPr>
        <w:pStyle w:val="Notedebasdepage"/>
        <w:jc w:val="both"/>
      </w:pPr>
      <w:r w:rsidRPr="0053335D">
        <w:rPr>
          <w:rStyle w:val="Appelnotedebasdep"/>
        </w:rPr>
        <w:footnoteRef/>
      </w:r>
      <w:r w:rsidRPr="0053335D">
        <w:t xml:space="preserve"> </w:t>
      </w:r>
      <w:r w:rsidR="00123CB9" w:rsidRPr="0053335D">
        <w:rPr>
          <w:i/>
          <w:iCs/>
        </w:rPr>
        <w:t>Ibid.</w:t>
      </w:r>
    </w:p>
  </w:footnote>
  <w:footnote w:id="68">
    <w:p w14:paraId="5C1B2015" w14:textId="4C96D756" w:rsidR="00745E92" w:rsidRPr="0053335D" w:rsidRDefault="00745E92" w:rsidP="0053335D">
      <w:pPr>
        <w:jc w:val="both"/>
        <w:rPr>
          <w:sz w:val="20"/>
          <w:szCs w:val="20"/>
        </w:rPr>
      </w:pPr>
      <w:r w:rsidRPr="0053335D">
        <w:rPr>
          <w:rStyle w:val="Appelnotedebasdep"/>
          <w:sz w:val="20"/>
          <w:szCs w:val="20"/>
        </w:rPr>
        <w:footnoteRef/>
      </w:r>
      <w:r w:rsidRPr="0053335D">
        <w:rPr>
          <w:sz w:val="20"/>
          <w:szCs w:val="20"/>
        </w:rPr>
        <w:t xml:space="preserve"> </w:t>
      </w:r>
      <w:r w:rsidRPr="0053335D">
        <w:rPr>
          <w:color w:val="000000"/>
          <w:sz w:val="20"/>
          <w:szCs w:val="20"/>
        </w:rPr>
        <w:t>Cette distinction apparaît aussi dans les traductions grecque (ἐπ</w:t>
      </w:r>
      <w:proofErr w:type="spellStart"/>
      <w:r w:rsidRPr="0053335D">
        <w:rPr>
          <w:color w:val="000000"/>
          <w:sz w:val="20"/>
          <w:szCs w:val="20"/>
        </w:rPr>
        <w:t>οίησεν</w:t>
      </w:r>
      <w:proofErr w:type="spellEnd"/>
      <w:r w:rsidRPr="0053335D">
        <w:rPr>
          <w:color w:val="000000"/>
          <w:sz w:val="20"/>
          <w:szCs w:val="20"/>
        </w:rPr>
        <w:t xml:space="preserve"> α</w:t>
      </w:r>
      <w:proofErr w:type="spellStart"/>
      <w:r w:rsidRPr="0053335D">
        <w:rPr>
          <w:color w:val="000000"/>
          <w:sz w:val="20"/>
          <w:szCs w:val="20"/>
        </w:rPr>
        <w:t>ὐτόν</w:t>
      </w:r>
      <w:proofErr w:type="spellEnd"/>
      <w:r w:rsidRPr="0053335D">
        <w:rPr>
          <w:color w:val="000000"/>
          <w:sz w:val="20"/>
          <w:szCs w:val="20"/>
        </w:rPr>
        <w:t xml:space="preserve">, </w:t>
      </w:r>
      <w:proofErr w:type="spellStart"/>
      <w:r w:rsidRPr="0053335D">
        <w:rPr>
          <w:i/>
          <w:iCs/>
          <w:color w:val="000000"/>
          <w:sz w:val="20"/>
          <w:szCs w:val="20"/>
        </w:rPr>
        <w:t>époïêsén</w:t>
      </w:r>
      <w:proofErr w:type="spellEnd"/>
      <w:r w:rsidRPr="0053335D">
        <w:rPr>
          <w:i/>
          <w:iCs/>
          <w:color w:val="000000"/>
          <w:sz w:val="20"/>
          <w:szCs w:val="20"/>
        </w:rPr>
        <w:t xml:space="preserve"> </w:t>
      </w:r>
      <w:proofErr w:type="spellStart"/>
      <w:r w:rsidRPr="0053335D">
        <w:rPr>
          <w:i/>
          <w:iCs/>
          <w:color w:val="000000"/>
          <w:sz w:val="20"/>
          <w:szCs w:val="20"/>
        </w:rPr>
        <w:t>auton</w:t>
      </w:r>
      <w:proofErr w:type="spellEnd"/>
      <w:r w:rsidRPr="0053335D">
        <w:rPr>
          <w:color w:val="000000"/>
          <w:sz w:val="20"/>
          <w:szCs w:val="20"/>
        </w:rPr>
        <w:t>, « il le fit »… ἐπ</w:t>
      </w:r>
      <w:proofErr w:type="spellStart"/>
      <w:r w:rsidRPr="0053335D">
        <w:rPr>
          <w:color w:val="000000"/>
          <w:sz w:val="20"/>
          <w:szCs w:val="20"/>
        </w:rPr>
        <w:t>οίησεν</w:t>
      </w:r>
      <w:proofErr w:type="spellEnd"/>
      <w:r w:rsidRPr="0053335D">
        <w:rPr>
          <w:color w:val="000000"/>
          <w:sz w:val="20"/>
          <w:szCs w:val="20"/>
        </w:rPr>
        <w:t xml:space="preserve"> α</w:t>
      </w:r>
      <w:proofErr w:type="spellStart"/>
      <w:r w:rsidRPr="0053335D">
        <w:rPr>
          <w:color w:val="000000"/>
          <w:sz w:val="20"/>
          <w:szCs w:val="20"/>
        </w:rPr>
        <w:t>ὐτούς</w:t>
      </w:r>
      <w:proofErr w:type="spellEnd"/>
      <w:r w:rsidRPr="0053335D">
        <w:rPr>
          <w:color w:val="000000"/>
          <w:sz w:val="20"/>
          <w:szCs w:val="20"/>
        </w:rPr>
        <w:t xml:space="preserve">, </w:t>
      </w:r>
      <w:proofErr w:type="spellStart"/>
      <w:r w:rsidRPr="0053335D">
        <w:rPr>
          <w:i/>
          <w:iCs/>
          <w:color w:val="000000"/>
          <w:sz w:val="20"/>
          <w:szCs w:val="20"/>
        </w:rPr>
        <w:t>époïêsén</w:t>
      </w:r>
      <w:proofErr w:type="spellEnd"/>
      <w:r w:rsidRPr="0053335D">
        <w:rPr>
          <w:i/>
          <w:iCs/>
          <w:color w:val="000000"/>
          <w:sz w:val="20"/>
          <w:szCs w:val="20"/>
        </w:rPr>
        <w:t xml:space="preserve"> </w:t>
      </w:r>
      <w:proofErr w:type="spellStart"/>
      <w:r w:rsidRPr="0053335D">
        <w:rPr>
          <w:i/>
          <w:iCs/>
          <w:color w:val="000000"/>
          <w:sz w:val="20"/>
          <w:szCs w:val="20"/>
        </w:rPr>
        <w:t>autous</w:t>
      </w:r>
      <w:proofErr w:type="spellEnd"/>
      <w:r w:rsidRPr="0053335D">
        <w:rPr>
          <w:color w:val="000000"/>
          <w:sz w:val="20"/>
          <w:szCs w:val="20"/>
        </w:rPr>
        <w:t>, « il les fit ») et latine (</w:t>
      </w:r>
      <w:proofErr w:type="spellStart"/>
      <w:r w:rsidRPr="0053335D">
        <w:rPr>
          <w:i/>
          <w:iCs/>
          <w:color w:val="000000"/>
          <w:sz w:val="20"/>
          <w:szCs w:val="20"/>
        </w:rPr>
        <w:t>creavit</w:t>
      </w:r>
      <w:proofErr w:type="spellEnd"/>
      <w:r w:rsidRPr="0053335D">
        <w:rPr>
          <w:i/>
          <w:iCs/>
          <w:color w:val="000000"/>
          <w:sz w:val="20"/>
          <w:szCs w:val="20"/>
        </w:rPr>
        <w:t xml:space="preserve"> </w:t>
      </w:r>
      <w:proofErr w:type="spellStart"/>
      <w:r w:rsidRPr="0053335D">
        <w:rPr>
          <w:i/>
          <w:iCs/>
          <w:color w:val="000000"/>
          <w:sz w:val="20"/>
          <w:szCs w:val="20"/>
        </w:rPr>
        <w:t>illum</w:t>
      </w:r>
      <w:proofErr w:type="spellEnd"/>
      <w:r w:rsidRPr="0053335D">
        <w:rPr>
          <w:color w:val="000000"/>
          <w:sz w:val="20"/>
          <w:szCs w:val="20"/>
        </w:rPr>
        <w:t xml:space="preserve">, « il le créa »… </w:t>
      </w:r>
      <w:proofErr w:type="spellStart"/>
      <w:r w:rsidRPr="0053335D">
        <w:rPr>
          <w:i/>
          <w:iCs/>
          <w:color w:val="000000"/>
          <w:sz w:val="20"/>
          <w:szCs w:val="20"/>
        </w:rPr>
        <w:t>creavit</w:t>
      </w:r>
      <w:proofErr w:type="spellEnd"/>
      <w:r w:rsidRPr="0053335D">
        <w:rPr>
          <w:i/>
          <w:iCs/>
          <w:color w:val="000000"/>
          <w:sz w:val="20"/>
          <w:szCs w:val="20"/>
        </w:rPr>
        <w:t xml:space="preserve"> </w:t>
      </w:r>
      <w:proofErr w:type="spellStart"/>
      <w:r w:rsidRPr="0053335D">
        <w:rPr>
          <w:i/>
          <w:iCs/>
          <w:color w:val="000000"/>
          <w:sz w:val="20"/>
          <w:szCs w:val="20"/>
        </w:rPr>
        <w:t>eos</w:t>
      </w:r>
      <w:proofErr w:type="spellEnd"/>
      <w:r w:rsidRPr="0053335D">
        <w:rPr>
          <w:color w:val="000000"/>
          <w:sz w:val="20"/>
          <w:szCs w:val="20"/>
        </w:rPr>
        <w:t xml:space="preserve">, « il les créa »). </w:t>
      </w:r>
      <w:r w:rsidRPr="0053335D">
        <w:rPr>
          <w:color w:val="000000"/>
          <w:sz w:val="20"/>
          <w:szCs w:val="20"/>
          <w:lang w:val="nl-BE"/>
        </w:rPr>
        <w:t xml:space="preserve">Voir </w:t>
      </w:r>
      <w:r w:rsidRPr="0053335D">
        <w:rPr>
          <w:i/>
          <w:iCs/>
          <w:color w:val="000000"/>
          <w:sz w:val="20"/>
          <w:szCs w:val="20"/>
          <w:lang w:val="nl-BE"/>
        </w:rPr>
        <w:t xml:space="preserve">The Old Testament in Greek according to the Septuagint. </w:t>
      </w:r>
      <w:r w:rsidRPr="0053335D">
        <w:rPr>
          <w:i/>
          <w:iCs/>
          <w:color w:val="000000"/>
          <w:sz w:val="20"/>
          <w:szCs w:val="20"/>
        </w:rPr>
        <w:t>Vol. 1. Genesis-</w:t>
      </w:r>
      <w:r w:rsidRPr="0053335D">
        <w:rPr>
          <w:i/>
          <w:iCs/>
          <w:smallCaps/>
          <w:color w:val="000000"/>
          <w:sz w:val="20"/>
          <w:szCs w:val="20"/>
        </w:rPr>
        <w:t>iv</w:t>
      </w:r>
      <w:r w:rsidRPr="0053335D">
        <w:rPr>
          <w:i/>
          <w:iCs/>
          <w:color w:val="000000"/>
          <w:sz w:val="20"/>
          <w:szCs w:val="20"/>
        </w:rPr>
        <w:t xml:space="preserve"> Kings</w:t>
      </w:r>
      <w:r w:rsidRPr="0053335D">
        <w:rPr>
          <w:color w:val="000000"/>
          <w:sz w:val="20"/>
          <w:szCs w:val="20"/>
        </w:rPr>
        <w:t xml:space="preserve">, texte établi par H. Barclay </w:t>
      </w:r>
      <w:proofErr w:type="spellStart"/>
      <w:r w:rsidRPr="0053335D">
        <w:rPr>
          <w:color w:val="000000"/>
          <w:sz w:val="20"/>
          <w:szCs w:val="20"/>
        </w:rPr>
        <w:t>Swete</w:t>
      </w:r>
      <w:proofErr w:type="spellEnd"/>
      <w:r w:rsidRPr="0053335D">
        <w:rPr>
          <w:color w:val="000000"/>
          <w:sz w:val="20"/>
          <w:szCs w:val="20"/>
        </w:rPr>
        <w:t xml:space="preserve">, Cambridge, Cambridge </w:t>
      </w:r>
      <w:proofErr w:type="spellStart"/>
      <w:r w:rsidRPr="0053335D">
        <w:rPr>
          <w:color w:val="000000"/>
          <w:sz w:val="20"/>
          <w:szCs w:val="20"/>
        </w:rPr>
        <w:t>University</w:t>
      </w:r>
      <w:proofErr w:type="spellEnd"/>
      <w:r w:rsidRPr="0053335D">
        <w:rPr>
          <w:color w:val="000000"/>
          <w:sz w:val="20"/>
          <w:szCs w:val="20"/>
        </w:rPr>
        <w:t xml:space="preserve"> </w:t>
      </w:r>
      <w:proofErr w:type="spellStart"/>
      <w:r w:rsidRPr="0053335D">
        <w:rPr>
          <w:color w:val="000000"/>
          <w:sz w:val="20"/>
          <w:szCs w:val="20"/>
        </w:rPr>
        <w:t>Press</w:t>
      </w:r>
      <w:proofErr w:type="spellEnd"/>
      <w:r w:rsidRPr="0053335D">
        <w:rPr>
          <w:color w:val="000000"/>
          <w:sz w:val="20"/>
          <w:szCs w:val="20"/>
        </w:rPr>
        <w:t xml:space="preserve"> 1901 et </w:t>
      </w:r>
      <w:r w:rsidRPr="0053335D">
        <w:rPr>
          <w:i/>
          <w:iCs/>
          <w:color w:val="000000"/>
          <w:sz w:val="20"/>
          <w:szCs w:val="20"/>
        </w:rPr>
        <w:t xml:space="preserve">The Vulgate Bible: </w:t>
      </w:r>
      <w:proofErr w:type="spellStart"/>
      <w:r w:rsidRPr="0053335D">
        <w:rPr>
          <w:i/>
          <w:iCs/>
          <w:color w:val="000000"/>
          <w:sz w:val="20"/>
          <w:szCs w:val="20"/>
        </w:rPr>
        <w:t>Douay-Rheims</w:t>
      </w:r>
      <w:proofErr w:type="spellEnd"/>
      <w:r w:rsidRPr="0053335D">
        <w:rPr>
          <w:i/>
          <w:iCs/>
          <w:color w:val="000000"/>
          <w:sz w:val="20"/>
          <w:szCs w:val="20"/>
        </w:rPr>
        <w:t xml:space="preserve"> Translation 1. The </w:t>
      </w:r>
      <w:proofErr w:type="spellStart"/>
      <w:r w:rsidRPr="0053335D">
        <w:rPr>
          <w:i/>
          <w:iCs/>
          <w:color w:val="000000"/>
          <w:sz w:val="20"/>
          <w:szCs w:val="20"/>
        </w:rPr>
        <w:t>Pentateuch</w:t>
      </w:r>
      <w:proofErr w:type="spellEnd"/>
      <w:r w:rsidRPr="0053335D">
        <w:rPr>
          <w:color w:val="000000"/>
          <w:sz w:val="20"/>
          <w:szCs w:val="20"/>
        </w:rPr>
        <w:t xml:space="preserve">, texte édité par Swift Edgar, Londres-Cambridge (Massachusetts), Harvard </w:t>
      </w:r>
      <w:proofErr w:type="spellStart"/>
      <w:r w:rsidRPr="0053335D">
        <w:rPr>
          <w:color w:val="000000"/>
          <w:sz w:val="20"/>
          <w:szCs w:val="20"/>
        </w:rPr>
        <w:t>University</w:t>
      </w:r>
      <w:proofErr w:type="spellEnd"/>
      <w:r w:rsidRPr="0053335D">
        <w:rPr>
          <w:color w:val="000000"/>
          <w:sz w:val="20"/>
          <w:szCs w:val="20"/>
        </w:rPr>
        <w:t xml:space="preserve"> </w:t>
      </w:r>
      <w:proofErr w:type="spellStart"/>
      <w:r w:rsidRPr="0053335D">
        <w:rPr>
          <w:color w:val="000000"/>
          <w:sz w:val="20"/>
          <w:szCs w:val="20"/>
        </w:rPr>
        <w:t>Press</w:t>
      </w:r>
      <w:proofErr w:type="spellEnd"/>
      <w:r w:rsidRPr="0053335D">
        <w:rPr>
          <w:color w:val="000000"/>
          <w:sz w:val="20"/>
          <w:szCs w:val="20"/>
        </w:rPr>
        <w:t>, 2010.  Pour les traductions modernes, étant donné le corpus de ce volume, je me limiterai à la Reina-Valera en espagnol, où le changement de nombre apparaît également : « </w:t>
      </w:r>
      <w:r w:rsidRPr="0053335D">
        <w:rPr>
          <w:i/>
          <w:iCs/>
          <w:color w:val="000000"/>
          <w:sz w:val="20"/>
          <w:szCs w:val="20"/>
        </w:rPr>
        <w:t xml:space="preserve">lo </w:t>
      </w:r>
      <w:proofErr w:type="spellStart"/>
      <w:r w:rsidRPr="0053335D">
        <w:rPr>
          <w:i/>
          <w:iCs/>
          <w:color w:val="000000"/>
          <w:sz w:val="20"/>
          <w:szCs w:val="20"/>
        </w:rPr>
        <w:t>crió</w:t>
      </w:r>
      <w:proofErr w:type="spellEnd"/>
      <w:r w:rsidRPr="0053335D">
        <w:rPr>
          <w:i/>
          <w:iCs/>
          <w:color w:val="000000"/>
          <w:sz w:val="20"/>
          <w:szCs w:val="20"/>
        </w:rPr>
        <w:t xml:space="preserve">… los </w:t>
      </w:r>
      <w:proofErr w:type="spellStart"/>
      <w:r w:rsidRPr="0053335D">
        <w:rPr>
          <w:i/>
          <w:iCs/>
          <w:color w:val="000000"/>
          <w:sz w:val="20"/>
          <w:szCs w:val="20"/>
        </w:rPr>
        <w:t>crió</w:t>
      </w:r>
      <w:proofErr w:type="spellEnd"/>
      <w:r w:rsidRPr="0053335D">
        <w:rPr>
          <w:color w:val="000000"/>
          <w:sz w:val="20"/>
          <w:szCs w:val="20"/>
        </w:rPr>
        <w:t xml:space="preserve"> » (voir </w:t>
      </w:r>
      <w:r w:rsidRPr="0053335D">
        <w:rPr>
          <w:i/>
          <w:iCs/>
          <w:color w:val="000000"/>
          <w:sz w:val="20"/>
          <w:szCs w:val="20"/>
        </w:rPr>
        <w:t xml:space="preserve">La Santa </w:t>
      </w:r>
      <w:proofErr w:type="spellStart"/>
      <w:r w:rsidRPr="0053335D">
        <w:rPr>
          <w:i/>
          <w:iCs/>
          <w:color w:val="000000"/>
          <w:sz w:val="20"/>
          <w:szCs w:val="20"/>
        </w:rPr>
        <w:t>Biblia</w:t>
      </w:r>
      <w:proofErr w:type="spellEnd"/>
      <w:r w:rsidRPr="0053335D">
        <w:rPr>
          <w:color w:val="000000"/>
          <w:sz w:val="20"/>
          <w:szCs w:val="20"/>
        </w:rPr>
        <w:t xml:space="preserve">, traduction de </w:t>
      </w:r>
      <w:proofErr w:type="spellStart"/>
      <w:r w:rsidRPr="0053335D">
        <w:rPr>
          <w:color w:val="000000"/>
          <w:sz w:val="20"/>
          <w:szCs w:val="20"/>
        </w:rPr>
        <w:t>Casiodoro</w:t>
      </w:r>
      <w:proofErr w:type="spellEnd"/>
      <w:r w:rsidRPr="0053335D">
        <w:rPr>
          <w:color w:val="000000"/>
          <w:sz w:val="20"/>
          <w:szCs w:val="20"/>
        </w:rPr>
        <w:t xml:space="preserve"> de Reina et Cipriano de Valera, Londres, </w:t>
      </w:r>
      <w:proofErr w:type="spellStart"/>
      <w:r w:rsidRPr="0053335D">
        <w:rPr>
          <w:color w:val="000000"/>
          <w:sz w:val="20"/>
          <w:szCs w:val="20"/>
        </w:rPr>
        <w:t>Trinitarian</w:t>
      </w:r>
      <w:proofErr w:type="spellEnd"/>
      <w:r w:rsidRPr="0053335D">
        <w:rPr>
          <w:color w:val="000000"/>
          <w:sz w:val="20"/>
          <w:szCs w:val="20"/>
        </w:rPr>
        <w:t xml:space="preserve"> Bible society, 2001).</w:t>
      </w:r>
    </w:p>
  </w:footnote>
  <w:footnote w:id="69">
    <w:p w14:paraId="226E5BF6" w14:textId="54567B9D" w:rsidR="00CB100D" w:rsidRPr="0053335D" w:rsidRDefault="00CB100D" w:rsidP="0053335D">
      <w:pPr>
        <w:pStyle w:val="Notedebasdepage"/>
        <w:jc w:val="both"/>
        <w:rPr>
          <w:lang w:val="fr-FR"/>
        </w:rPr>
      </w:pPr>
      <w:r w:rsidRPr="0053335D">
        <w:rPr>
          <w:rStyle w:val="Appelnotedebasdep"/>
        </w:rPr>
        <w:footnoteRef/>
      </w:r>
      <w:r w:rsidRPr="0053335D">
        <w:t xml:space="preserve"> </w:t>
      </w:r>
      <w:r w:rsidRPr="0053335D">
        <w:t xml:space="preserve">C’est notamment l’interprétation de Rabbi </w:t>
      </w:r>
      <w:proofErr w:type="spellStart"/>
      <w:r w:rsidRPr="0053335D">
        <w:t>Yirmeya</w:t>
      </w:r>
      <w:proofErr w:type="spellEnd"/>
      <w:r w:rsidRPr="0053335D">
        <w:t xml:space="preserve"> ben </w:t>
      </w:r>
      <w:proofErr w:type="spellStart"/>
      <w:r w:rsidRPr="0053335D">
        <w:t>Elazar</w:t>
      </w:r>
      <w:proofErr w:type="spellEnd"/>
      <w:r w:rsidRPr="0053335D">
        <w:t xml:space="preserve"> (avant le </w:t>
      </w:r>
      <w:proofErr w:type="spellStart"/>
      <w:r w:rsidRPr="0053335D">
        <w:rPr>
          <w:smallCaps/>
        </w:rPr>
        <w:t>v</w:t>
      </w:r>
      <w:r w:rsidRPr="0053335D">
        <w:rPr>
          <w:vertAlign w:val="superscript"/>
        </w:rPr>
        <w:t>e</w:t>
      </w:r>
      <w:proofErr w:type="spellEnd"/>
      <w:r w:rsidRPr="0053335D">
        <w:t xml:space="preserve"> siècle) selon le </w:t>
      </w:r>
      <w:r w:rsidRPr="0053335D">
        <w:rPr>
          <w:i/>
          <w:iCs/>
        </w:rPr>
        <w:t xml:space="preserve">Midrash </w:t>
      </w:r>
      <w:proofErr w:type="spellStart"/>
      <w:r w:rsidRPr="0053335D">
        <w:rPr>
          <w:i/>
          <w:iCs/>
        </w:rPr>
        <w:t>Rabbah</w:t>
      </w:r>
      <w:proofErr w:type="spellEnd"/>
      <w:r w:rsidRPr="0053335D">
        <w:t xml:space="preserve"> : « Rabbi </w:t>
      </w:r>
      <w:proofErr w:type="spellStart"/>
      <w:r w:rsidRPr="0053335D">
        <w:t>Yirmeya</w:t>
      </w:r>
      <w:proofErr w:type="spellEnd"/>
      <w:r w:rsidRPr="0053335D">
        <w:t xml:space="preserve"> ben </w:t>
      </w:r>
      <w:proofErr w:type="spellStart"/>
      <w:r w:rsidRPr="0053335D">
        <w:t>Elazar</w:t>
      </w:r>
      <w:proofErr w:type="spellEnd"/>
      <w:r w:rsidRPr="0053335D">
        <w:t xml:space="preserve"> dit : </w:t>
      </w:r>
      <w:r w:rsidRPr="0053335D">
        <w:rPr>
          <w:lang w:val="en-CA"/>
        </w:rPr>
        <w:t xml:space="preserve">“Quand le </w:t>
      </w:r>
      <w:r w:rsidR="00506D72" w:rsidRPr="0053335D">
        <w:rPr>
          <w:lang w:val="en-CA"/>
        </w:rPr>
        <w:t>s</w:t>
      </w:r>
      <w:r w:rsidRPr="0053335D">
        <w:rPr>
          <w:lang w:val="en-CA"/>
        </w:rPr>
        <w:t xml:space="preserve">aint, </w:t>
      </w:r>
      <w:proofErr w:type="spellStart"/>
      <w:r w:rsidRPr="0053335D">
        <w:rPr>
          <w:lang w:val="en-CA"/>
        </w:rPr>
        <w:t>béni</w:t>
      </w:r>
      <w:proofErr w:type="spellEnd"/>
      <w:r w:rsidRPr="0053335D">
        <w:rPr>
          <w:lang w:val="en-CA"/>
        </w:rPr>
        <w:t xml:space="preserve"> </w:t>
      </w:r>
      <w:proofErr w:type="spellStart"/>
      <w:r w:rsidRPr="0053335D">
        <w:rPr>
          <w:lang w:val="en-CA"/>
        </w:rPr>
        <w:t>soit</w:t>
      </w:r>
      <w:proofErr w:type="spellEnd"/>
      <w:r w:rsidRPr="0053335D">
        <w:rPr>
          <w:lang w:val="en-CA"/>
        </w:rPr>
        <w:t>-</w:t>
      </w:r>
      <w:r w:rsidR="00506D72" w:rsidRPr="0053335D">
        <w:rPr>
          <w:lang w:val="en-CA"/>
        </w:rPr>
        <w:t>i</w:t>
      </w:r>
      <w:r w:rsidRPr="0053335D">
        <w:rPr>
          <w:lang w:val="en-CA"/>
        </w:rPr>
        <w:t xml:space="preserve">l, </w:t>
      </w:r>
      <w:proofErr w:type="spellStart"/>
      <w:r w:rsidRPr="0053335D">
        <w:rPr>
          <w:lang w:val="en-CA"/>
        </w:rPr>
        <w:t>créa</w:t>
      </w:r>
      <w:proofErr w:type="spellEnd"/>
      <w:r w:rsidRPr="0053335D">
        <w:rPr>
          <w:lang w:val="en-CA"/>
        </w:rPr>
        <w:t xml:space="preserve"> Adam le premier Homme, </w:t>
      </w:r>
      <w:r w:rsidR="00506D72" w:rsidRPr="0053335D">
        <w:rPr>
          <w:lang w:val="en-CA"/>
        </w:rPr>
        <w:t>i</w:t>
      </w:r>
      <w:r w:rsidRPr="0053335D">
        <w:rPr>
          <w:lang w:val="en-CA"/>
        </w:rPr>
        <w:t xml:space="preserve">l le </w:t>
      </w:r>
      <w:proofErr w:type="spellStart"/>
      <w:r w:rsidRPr="0053335D">
        <w:rPr>
          <w:lang w:val="en-CA"/>
        </w:rPr>
        <w:t>créa</w:t>
      </w:r>
      <w:proofErr w:type="spellEnd"/>
      <w:r w:rsidRPr="0053335D">
        <w:rPr>
          <w:lang w:val="en-CA"/>
        </w:rPr>
        <w:t xml:space="preserve"> androgyne. </w:t>
      </w:r>
      <w:proofErr w:type="spellStart"/>
      <w:r w:rsidRPr="0053335D">
        <w:rPr>
          <w:lang w:val="en-CA"/>
        </w:rPr>
        <w:t>C’est</w:t>
      </w:r>
      <w:proofErr w:type="spellEnd"/>
      <w:r w:rsidRPr="0053335D">
        <w:rPr>
          <w:lang w:val="en-CA"/>
        </w:rPr>
        <w:t xml:space="preserve"> </w:t>
      </w:r>
      <w:proofErr w:type="spellStart"/>
      <w:r w:rsidRPr="0053335D">
        <w:rPr>
          <w:lang w:val="en-CA"/>
        </w:rPr>
        <w:t>pourquoi</w:t>
      </w:r>
      <w:proofErr w:type="spellEnd"/>
      <w:r w:rsidRPr="0053335D">
        <w:rPr>
          <w:lang w:val="en-CA"/>
        </w:rPr>
        <w:t xml:space="preserve"> il est </w:t>
      </w:r>
      <w:proofErr w:type="spellStart"/>
      <w:proofErr w:type="gramStart"/>
      <w:r w:rsidRPr="0053335D">
        <w:rPr>
          <w:lang w:val="en-CA"/>
        </w:rPr>
        <w:t>écrit</w:t>
      </w:r>
      <w:proofErr w:type="spellEnd"/>
      <w:r w:rsidRPr="0053335D">
        <w:rPr>
          <w:lang w:val="en-CA"/>
        </w:rPr>
        <w:t xml:space="preserve"> :</w:t>
      </w:r>
      <w:proofErr w:type="gramEnd"/>
      <w:r w:rsidRPr="0053335D">
        <w:rPr>
          <w:lang w:val="en-CA"/>
        </w:rPr>
        <w:t xml:space="preserve"> </w:t>
      </w:r>
      <w:r w:rsidRPr="0053335D">
        <w:rPr>
          <w:lang w:val="fr-FR"/>
        </w:rPr>
        <w:t>« « mâle et femelle il les créa »</w:t>
      </w:r>
      <w:r w:rsidRPr="0053335D">
        <w:rPr>
          <w:lang w:val="en-CA"/>
        </w:rPr>
        <w:t>”.</w:t>
      </w:r>
      <w:r w:rsidRPr="0053335D">
        <w:rPr>
          <w:lang w:val="fr-FR"/>
        </w:rPr>
        <w:t> » (</w:t>
      </w:r>
      <w:proofErr w:type="spellStart"/>
      <w:r w:rsidRPr="0053335D">
        <w:rPr>
          <w:i/>
          <w:iCs/>
        </w:rPr>
        <w:t>Bereshit</w:t>
      </w:r>
      <w:proofErr w:type="spellEnd"/>
      <w:r w:rsidRPr="0053335D">
        <w:rPr>
          <w:i/>
          <w:iCs/>
        </w:rPr>
        <w:t xml:space="preserve"> </w:t>
      </w:r>
      <w:proofErr w:type="spellStart"/>
      <w:r w:rsidRPr="0053335D">
        <w:rPr>
          <w:i/>
          <w:iCs/>
        </w:rPr>
        <w:t>Rabbah</w:t>
      </w:r>
      <w:proofErr w:type="spellEnd"/>
      <w:r w:rsidRPr="0053335D">
        <w:t xml:space="preserve"> 8, 1, </w:t>
      </w:r>
      <w:r w:rsidRPr="0053335D">
        <w:rPr>
          <w:i/>
          <w:iCs/>
        </w:rPr>
        <w:t xml:space="preserve">in The </w:t>
      </w:r>
      <w:proofErr w:type="spellStart"/>
      <w:r w:rsidRPr="0053335D">
        <w:rPr>
          <w:i/>
          <w:iCs/>
        </w:rPr>
        <w:t>Sefaria</w:t>
      </w:r>
      <w:proofErr w:type="spellEnd"/>
      <w:r w:rsidRPr="0053335D">
        <w:rPr>
          <w:i/>
          <w:iCs/>
        </w:rPr>
        <w:t xml:space="preserve"> Midrash </w:t>
      </w:r>
      <w:proofErr w:type="spellStart"/>
      <w:r w:rsidRPr="0053335D">
        <w:rPr>
          <w:i/>
          <w:iCs/>
        </w:rPr>
        <w:t>Rabbah</w:t>
      </w:r>
      <w:proofErr w:type="spellEnd"/>
      <w:r w:rsidRPr="0053335D">
        <w:t xml:space="preserve">, 2022, édition en ligne. URL : </w:t>
      </w:r>
      <w:hyperlink r:id="rId8" w:history="1">
        <w:r w:rsidRPr="0053335D">
          <w:rPr>
            <w:rStyle w:val="Lienhypertexte"/>
          </w:rPr>
          <w:t>https://www.sefaria.org/Bereshit_Rabbah.8.2?lang=bi</w:t>
        </w:r>
      </w:hyperlink>
      <w:r w:rsidRPr="0053335D">
        <w:t>. Page consultée le 8 décembre 2025).</w:t>
      </w:r>
    </w:p>
  </w:footnote>
  <w:footnote w:id="70">
    <w:p w14:paraId="13D74A19" w14:textId="6ABFA661" w:rsidR="00123CB9" w:rsidRPr="0053335D" w:rsidRDefault="00123CB9" w:rsidP="0053335D">
      <w:pPr>
        <w:pStyle w:val="Notedebasdepage"/>
        <w:jc w:val="both"/>
        <w:rPr>
          <w:i/>
          <w:iCs/>
        </w:rPr>
      </w:pPr>
      <w:r w:rsidRPr="0053335D">
        <w:rPr>
          <w:rStyle w:val="Appelnotedebasdep"/>
        </w:rPr>
        <w:footnoteRef/>
      </w:r>
      <w:r w:rsidRPr="0053335D">
        <w:t xml:space="preserve"> </w:t>
      </w:r>
      <w:r w:rsidRPr="0053335D">
        <w:rPr>
          <w:i/>
          <w:iCs/>
        </w:rPr>
        <w:t>Ibid.</w:t>
      </w:r>
    </w:p>
  </w:footnote>
  <w:footnote w:id="71">
    <w:p w14:paraId="47B6A46A" w14:textId="77777777" w:rsidR="00123CB9" w:rsidRPr="0053335D" w:rsidRDefault="00123CB9" w:rsidP="0053335D">
      <w:pPr>
        <w:pStyle w:val="Notedebasdepage"/>
        <w:jc w:val="both"/>
        <w:rPr>
          <w:i/>
          <w:iCs/>
        </w:rPr>
      </w:pPr>
      <w:r w:rsidRPr="0053335D">
        <w:rPr>
          <w:rStyle w:val="Appelnotedebasdep"/>
        </w:rPr>
        <w:footnoteRef/>
      </w:r>
      <w:r w:rsidRPr="0053335D">
        <w:t xml:space="preserve"> </w:t>
      </w:r>
      <w:r w:rsidRPr="0053335D">
        <w:rPr>
          <w:i/>
          <w:iCs/>
        </w:rPr>
        <w:t>Ibid.</w:t>
      </w:r>
    </w:p>
  </w:footnote>
  <w:footnote w:id="72">
    <w:p w14:paraId="40F2CA12" w14:textId="6D33AAED" w:rsidR="00123CB9" w:rsidRPr="0053335D" w:rsidRDefault="00123CB9" w:rsidP="0053335D">
      <w:pPr>
        <w:jc w:val="both"/>
        <w:rPr>
          <w:sz w:val="20"/>
          <w:szCs w:val="20"/>
        </w:rPr>
      </w:pPr>
      <w:r w:rsidRPr="0053335D">
        <w:rPr>
          <w:rStyle w:val="Appelnotedebasdep"/>
          <w:sz w:val="20"/>
          <w:szCs w:val="20"/>
        </w:rPr>
        <w:footnoteRef/>
      </w:r>
      <w:r w:rsidRPr="0053335D">
        <w:rPr>
          <w:sz w:val="20"/>
          <w:szCs w:val="20"/>
        </w:rPr>
        <w:t xml:space="preserve"> </w:t>
      </w:r>
      <w:r w:rsidRPr="0053335D">
        <w:rPr>
          <w:sz w:val="20"/>
          <w:szCs w:val="20"/>
        </w:rPr>
        <w:t xml:space="preserve">Ce </w:t>
      </w:r>
      <w:r w:rsidR="00817F3C" w:rsidRPr="0053335D">
        <w:rPr>
          <w:sz w:val="20"/>
          <w:szCs w:val="20"/>
        </w:rPr>
        <w:t xml:space="preserve">sens est attesté dans Nathaniel Philippe Sander et Isaac </w:t>
      </w:r>
      <w:proofErr w:type="spellStart"/>
      <w:r w:rsidR="00817F3C" w:rsidRPr="0053335D">
        <w:rPr>
          <w:sz w:val="20"/>
          <w:szCs w:val="20"/>
        </w:rPr>
        <w:t>Trenel</w:t>
      </w:r>
      <w:proofErr w:type="spellEnd"/>
      <w:r w:rsidR="00817F3C" w:rsidRPr="0053335D">
        <w:rPr>
          <w:sz w:val="20"/>
          <w:szCs w:val="20"/>
        </w:rPr>
        <w:t xml:space="preserve">, </w:t>
      </w:r>
      <w:r w:rsidR="00817F3C" w:rsidRPr="0053335D">
        <w:rPr>
          <w:i/>
          <w:iCs/>
          <w:sz w:val="20"/>
          <w:szCs w:val="20"/>
        </w:rPr>
        <w:t>Dictionnaire hébreu-français</w:t>
      </w:r>
      <w:r w:rsidR="00817F3C" w:rsidRPr="0053335D">
        <w:rPr>
          <w:sz w:val="20"/>
          <w:szCs w:val="20"/>
        </w:rPr>
        <w:t xml:space="preserve">, Paris, Hachette, 2016. Il n’apparaît pas dans la rubrique de ce terme dans Ernest David Klein, </w:t>
      </w:r>
      <w:r w:rsidR="00817F3C" w:rsidRPr="0053335D">
        <w:rPr>
          <w:i/>
          <w:iCs/>
          <w:sz w:val="20"/>
          <w:szCs w:val="20"/>
        </w:rPr>
        <w:t xml:space="preserve">A </w:t>
      </w:r>
      <w:proofErr w:type="spellStart"/>
      <w:r w:rsidR="00817F3C" w:rsidRPr="0053335D">
        <w:rPr>
          <w:i/>
          <w:iCs/>
          <w:sz w:val="20"/>
          <w:szCs w:val="20"/>
        </w:rPr>
        <w:t>Comprehensive</w:t>
      </w:r>
      <w:proofErr w:type="spellEnd"/>
      <w:r w:rsidR="00817F3C" w:rsidRPr="0053335D">
        <w:rPr>
          <w:i/>
          <w:iCs/>
          <w:sz w:val="20"/>
          <w:szCs w:val="20"/>
        </w:rPr>
        <w:t xml:space="preserve"> </w:t>
      </w:r>
      <w:proofErr w:type="spellStart"/>
      <w:r w:rsidR="00817F3C" w:rsidRPr="0053335D">
        <w:rPr>
          <w:i/>
          <w:iCs/>
          <w:sz w:val="20"/>
          <w:szCs w:val="20"/>
        </w:rPr>
        <w:t>Etymological</w:t>
      </w:r>
      <w:proofErr w:type="spellEnd"/>
      <w:r w:rsidR="00817F3C" w:rsidRPr="0053335D">
        <w:rPr>
          <w:i/>
          <w:iCs/>
          <w:sz w:val="20"/>
          <w:szCs w:val="20"/>
        </w:rPr>
        <w:t xml:space="preserve"> </w:t>
      </w:r>
      <w:proofErr w:type="spellStart"/>
      <w:r w:rsidR="00817F3C" w:rsidRPr="0053335D">
        <w:rPr>
          <w:i/>
          <w:iCs/>
          <w:sz w:val="20"/>
          <w:szCs w:val="20"/>
        </w:rPr>
        <w:t>Dictionary</w:t>
      </w:r>
      <w:proofErr w:type="spellEnd"/>
      <w:r w:rsidR="00817F3C" w:rsidRPr="0053335D">
        <w:rPr>
          <w:i/>
          <w:iCs/>
          <w:sz w:val="20"/>
          <w:szCs w:val="20"/>
        </w:rPr>
        <w:t xml:space="preserve"> of the </w:t>
      </w:r>
      <w:proofErr w:type="spellStart"/>
      <w:r w:rsidR="00817F3C" w:rsidRPr="0053335D">
        <w:rPr>
          <w:i/>
          <w:iCs/>
          <w:sz w:val="20"/>
          <w:szCs w:val="20"/>
        </w:rPr>
        <w:t>Hebrew</w:t>
      </w:r>
      <w:proofErr w:type="spellEnd"/>
      <w:r w:rsidR="00817F3C" w:rsidRPr="0053335D">
        <w:rPr>
          <w:i/>
          <w:iCs/>
          <w:sz w:val="20"/>
          <w:szCs w:val="20"/>
        </w:rPr>
        <w:t xml:space="preserve"> </w:t>
      </w:r>
      <w:proofErr w:type="spellStart"/>
      <w:r w:rsidR="00817F3C" w:rsidRPr="0053335D">
        <w:rPr>
          <w:i/>
          <w:iCs/>
          <w:sz w:val="20"/>
          <w:szCs w:val="20"/>
        </w:rPr>
        <w:t>Language</w:t>
      </w:r>
      <w:proofErr w:type="spellEnd"/>
      <w:r w:rsidR="00871ABB" w:rsidRPr="0053335D">
        <w:rPr>
          <w:sz w:val="20"/>
          <w:szCs w:val="20"/>
        </w:rPr>
        <w:t xml:space="preserve">, </w:t>
      </w:r>
      <w:r w:rsidR="00871ABB" w:rsidRPr="0053335D">
        <w:rPr>
          <w:i/>
          <w:iCs/>
          <w:sz w:val="20"/>
          <w:szCs w:val="20"/>
        </w:rPr>
        <w:t xml:space="preserve">op. </w:t>
      </w:r>
      <w:proofErr w:type="spellStart"/>
      <w:r w:rsidR="00871ABB" w:rsidRPr="0053335D">
        <w:rPr>
          <w:i/>
          <w:iCs/>
          <w:sz w:val="20"/>
          <w:szCs w:val="20"/>
        </w:rPr>
        <w:t>cit</w:t>
      </w:r>
      <w:proofErr w:type="spellEnd"/>
      <w:r w:rsidR="00871ABB" w:rsidRPr="0053335D">
        <w:rPr>
          <w:i/>
          <w:iCs/>
          <w:sz w:val="20"/>
          <w:szCs w:val="20"/>
        </w:rPr>
        <w:t>.</w:t>
      </w:r>
      <w:r w:rsidR="00871ABB" w:rsidRPr="0053335D">
        <w:rPr>
          <w:sz w:val="20"/>
          <w:szCs w:val="20"/>
        </w:rPr>
        <w:t xml:space="preserve"> mais ce dictionnaire mentionne le verbe </w:t>
      </w:r>
      <w:proofErr w:type="spellStart"/>
      <w:r w:rsidR="00871ABB" w:rsidRPr="0053335D">
        <w:rPr>
          <w:sz w:val="20"/>
          <w:szCs w:val="20"/>
        </w:rPr>
        <w:t>צלם</w:t>
      </w:r>
      <w:proofErr w:type="spellEnd"/>
      <w:r w:rsidR="00871ABB" w:rsidRPr="0053335D">
        <w:rPr>
          <w:sz w:val="20"/>
          <w:szCs w:val="20"/>
        </w:rPr>
        <w:t xml:space="preserve"> </w:t>
      </w:r>
      <w:proofErr w:type="spellStart"/>
      <w:r w:rsidR="00871ABB" w:rsidRPr="0053335D">
        <w:rPr>
          <w:i/>
          <w:iCs/>
          <w:sz w:val="20"/>
          <w:szCs w:val="20"/>
        </w:rPr>
        <w:t>tslm</w:t>
      </w:r>
      <w:proofErr w:type="spellEnd"/>
      <w:r w:rsidR="00871ABB" w:rsidRPr="0053335D">
        <w:rPr>
          <w:i/>
          <w:iCs/>
          <w:sz w:val="20"/>
          <w:szCs w:val="20"/>
        </w:rPr>
        <w:t xml:space="preserve"> </w:t>
      </w:r>
      <w:r w:rsidR="00871ABB" w:rsidRPr="0053335D">
        <w:rPr>
          <w:sz w:val="20"/>
          <w:szCs w:val="20"/>
        </w:rPr>
        <w:t xml:space="preserve">« être sombre » et le nom </w:t>
      </w:r>
      <w:proofErr w:type="spellStart"/>
      <w:r w:rsidR="00871ABB" w:rsidRPr="0053335D">
        <w:rPr>
          <w:sz w:val="20"/>
          <w:szCs w:val="20"/>
        </w:rPr>
        <w:t>צַלְמוֹן</w:t>
      </w:r>
      <w:proofErr w:type="spellEnd"/>
      <w:r w:rsidR="00871ABB" w:rsidRPr="0053335D">
        <w:rPr>
          <w:sz w:val="20"/>
          <w:szCs w:val="20"/>
        </w:rPr>
        <w:t xml:space="preserve">, </w:t>
      </w:r>
      <w:proofErr w:type="spellStart"/>
      <w:r w:rsidR="00871ABB" w:rsidRPr="0053335D">
        <w:rPr>
          <w:i/>
          <w:iCs/>
          <w:sz w:val="20"/>
          <w:szCs w:val="20"/>
        </w:rPr>
        <w:t>tsalémôn</w:t>
      </w:r>
      <w:proofErr w:type="spellEnd"/>
      <w:r w:rsidR="00871ABB" w:rsidRPr="0053335D">
        <w:rPr>
          <w:sz w:val="20"/>
          <w:szCs w:val="20"/>
        </w:rPr>
        <w:t xml:space="preserve"> « obscurité », qui permettent d’interpréter צֶֽ</w:t>
      </w:r>
      <w:proofErr w:type="spellStart"/>
      <w:r w:rsidR="00871ABB" w:rsidRPr="0053335D">
        <w:rPr>
          <w:sz w:val="20"/>
          <w:szCs w:val="20"/>
        </w:rPr>
        <w:t>לֶם</w:t>
      </w:r>
      <w:proofErr w:type="spellEnd"/>
      <w:r w:rsidR="00871ABB" w:rsidRPr="0053335D">
        <w:rPr>
          <w:sz w:val="20"/>
          <w:szCs w:val="20"/>
        </w:rPr>
        <w:t xml:space="preserve">, </w:t>
      </w:r>
      <w:proofErr w:type="spellStart"/>
      <w:r w:rsidR="00871ABB" w:rsidRPr="0053335D">
        <w:rPr>
          <w:i/>
          <w:iCs/>
          <w:sz w:val="20"/>
          <w:szCs w:val="20"/>
        </w:rPr>
        <w:t>tsêlêm</w:t>
      </w:r>
      <w:proofErr w:type="spellEnd"/>
      <w:r w:rsidR="00871ABB" w:rsidRPr="0053335D">
        <w:rPr>
          <w:sz w:val="20"/>
          <w:szCs w:val="20"/>
        </w:rPr>
        <w:t xml:space="preserve"> dans ce sens.</w:t>
      </w:r>
    </w:p>
  </w:footnote>
  <w:footnote w:id="73">
    <w:p w14:paraId="7FD59105" w14:textId="531B622B" w:rsidR="0053335D" w:rsidRPr="0053335D" w:rsidRDefault="0053335D" w:rsidP="0053335D">
      <w:pPr>
        <w:jc w:val="both"/>
        <w:rPr>
          <w:sz w:val="20"/>
          <w:szCs w:val="20"/>
        </w:rPr>
      </w:pPr>
      <w:r w:rsidRPr="0053335D">
        <w:rPr>
          <w:rStyle w:val="Appelnotedebasdep"/>
          <w:sz w:val="20"/>
          <w:szCs w:val="20"/>
        </w:rPr>
        <w:footnoteRef/>
      </w:r>
      <w:r w:rsidRPr="0053335D">
        <w:rPr>
          <w:sz w:val="20"/>
          <w:szCs w:val="20"/>
        </w:rPr>
        <w:t xml:space="preserve"> </w:t>
      </w:r>
      <w:r w:rsidRPr="0053335D">
        <w:rPr>
          <w:color w:val="000000"/>
          <w:sz w:val="20"/>
          <w:szCs w:val="20"/>
        </w:rPr>
        <w:t>La même compréhension de la structure de la phrase pourrait conduire à une autre interprétation : c’est le terreux, en tant que « mâle et femelle » qui pourrait ici « </w:t>
      </w:r>
      <w:proofErr w:type="spellStart"/>
      <w:r w:rsidRPr="0053335D">
        <w:rPr>
          <w:color w:val="000000"/>
          <w:sz w:val="20"/>
          <w:szCs w:val="20"/>
        </w:rPr>
        <w:t>cré</w:t>
      </w:r>
      <w:proofErr w:type="spellEnd"/>
      <w:r w:rsidRPr="0053335D">
        <w:rPr>
          <w:color w:val="000000"/>
          <w:sz w:val="20"/>
          <w:szCs w:val="20"/>
        </w:rPr>
        <w:t>[er] eux », c’est-à-dire, « </w:t>
      </w:r>
      <w:proofErr w:type="spellStart"/>
      <w:r w:rsidRPr="0053335D">
        <w:rPr>
          <w:color w:val="000000"/>
          <w:sz w:val="20"/>
          <w:szCs w:val="20"/>
        </w:rPr>
        <w:t>cré</w:t>
      </w:r>
      <w:proofErr w:type="spellEnd"/>
      <w:r w:rsidRPr="0053335D">
        <w:rPr>
          <w:color w:val="000000"/>
          <w:sz w:val="20"/>
          <w:szCs w:val="20"/>
        </w:rPr>
        <w:t>[er] » « </w:t>
      </w:r>
      <w:proofErr w:type="spellStart"/>
      <w:r w:rsidRPr="0053335D">
        <w:rPr>
          <w:i/>
          <w:iCs/>
          <w:color w:val="000000"/>
          <w:sz w:val="20"/>
          <w:szCs w:val="20"/>
        </w:rPr>
        <w:t>êlôhim</w:t>
      </w:r>
      <w:proofErr w:type="spellEnd"/>
      <w:r w:rsidRPr="0053335D">
        <w:rPr>
          <w:color w:val="000000"/>
          <w:sz w:val="20"/>
          <w:szCs w:val="20"/>
        </w:rPr>
        <w:t> », « dieux ».</w:t>
      </w:r>
    </w:p>
  </w:footnote>
  <w:footnote w:id="74">
    <w:p w14:paraId="1E6F2F55" w14:textId="573D9A9F" w:rsidR="00402F0A" w:rsidRPr="0053335D" w:rsidRDefault="00402F0A" w:rsidP="0053335D">
      <w:pPr>
        <w:jc w:val="both"/>
        <w:rPr>
          <w:sz w:val="20"/>
          <w:szCs w:val="20"/>
          <w:lang w:val="fr-FR"/>
        </w:rPr>
      </w:pPr>
      <w:r w:rsidRPr="0053335D">
        <w:rPr>
          <w:rStyle w:val="Appelnotedebasdep"/>
          <w:sz w:val="20"/>
          <w:szCs w:val="20"/>
        </w:rPr>
        <w:footnoteRef/>
      </w:r>
      <w:r w:rsidRPr="0053335D">
        <w:rPr>
          <w:sz w:val="20"/>
          <w:szCs w:val="20"/>
        </w:rPr>
        <w:t xml:space="preserve"> </w:t>
      </w:r>
      <w:r w:rsidR="00DF39C5" w:rsidRPr="0053335D">
        <w:rPr>
          <w:sz w:val="20"/>
          <w:szCs w:val="20"/>
          <w:lang w:val="fr-FR"/>
        </w:rPr>
        <w:t xml:space="preserve">Je reprends ici l’idée de Judith Butler que « le genre est culturellement construit indépendamment de l’irréductibilité biologique qui semble attachée au sexe » (Judith Butler, </w:t>
      </w:r>
      <w:r w:rsidR="00DF39C5" w:rsidRPr="0053335D">
        <w:rPr>
          <w:i/>
          <w:iCs/>
          <w:sz w:val="20"/>
          <w:szCs w:val="20"/>
          <w:lang w:val="fr-FR"/>
        </w:rPr>
        <w:t>Trouble dans le genre</w:t>
      </w:r>
      <w:r w:rsidR="00DF39C5" w:rsidRPr="0053335D">
        <w:rPr>
          <w:sz w:val="20"/>
          <w:szCs w:val="20"/>
          <w:lang w:val="fr-FR"/>
        </w:rPr>
        <w:t xml:space="preserve">, </w:t>
      </w:r>
      <w:r w:rsidR="00DF39C5" w:rsidRPr="0053335D">
        <w:rPr>
          <w:i/>
          <w:iCs/>
          <w:sz w:val="20"/>
          <w:szCs w:val="20"/>
          <w:lang w:val="fr-FR"/>
        </w:rPr>
        <w:t xml:space="preserve">op. </w:t>
      </w:r>
      <w:proofErr w:type="spellStart"/>
      <w:r w:rsidR="00DF39C5" w:rsidRPr="0053335D">
        <w:rPr>
          <w:i/>
          <w:iCs/>
          <w:sz w:val="20"/>
          <w:szCs w:val="20"/>
          <w:lang w:val="fr-FR"/>
        </w:rPr>
        <w:t>cit</w:t>
      </w:r>
      <w:proofErr w:type="spellEnd"/>
      <w:r w:rsidR="00DF39C5" w:rsidRPr="0053335D">
        <w:rPr>
          <w:i/>
          <w:iCs/>
          <w:sz w:val="20"/>
          <w:szCs w:val="20"/>
          <w:lang w:val="fr-FR"/>
        </w:rPr>
        <w:t>.</w:t>
      </w:r>
      <w:r w:rsidR="00DF39C5" w:rsidRPr="0053335D">
        <w:rPr>
          <w:sz w:val="20"/>
          <w:szCs w:val="20"/>
          <w:lang w:val="fr-FR"/>
        </w:rPr>
        <w:t>, p. 67).</w:t>
      </w:r>
    </w:p>
  </w:footnote>
  <w:footnote w:id="75">
    <w:p w14:paraId="311A18CC" w14:textId="5C72D115" w:rsidR="00DF39C5" w:rsidRPr="0053335D" w:rsidRDefault="00DF39C5" w:rsidP="0053335D">
      <w:pPr>
        <w:jc w:val="both"/>
        <w:rPr>
          <w:color w:val="000000"/>
          <w:sz w:val="20"/>
          <w:szCs w:val="20"/>
          <w:lang w:val="fr-FR"/>
        </w:rPr>
      </w:pPr>
      <w:r w:rsidRPr="0053335D">
        <w:rPr>
          <w:rStyle w:val="Appelnotedebasdep"/>
          <w:sz w:val="20"/>
          <w:szCs w:val="20"/>
        </w:rPr>
        <w:footnoteRef/>
      </w:r>
      <w:r w:rsidRPr="0053335D">
        <w:rPr>
          <w:sz w:val="20"/>
          <w:szCs w:val="20"/>
        </w:rPr>
        <w:t xml:space="preserve"> </w:t>
      </w:r>
      <w:r w:rsidRPr="0053335D">
        <w:rPr>
          <w:color w:val="000000"/>
          <w:sz w:val="20"/>
          <w:szCs w:val="20"/>
          <w:lang w:val="fr-FR"/>
        </w:rPr>
        <w:t xml:space="preserve">Selon Judith Butler, la construction sociale du genre aboutit à un « champ sédimenté et réifié » que l’on fait passer pour la « réalité » (Judith Butler, </w:t>
      </w:r>
      <w:r w:rsidRPr="0053335D">
        <w:rPr>
          <w:i/>
          <w:iCs/>
          <w:color w:val="000000"/>
          <w:sz w:val="20"/>
          <w:szCs w:val="20"/>
          <w:lang w:val="fr-FR"/>
        </w:rPr>
        <w:t>Trouble dans le genre</w:t>
      </w:r>
      <w:r w:rsidRPr="0053335D">
        <w:rPr>
          <w:color w:val="000000"/>
          <w:sz w:val="20"/>
          <w:szCs w:val="20"/>
          <w:lang w:val="fr-FR"/>
        </w:rPr>
        <w:t xml:space="preserve">, </w:t>
      </w:r>
      <w:r w:rsidRPr="0053335D">
        <w:rPr>
          <w:i/>
          <w:iCs/>
          <w:color w:val="000000"/>
          <w:sz w:val="20"/>
          <w:szCs w:val="20"/>
          <w:lang w:val="fr-FR"/>
        </w:rPr>
        <w:t xml:space="preserve">op. </w:t>
      </w:r>
      <w:proofErr w:type="spellStart"/>
      <w:r w:rsidRPr="0053335D">
        <w:rPr>
          <w:i/>
          <w:iCs/>
          <w:color w:val="000000"/>
          <w:sz w:val="20"/>
          <w:szCs w:val="20"/>
          <w:lang w:val="fr-FR"/>
        </w:rPr>
        <w:t>cit</w:t>
      </w:r>
      <w:proofErr w:type="spellEnd"/>
      <w:r w:rsidRPr="0053335D">
        <w:rPr>
          <w:i/>
          <w:iCs/>
          <w:color w:val="000000"/>
          <w:sz w:val="20"/>
          <w:szCs w:val="20"/>
          <w:lang w:val="fr-FR"/>
        </w:rPr>
        <w:t>.</w:t>
      </w:r>
      <w:r w:rsidRPr="0053335D">
        <w:rPr>
          <w:color w:val="000000"/>
          <w:sz w:val="20"/>
          <w:szCs w:val="20"/>
          <w:lang w:val="fr-FR"/>
        </w:rPr>
        <w:t>, p. 46).</w:t>
      </w:r>
    </w:p>
  </w:footnote>
  <w:footnote w:id="76">
    <w:p w14:paraId="547841E4" w14:textId="5AA1704B" w:rsidR="004C2395" w:rsidRPr="0053335D" w:rsidRDefault="004C2395" w:rsidP="0053335D">
      <w:pPr>
        <w:pStyle w:val="Notedebasdepage"/>
        <w:jc w:val="both"/>
      </w:pPr>
      <w:r w:rsidRPr="0053335D">
        <w:rPr>
          <w:rStyle w:val="Appelnotedebasdep"/>
        </w:rPr>
        <w:footnoteRef/>
      </w:r>
      <w:r w:rsidRPr="0053335D">
        <w:t xml:space="preserve"> </w:t>
      </w:r>
      <w:r w:rsidRPr="0053335D">
        <w:rPr>
          <w:i/>
          <w:iCs/>
        </w:rPr>
        <w:t>Genèse</w:t>
      </w:r>
      <w:r w:rsidRPr="0053335D">
        <w:t xml:space="preserve"> 2, </w:t>
      </w:r>
      <w:r w:rsidR="00A406FF" w:rsidRPr="0053335D">
        <w:t>21-25.</w:t>
      </w:r>
    </w:p>
  </w:footnote>
  <w:footnote w:id="77">
    <w:p w14:paraId="5B7EB082" w14:textId="13FEBA27" w:rsidR="005B316A" w:rsidRPr="0053335D" w:rsidRDefault="005B316A" w:rsidP="0053335D">
      <w:pPr>
        <w:pStyle w:val="Notedebasdepage"/>
        <w:jc w:val="both"/>
      </w:pPr>
      <w:r w:rsidRPr="0053335D">
        <w:rPr>
          <w:rStyle w:val="Appelnotedebasdep"/>
        </w:rPr>
        <w:footnoteRef/>
      </w:r>
      <w:r w:rsidRPr="0053335D">
        <w:t xml:space="preserve"> </w:t>
      </w:r>
      <w:r w:rsidRPr="0053335D">
        <w:t xml:space="preserve">Ernest David Klein, </w:t>
      </w:r>
      <w:r w:rsidRPr="0053335D">
        <w:rPr>
          <w:i/>
          <w:iCs/>
        </w:rPr>
        <w:t xml:space="preserve">A </w:t>
      </w:r>
      <w:proofErr w:type="spellStart"/>
      <w:r w:rsidRPr="0053335D">
        <w:rPr>
          <w:i/>
          <w:iCs/>
        </w:rPr>
        <w:t>Comprehensive</w:t>
      </w:r>
      <w:proofErr w:type="spellEnd"/>
      <w:r w:rsidRPr="0053335D">
        <w:rPr>
          <w:i/>
          <w:iCs/>
        </w:rPr>
        <w:t xml:space="preserve"> </w:t>
      </w:r>
      <w:proofErr w:type="spellStart"/>
      <w:r w:rsidRPr="0053335D">
        <w:rPr>
          <w:i/>
          <w:iCs/>
        </w:rPr>
        <w:t>Etymological</w:t>
      </w:r>
      <w:proofErr w:type="spellEnd"/>
      <w:r w:rsidRPr="0053335D">
        <w:rPr>
          <w:i/>
          <w:iCs/>
        </w:rPr>
        <w:t xml:space="preserve"> </w:t>
      </w:r>
      <w:proofErr w:type="spellStart"/>
      <w:r w:rsidRPr="0053335D">
        <w:rPr>
          <w:i/>
          <w:iCs/>
        </w:rPr>
        <w:t>Dictionary</w:t>
      </w:r>
      <w:proofErr w:type="spellEnd"/>
      <w:r w:rsidRPr="0053335D">
        <w:rPr>
          <w:i/>
          <w:iCs/>
        </w:rPr>
        <w:t xml:space="preserve"> of the </w:t>
      </w:r>
      <w:proofErr w:type="spellStart"/>
      <w:r w:rsidRPr="0053335D">
        <w:rPr>
          <w:i/>
          <w:iCs/>
        </w:rPr>
        <w:t>Hebrew</w:t>
      </w:r>
      <w:proofErr w:type="spellEnd"/>
      <w:r w:rsidRPr="0053335D">
        <w:rPr>
          <w:i/>
          <w:iCs/>
        </w:rPr>
        <w:t xml:space="preserve"> </w:t>
      </w:r>
      <w:proofErr w:type="spellStart"/>
      <w:r w:rsidRPr="0053335D">
        <w:rPr>
          <w:i/>
          <w:iCs/>
        </w:rPr>
        <w:t>Language</w:t>
      </w:r>
      <w:proofErr w:type="spellEnd"/>
      <w:r w:rsidRPr="0053335D">
        <w:t xml:space="preserve">, </w:t>
      </w:r>
      <w:r w:rsidRPr="0053335D">
        <w:rPr>
          <w:i/>
          <w:iCs/>
        </w:rPr>
        <w:t xml:space="preserve">op. </w:t>
      </w:r>
      <w:proofErr w:type="spellStart"/>
      <w:r w:rsidRPr="0053335D">
        <w:rPr>
          <w:i/>
          <w:iCs/>
        </w:rPr>
        <w:t>cit</w:t>
      </w:r>
      <w:proofErr w:type="spellEnd"/>
      <w:r w:rsidRPr="0053335D">
        <w:rPr>
          <w:i/>
          <w:iCs/>
        </w:rPr>
        <w:t>.</w:t>
      </w:r>
    </w:p>
  </w:footnote>
  <w:footnote w:id="78">
    <w:p w14:paraId="4CB53FF9" w14:textId="5B87C333" w:rsidR="00F26912" w:rsidRPr="0053335D" w:rsidRDefault="00F26912" w:rsidP="0053335D">
      <w:pPr>
        <w:pStyle w:val="Notedebasdepage"/>
        <w:jc w:val="both"/>
      </w:pPr>
      <w:r w:rsidRPr="0053335D">
        <w:rPr>
          <w:rStyle w:val="Appelnotedebasdep"/>
        </w:rPr>
        <w:footnoteRef/>
      </w:r>
      <w:r w:rsidRPr="0053335D">
        <w:t xml:space="preserve"> </w:t>
      </w:r>
      <w:r w:rsidRPr="0053335D">
        <w:t xml:space="preserve">Dans un débat dont rend compte le </w:t>
      </w:r>
      <w:r w:rsidRPr="0053335D">
        <w:rPr>
          <w:i/>
          <w:iCs/>
        </w:rPr>
        <w:t xml:space="preserve">Midrash </w:t>
      </w:r>
      <w:proofErr w:type="spellStart"/>
      <w:r w:rsidRPr="0053335D">
        <w:rPr>
          <w:i/>
          <w:iCs/>
        </w:rPr>
        <w:t>Rabbah</w:t>
      </w:r>
      <w:proofErr w:type="spellEnd"/>
      <w:r w:rsidRPr="0053335D">
        <w:t xml:space="preserve">, cette référence est invoquée par </w:t>
      </w:r>
      <w:proofErr w:type="spellStart"/>
      <w:r w:rsidRPr="0053335D">
        <w:t>Shmuel</w:t>
      </w:r>
      <w:proofErr w:type="spellEnd"/>
      <w:r w:rsidRPr="0053335D">
        <w:t xml:space="preserve"> bar </w:t>
      </w:r>
      <w:proofErr w:type="spellStart"/>
      <w:r w:rsidRPr="0053335D">
        <w:t>Naḥman</w:t>
      </w:r>
      <w:proofErr w:type="spellEnd"/>
      <w:r w:rsidR="00CB100D" w:rsidRPr="0053335D">
        <w:t xml:space="preserve"> (</w:t>
      </w:r>
      <w:proofErr w:type="spellStart"/>
      <w:r w:rsidR="00CB100D" w:rsidRPr="0053335D">
        <w:rPr>
          <w:smallCaps/>
        </w:rPr>
        <w:t>iii</w:t>
      </w:r>
      <w:r w:rsidR="00CB100D" w:rsidRPr="0053335D">
        <w:rPr>
          <w:vertAlign w:val="superscript"/>
        </w:rPr>
        <w:t>e</w:t>
      </w:r>
      <w:proofErr w:type="spellEnd"/>
      <w:r w:rsidR="00CB100D" w:rsidRPr="0053335D">
        <w:t>-</w:t>
      </w:r>
      <w:r w:rsidR="00CB100D" w:rsidRPr="0053335D">
        <w:rPr>
          <w:smallCaps/>
        </w:rPr>
        <w:t xml:space="preserve"> iv</w:t>
      </w:r>
      <w:r w:rsidR="00CB100D" w:rsidRPr="0053335D">
        <w:rPr>
          <w:vertAlign w:val="superscript"/>
        </w:rPr>
        <w:t>e</w:t>
      </w:r>
      <w:r w:rsidR="00CB100D" w:rsidRPr="0053335D">
        <w:t xml:space="preserve"> siècles)</w:t>
      </w:r>
      <w:r w:rsidRPr="0053335D">
        <w:t xml:space="preserve"> pour défendre une traduction de </w:t>
      </w:r>
      <w:proofErr w:type="spellStart"/>
      <w:r w:rsidRPr="0053335D">
        <w:t>צֵל</w:t>
      </w:r>
      <w:proofErr w:type="spellEnd"/>
      <w:r w:rsidRPr="0053335D">
        <w:t xml:space="preserve">ָֽע, </w:t>
      </w:r>
      <w:proofErr w:type="spellStart"/>
      <w:r w:rsidRPr="0053335D">
        <w:rPr>
          <w:i/>
          <w:iCs/>
        </w:rPr>
        <w:t>tsélah</w:t>
      </w:r>
      <w:proofErr w:type="spellEnd"/>
      <w:r w:rsidRPr="0053335D">
        <w:rPr>
          <w:i/>
          <w:iCs/>
        </w:rPr>
        <w:t xml:space="preserve"> </w:t>
      </w:r>
      <w:r w:rsidRPr="0053335D">
        <w:t>par « côté » plutôt que par « côte »</w:t>
      </w:r>
      <w:r w:rsidR="00CB100D" w:rsidRPr="0053335D">
        <w:t xml:space="preserve"> (</w:t>
      </w:r>
      <w:proofErr w:type="spellStart"/>
      <w:r w:rsidR="00CB100D" w:rsidRPr="0053335D">
        <w:rPr>
          <w:i/>
          <w:iCs/>
        </w:rPr>
        <w:t>Bereshit</w:t>
      </w:r>
      <w:proofErr w:type="spellEnd"/>
      <w:r w:rsidR="00CB100D" w:rsidRPr="0053335D">
        <w:rPr>
          <w:i/>
          <w:iCs/>
        </w:rPr>
        <w:t xml:space="preserve"> </w:t>
      </w:r>
      <w:proofErr w:type="spellStart"/>
      <w:r w:rsidR="00CB100D" w:rsidRPr="0053335D">
        <w:rPr>
          <w:i/>
          <w:iCs/>
        </w:rPr>
        <w:t>Rabbah</w:t>
      </w:r>
      <w:proofErr w:type="spellEnd"/>
      <w:r w:rsidR="00CB100D" w:rsidRPr="0053335D">
        <w:t xml:space="preserve"> 8, 1, </w:t>
      </w:r>
      <w:r w:rsidR="00CB100D" w:rsidRPr="0053335D">
        <w:rPr>
          <w:i/>
          <w:iCs/>
        </w:rPr>
        <w:t xml:space="preserve">in The </w:t>
      </w:r>
      <w:proofErr w:type="spellStart"/>
      <w:r w:rsidR="00CB100D" w:rsidRPr="0053335D">
        <w:rPr>
          <w:i/>
          <w:iCs/>
        </w:rPr>
        <w:t>Sefaria</w:t>
      </w:r>
      <w:proofErr w:type="spellEnd"/>
      <w:r w:rsidR="00CB100D" w:rsidRPr="0053335D">
        <w:rPr>
          <w:i/>
          <w:iCs/>
        </w:rPr>
        <w:t xml:space="preserve"> Midrash </w:t>
      </w:r>
      <w:proofErr w:type="spellStart"/>
      <w:r w:rsidR="00CB100D" w:rsidRPr="0053335D">
        <w:rPr>
          <w:i/>
          <w:iCs/>
        </w:rPr>
        <w:t>Rabbah</w:t>
      </w:r>
      <w:proofErr w:type="spellEnd"/>
      <w:r w:rsidR="00CB100D" w:rsidRPr="0053335D">
        <w:t xml:space="preserve">, 2022, </w:t>
      </w:r>
      <w:r w:rsidR="00CB100D" w:rsidRPr="0053335D">
        <w:rPr>
          <w:i/>
          <w:iCs/>
        </w:rPr>
        <w:t xml:space="preserve">op. </w:t>
      </w:r>
      <w:proofErr w:type="spellStart"/>
      <w:r w:rsidR="00CB100D" w:rsidRPr="0053335D">
        <w:rPr>
          <w:i/>
          <w:iCs/>
        </w:rPr>
        <w:t>cit</w:t>
      </w:r>
      <w:proofErr w:type="spellEnd"/>
      <w:r w:rsidR="00CB100D" w:rsidRPr="0053335D">
        <w:rPr>
          <w:i/>
          <w:iCs/>
        </w:rPr>
        <w:t>.</w:t>
      </w:r>
      <w:r w:rsidR="00CB100D" w:rsidRPr="0053335D">
        <w:t>).</w:t>
      </w:r>
    </w:p>
  </w:footnote>
  <w:footnote w:id="79">
    <w:p w14:paraId="05754AE0" w14:textId="0FEA960E" w:rsidR="005B316A" w:rsidRPr="0053335D" w:rsidRDefault="005B316A" w:rsidP="0053335D">
      <w:pPr>
        <w:pStyle w:val="Notedebasdepage"/>
        <w:jc w:val="both"/>
        <w:rPr>
          <w:lang w:val="nl-BE"/>
        </w:rPr>
      </w:pPr>
      <w:r w:rsidRPr="0053335D">
        <w:rPr>
          <w:rStyle w:val="Appelnotedebasdep"/>
        </w:rPr>
        <w:footnoteRef/>
      </w:r>
      <w:r w:rsidRPr="0053335D">
        <w:rPr>
          <w:lang w:val="nl-BE"/>
        </w:rPr>
        <w:t xml:space="preserve"> </w:t>
      </w:r>
      <w:r w:rsidRPr="0053335D">
        <w:rPr>
          <w:color w:val="000000"/>
          <w:lang w:val="nl-BE"/>
        </w:rPr>
        <w:t xml:space="preserve">Voir </w:t>
      </w:r>
      <w:r w:rsidRPr="0053335D">
        <w:rPr>
          <w:i/>
          <w:iCs/>
          <w:color w:val="000000"/>
          <w:lang w:val="nl-BE"/>
        </w:rPr>
        <w:t>The Old Testament in Greek according to the Septuagint. Vol. 1. Genesis-</w:t>
      </w:r>
      <w:r w:rsidRPr="0053335D">
        <w:rPr>
          <w:i/>
          <w:iCs/>
          <w:smallCaps/>
          <w:color w:val="000000"/>
          <w:lang w:val="nl-BE"/>
        </w:rPr>
        <w:t>iv</w:t>
      </w:r>
      <w:r w:rsidRPr="0053335D">
        <w:rPr>
          <w:i/>
          <w:iCs/>
          <w:color w:val="000000"/>
          <w:lang w:val="nl-BE"/>
        </w:rPr>
        <w:t xml:space="preserve"> Kings</w:t>
      </w:r>
      <w:r w:rsidRPr="0053335D">
        <w:rPr>
          <w:color w:val="000000"/>
          <w:lang w:val="nl-BE"/>
        </w:rPr>
        <w:t xml:space="preserve">, </w:t>
      </w:r>
      <w:r w:rsidRPr="0053335D">
        <w:rPr>
          <w:i/>
          <w:iCs/>
          <w:color w:val="000000"/>
          <w:lang w:val="nl-BE"/>
        </w:rPr>
        <w:t>op. cit.</w:t>
      </w:r>
    </w:p>
  </w:footnote>
  <w:footnote w:id="80">
    <w:p w14:paraId="7E6A0846" w14:textId="36C88DB0" w:rsidR="005B316A" w:rsidRPr="0053335D" w:rsidRDefault="005B316A" w:rsidP="0053335D">
      <w:pPr>
        <w:pStyle w:val="Notedebasdepage"/>
        <w:jc w:val="both"/>
      </w:pPr>
      <w:r w:rsidRPr="0053335D">
        <w:rPr>
          <w:rStyle w:val="Appelnotedebasdep"/>
        </w:rPr>
        <w:footnoteRef/>
      </w:r>
      <w:r w:rsidRPr="0053335D">
        <w:t xml:space="preserve"> </w:t>
      </w:r>
      <w:r w:rsidRPr="0053335D">
        <w:rPr>
          <w:color w:val="000000"/>
        </w:rPr>
        <w:t xml:space="preserve">Voir </w:t>
      </w:r>
      <w:r w:rsidRPr="0053335D">
        <w:rPr>
          <w:i/>
          <w:iCs/>
          <w:color w:val="000000"/>
        </w:rPr>
        <w:t xml:space="preserve">The Vulgate Bible: </w:t>
      </w:r>
      <w:proofErr w:type="spellStart"/>
      <w:r w:rsidRPr="0053335D">
        <w:rPr>
          <w:i/>
          <w:iCs/>
          <w:color w:val="000000"/>
        </w:rPr>
        <w:t>Douay-Rheims</w:t>
      </w:r>
      <w:proofErr w:type="spellEnd"/>
      <w:r w:rsidRPr="0053335D">
        <w:rPr>
          <w:i/>
          <w:iCs/>
          <w:color w:val="000000"/>
        </w:rPr>
        <w:t xml:space="preserve"> Translation 1. The </w:t>
      </w:r>
      <w:proofErr w:type="spellStart"/>
      <w:r w:rsidRPr="0053335D">
        <w:rPr>
          <w:i/>
          <w:iCs/>
          <w:color w:val="000000"/>
        </w:rPr>
        <w:t>Pentateuch</w:t>
      </w:r>
      <w:proofErr w:type="spellEnd"/>
      <w:r w:rsidRPr="0053335D">
        <w:rPr>
          <w:color w:val="000000"/>
        </w:rPr>
        <w:t xml:space="preserve">, </w:t>
      </w:r>
      <w:r w:rsidRPr="0053335D">
        <w:rPr>
          <w:i/>
          <w:iCs/>
          <w:color w:val="000000"/>
        </w:rPr>
        <w:t xml:space="preserve">op. </w:t>
      </w:r>
      <w:proofErr w:type="spellStart"/>
      <w:r w:rsidRPr="0053335D">
        <w:rPr>
          <w:i/>
          <w:iCs/>
          <w:color w:val="000000"/>
        </w:rPr>
        <w:t>cit</w:t>
      </w:r>
      <w:proofErr w:type="spellEnd"/>
      <w:r w:rsidRPr="0053335D">
        <w:rPr>
          <w:i/>
          <w:iCs/>
          <w:color w:val="000000"/>
        </w:rPr>
        <w:t>.</w:t>
      </w:r>
    </w:p>
  </w:footnote>
  <w:footnote w:id="81">
    <w:p w14:paraId="507D0349" w14:textId="6FBE6104" w:rsidR="00F26912" w:rsidRPr="0053335D" w:rsidRDefault="00F26912" w:rsidP="0053335D">
      <w:pPr>
        <w:pStyle w:val="Notedebasdepage"/>
        <w:jc w:val="both"/>
      </w:pPr>
      <w:r w:rsidRPr="0053335D">
        <w:rPr>
          <w:rStyle w:val="Appelnotedebasdep"/>
        </w:rPr>
        <w:footnoteRef/>
      </w:r>
      <w:r w:rsidRPr="0053335D">
        <w:t xml:space="preserve"> </w:t>
      </w:r>
      <w:r w:rsidRPr="0053335D">
        <w:t xml:space="preserve">Jacques Bénigne </w:t>
      </w:r>
      <w:proofErr w:type="spellStart"/>
      <w:r w:rsidRPr="0053335D">
        <w:t>Bosset</w:t>
      </w:r>
      <w:proofErr w:type="spellEnd"/>
      <w:r w:rsidRPr="0053335D">
        <w:t xml:space="preserve">, </w:t>
      </w:r>
      <w:r w:rsidRPr="0053335D">
        <w:rPr>
          <w:i/>
          <w:iCs/>
        </w:rPr>
        <w:t>Élévations à Dieu sur tous les mystères de la religion chrétienne</w:t>
      </w:r>
      <w:r w:rsidRPr="0053335D">
        <w:t xml:space="preserve">, Paris, </w:t>
      </w:r>
      <w:proofErr w:type="spellStart"/>
      <w:r w:rsidRPr="0053335D">
        <w:t>Debécourt</w:t>
      </w:r>
      <w:proofErr w:type="spellEnd"/>
      <w:r w:rsidRPr="0053335D">
        <w:t>, 1842, p. 108</w:t>
      </w:r>
    </w:p>
  </w:footnote>
  <w:footnote w:id="82">
    <w:p w14:paraId="0F6F558F" w14:textId="76B0F553" w:rsidR="00CB100D" w:rsidRPr="0053335D" w:rsidRDefault="00CB100D" w:rsidP="0053335D">
      <w:pPr>
        <w:pStyle w:val="Notedebasdepage"/>
        <w:jc w:val="both"/>
        <w:rPr>
          <w:lang w:val="nl-BE"/>
        </w:rPr>
      </w:pPr>
      <w:r w:rsidRPr="0053335D">
        <w:rPr>
          <w:rStyle w:val="Appelnotedebasdep"/>
        </w:rPr>
        <w:footnoteRef/>
      </w:r>
      <w:r w:rsidRPr="0053335D">
        <w:t xml:space="preserve"> </w:t>
      </w:r>
      <w:r w:rsidRPr="0053335D">
        <w:t xml:space="preserve">C’est l’interprétation de </w:t>
      </w:r>
      <w:proofErr w:type="spellStart"/>
      <w:r w:rsidRPr="0053335D">
        <w:t>Shmuel</w:t>
      </w:r>
      <w:proofErr w:type="spellEnd"/>
      <w:r w:rsidRPr="0053335D">
        <w:t xml:space="preserve"> bar </w:t>
      </w:r>
      <w:proofErr w:type="spellStart"/>
      <w:r w:rsidRPr="0053335D">
        <w:t>Naḥman</w:t>
      </w:r>
      <w:proofErr w:type="spellEnd"/>
      <w:r w:rsidRPr="0053335D">
        <w:t xml:space="preserve"> dans le </w:t>
      </w:r>
      <w:r w:rsidRPr="0053335D">
        <w:rPr>
          <w:i/>
          <w:iCs/>
        </w:rPr>
        <w:t xml:space="preserve">Midrash </w:t>
      </w:r>
      <w:proofErr w:type="spellStart"/>
      <w:r w:rsidRPr="0053335D">
        <w:rPr>
          <w:i/>
          <w:iCs/>
        </w:rPr>
        <w:t>Rabbah</w:t>
      </w:r>
      <w:proofErr w:type="spellEnd"/>
      <w:r w:rsidRPr="0053335D">
        <w:t xml:space="preserve"> : « Rabbi </w:t>
      </w:r>
      <w:proofErr w:type="spellStart"/>
      <w:r w:rsidRPr="0053335D">
        <w:t>Shmuel</w:t>
      </w:r>
      <w:proofErr w:type="spellEnd"/>
      <w:r w:rsidRPr="0053335D">
        <w:t xml:space="preserve"> bar </w:t>
      </w:r>
      <w:proofErr w:type="spellStart"/>
      <w:r w:rsidRPr="0053335D">
        <w:t>Naḥman</w:t>
      </w:r>
      <w:proofErr w:type="spellEnd"/>
      <w:r w:rsidR="006601F7" w:rsidRPr="0053335D">
        <w:t xml:space="preserve"> dit : </w:t>
      </w:r>
      <w:r w:rsidR="006601F7" w:rsidRPr="0053335D">
        <w:rPr>
          <w:lang w:val="en-CA"/>
        </w:rPr>
        <w:t xml:space="preserve">“Quand le </w:t>
      </w:r>
      <w:r w:rsidR="00506D72" w:rsidRPr="0053335D">
        <w:rPr>
          <w:lang w:val="en-CA"/>
        </w:rPr>
        <w:t>s</w:t>
      </w:r>
      <w:r w:rsidR="006601F7" w:rsidRPr="0053335D">
        <w:rPr>
          <w:lang w:val="en-CA"/>
        </w:rPr>
        <w:t xml:space="preserve">aint, </w:t>
      </w:r>
      <w:proofErr w:type="spellStart"/>
      <w:r w:rsidR="006601F7" w:rsidRPr="0053335D">
        <w:rPr>
          <w:lang w:val="en-CA"/>
        </w:rPr>
        <w:t>béni</w:t>
      </w:r>
      <w:proofErr w:type="spellEnd"/>
      <w:r w:rsidR="006601F7" w:rsidRPr="0053335D">
        <w:rPr>
          <w:lang w:val="en-CA"/>
        </w:rPr>
        <w:t xml:space="preserve"> </w:t>
      </w:r>
      <w:proofErr w:type="spellStart"/>
      <w:r w:rsidR="006601F7" w:rsidRPr="0053335D">
        <w:rPr>
          <w:lang w:val="en-CA"/>
        </w:rPr>
        <w:t>soit</w:t>
      </w:r>
      <w:proofErr w:type="spellEnd"/>
      <w:r w:rsidR="006601F7" w:rsidRPr="0053335D">
        <w:rPr>
          <w:lang w:val="en-CA"/>
        </w:rPr>
        <w:t>-</w:t>
      </w:r>
      <w:r w:rsidR="00506D72" w:rsidRPr="0053335D">
        <w:rPr>
          <w:lang w:val="en-CA"/>
        </w:rPr>
        <w:t>i</w:t>
      </w:r>
      <w:r w:rsidR="006601F7" w:rsidRPr="0053335D">
        <w:rPr>
          <w:lang w:val="en-CA"/>
        </w:rPr>
        <w:t xml:space="preserve">l, </w:t>
      </w:r>
      <w:proofErr w:type="spellStart"/>
      <w:r w:rsidR="006601F7" w:rsidRPr="0053335D">
        <w:rPr>
          <w:lang w:val="en-CA"/>
        </w:rPr>
        <w:t>créa</w:t>
      </w:r>
      <w:proofErr w:type="spellEnd"/>
      <w:r w:rsidR="006601F7" w:rsidRPr="0053335D">
        <w:rPr>
          <w:lang w:val="en-CA"/>
        </w:rPr>
        <w:t xml:space="preserve"> Adam, le premier Homme, </w:t>
      </w:r>
      <w:r w:rsidR="00506D72" w:rsidRPr="0053335D">
        <w:rPr>
          <w:lang w:val="en-CA"/>
        </w:rPr>
        <w:t>i</w:t>
      </w:r>
      <w:r w:rsidR="006601F7" w:rsidRPr="0053335D">
        <w:rPr>
          <w:lang w:val="en-CA"/>
        </w:rPr>
        <w:t xml:space="preserve">l le </w:t>
      </w:r>
      <w:proofErr w:type="spellStart"/>
      <w:r w:rsidR="006601F7" w:rsidRPr="0053335D">
        <w:rPr>
          <w:lang w:val="en-CA"/>
        </w:rPr>
        <w:t>créa</w:t>
      </w:r>
      <w:proofErr w:type="spellEnd"/>
      <w:r w:rsidR="006601F7" w:rsidRPr="0053335D">
        <w:rPr>
          <w:lang w:val="en-CA"/>
        </w:rPr>
        <w:t xml:space="preserve"> avec deux visages, et il le </w:t>
      </w:r>
      <w:proofErr w:type="spellStart"/>
      <w:r w:rsidR="006601F7" w:rsidRPr="0053335D">
        <w:rPr>
          <w:lang w:val="en-CA"/>
        </w:rPr>
        <w:t>scia</w:t>
      </w:r>
      <w:proofErr w:type="spellEnd"/>
      <w:r w:rsidR="006601F7" w:rsidRPr="0053335D">
        <w:rPr>
          <w:lang w:val="en-CA"/>
        </w:rPr>
        <w:t xml:space="preserve"> </w:t>
      </w:r>
      <w:proofErr w:type="spellStart"/>
      <w:r w:rsidR="006601F7" w:rsidRPr="0053335D">
        <w:rPr>
          <w:lang w:val="en-CA"/>
        </w:rPr>
        <w:t>en</w:t>
      </w:r>
      <w:proofErr w:type="spellEnd"/>
      <w:r w:rsidR="006601F7" w:rsidRPr="0053335D">
        <w:rPr>
          <w:lang w:val="en-CA"/>
        </w:rPr>
        <w:t xml:space="preserve"> deux et il </w:t>
      </w:r>
      <w:proofErr w:type="spellStart"/>
      <w:r w:rsidR="006601F7" w:rsidRPr="0053335D">
        <w:rPr>
          <w:lang w:val="en-CA"/>
        </w:rPr>
        <w:t>lui</w:t>
      </w:r>
      <w:proofErr w:type="spellEnd"/>
      <w:r w:rsidR="006601F7" w:rsidRPr="0053335D">
        <w:rPr>
          <w:lang w:val="en-CA"/>
        </w:rPr>
        <w:t xml:space="preserve"> fit deux dos, un dos </w:t>
      </w:r>
      <w:proofErr w:type="spellStart"/>
      <w:r w:rsidR="006601F7" w:rsidRPr="0053335D">
        <w:rPr>
          <w:lang w:val="en-CA"/>
        </w:rPr>
        <w:t>ici</w:t>
      </w:r>
      <w:proofErr w:type="spellEnd"/>
      <w:r w:rsidR="006601F7" w:rsidRPr="0053335D">
        <w:rPr>
          <w:lang w:val="en-CA"/>
        </w:rPr>
        <w:t xml:space="preserve"> et un dos </w:t>
      </w:r>
      <w:proofErr w:type="spellStart"/>
      <w:r w:rsidR="006601F7" w:rsidRPr="0053335D">
        <w:rPr>
          <w:lang w:val="en-CA"/>
        </w:rPr>
        <w:t>là</w:t>
      </w:r>
      <w:proofErr w:type="spellEnd"/>
      <w:r w:rsidR="006601F7" w:rsidRPr="0053335D">
        <w:rPr>
          <w:lang w:val="en-CA"/>
        </w:rPr>
        <w:t>.”</w:t>
      </w:r>
      <w:r w:rsidR="006601F7" w:rsidRPr="0053335D">
        <w:rPr>
          <w:lang w:val="fr-FR"/>
        </w:rPr>
        <w:t> </w:t>
      </w:r>
      <w:r w:rsidR="006601F7" w:rsidRPr="0053335D">
        <w:rPr>
          <w:lang w:val="nl-BE"/>
        </w:rPr>
        <w:t>» (</w:t>
      </w:r>
      <w:r w:rsidR="006601F7" w:rsidRPr="0053335D">
        <w:rPr>
          <w:i/>
          <w:iCs/>
          <w:lang w:val="nl-BE"/>
        </w:rPr>
        <w:t>Bereshit Rabbah</w:t>
      </w:r>
      <w:r w:rsidR="006601F7" w:rsidRPr="0053335D">
        <w:rPr>
          <w:lang w:val="nl-BE"/>
        </w:rPr>
        <w:t xml:space="preserve"> 8, 1, </w:t>
      </w:r>
      <w:r w:rsidR="006601F7" w:rsidRPr="0053335D">
        <w:rPr>
          <w:i/>
          <w:iCs/>
          <w:lang w:val="nl-BE"/>
        </w:rPr>
        <w:t>in The Sefaria Midrash Rabbah</w:t>
      </w:r>
      <w:r w:rsidR="006601F7" w:rsidRPr="0053335D">
        <w:rPr>
          <w:lang w:val="nl-BE"/>
        </w:rPr>
        <w:t xml:space="preserve">, 2022, </w:t>
      </w:r>
      <w:r w:rsidR="006601F7" w:rsidRPr="0053335D">
        <w:rPr>
          <w:i/>
          <w:iCs/>
          <w:lang w:val="nl-BE"/>
        </w:rPr>
        <w:t>op. cit.</w:t>
      </w:r>
      <w:r w:rsidR="006601F7" w:rsidRPr="0053335D">
        <w:rPr>
          <w:lang w:val="nl-BE"/>
        </w:rPr>
        <w:t>)</w:t>
      </w:r>
    </w:p>
  </w:footnote>
  <w:footnote w:id="83">
    <w:p w14:paraId="36DAD892" w14:textId="5FB8D1B9" w:rsidR="00CE0580" w:rsidRPr="0053335D" w:rsidRDefault="00CE0580" w:rsidP="0053335D">
      <w:pPr>
        <w:pStyle w:val="Notedebasdepage"/>
        <w:jc w:val="both"/>
        <w:rPr>
          <w:lang w:val="nl-BE"/>
        </w:rPr>
      </w:pPr>
      <w:r w:rsidRPr="0053335D">
        <w:rPr>
          <w:rStyle w:val="Appelnotedebasdep"/>
        </w:rPr>
        <w:footnoteRef/>
      </w:r>
      <w:r w:rsidRPr="0053335D">
        <w:rPr>
          <w:lang w:val="nl-BE"/>
        </w:rPr>
        <w:t xml:space="preserve"> </w:t>
      </w:r>
      <w:r w:rsidRPr="0053335D">
        <w:rPr>
          <w:i/>
          <w:iCs/>
          <w:lang w:val="nl-BE"/>
        </w:rPr>
        <w:t>Genèse</w:t>
      </w:r>
      <w:r w:rsidRPr="0053335D">
        <w:rPr>
          <w:lang w:val="nl-BE"/>
        </w:rPr>
        <w:t xml:space="preserve"> 4, 25 et 5, 3-5.</w:t>
      </w:r>
    </w:p>
  </w:footnote>
  <w:footnote w:id="84">
    <w:p w14:paraId="02BF2DE4" w14:textId="02BF204C" w:rsidR="007F07AA" w:rsidRPr="0053335D" w:rsidRDefault="007F07AA" w:rsidP="0053335D">
      <w:pPr>
        <w:pStyle w:val="Notedebasdepage"/>
        <w:jc w:val="both"/>
      </w:pPr>
      <w:r w:rsidRPr="0053335D">
        <w:rPr>
          <w:rStyle w:val="Appelnotedebasdep"/>
        </w:rPr>
        <w:footnoteRef/>
      </w:r>
      <w:r w:rsidRPr="0053335D">
        <w:t xml:space="preserve"> </w:t>
      </w:r>
      <w:r w:rsidRPr="0053335D">
        <w:rPr>
          <w:i/>
          <w:iCs/>
        </w:rPr>
        <w:t>Genèse</w:t>
      </w:r>
      <w:r w:rsidRPr="0053335D">
        <w:t xml:space="preserve"> 2, 20. Voir aussi </w:t>
      </w:r>
      <w:r w:rsidRPr="0053335D">
        <w:rPr>
          <w:i/>
          <w:iCs/>
        </w:rPr>
        <w:t>Genèse</w:t>
      </w:r>
      <w:r w:rsidRPr="0053335D">
        <w:t xml:space="preserve"> 2, 19, où IHWH dieux conduit les animaux devant le terreux « pour qu’il voie comment il crierait (יִּ</w:t>
      </w:r>
      <w:proofErr w:type="spellStart"/>
      <w:r w:rsidRPr="0053335D">
        <w:t>קְרָא</w:t>
      </w:r>
      <w:proofErr w:type="spellEnd"/>
      <w:r w:rsidRPr="0053335D">
        <w:t xml:space="preserve">, </w:t>
      </w:r>
      <w:proofErr w:type="spellStart"/>
      <w:r w:rsidRPr="0053335D">
        <w:rPr>
          <w:i/>
          <w:iCs/>
        </w:rPr>
        <w:t>yikra</w:t>
      </w:r>
      <w:proofErr w:type="spellEnd"/>
      <w:r w:rsidRPr="0053335D">
        <w:rPr>
          <w:i/>
          <w:iCs/>
        </w:rPr>
        <w:t>’</w:t>
      </w:r>
      <w:r w:rsidRPr="0053335D">
        <w:t>) [le nom] » pour chacun d’eux.</w:t>
      </w:r>
    </w:p>
  </w:footnote>
  <w:footnote w:id="85">
    <w:p w14:paraId="6FDB88B9" w14:textId="64B87068" w:rsidR="001E3D43" w:rsidRPr="0053335D" w:rsidRDefault="001E3D43" w:rsidP="0053335D">
      <w:pPr>
        <w:pStyle w:val="Notedebasdepage"/>
        <w:jc w:val="both"/>
      </w:pPr>
      <w:r w:rsidRPr="0053335D">
        <w:rPr>
          <w:rStyle w:val="Appelnotedebasdep"/>
        </w:rPr>
        <w:footnoteRef/>
      </w:r>
      <w:r w:rsidRPr="0053335D">
        <w:t xml:space="preserve"> </w:t>
      </w:r>
      <w:r w:rsidR="0028672E" w:rsidRPr="0053335D">
        <w:rPr>
          <w:i/>
          <w:iCs/>
        </w:rPr>
        <w:t>Genèse</w:t>
      </w:r>
      <w:r w:rsidR="0028672E" w:rsidRPr="0053335D">
        <w:t xml:space="preserve"> 1, 5.</w:t>
      </w:r>
      <w:r w:rsidR="007E7924" w:rsidRPr="0053335D">
        <w:t xml:space="preserve"> </w:t>
      </w:r>
    </w:p>
  </w:footnote>
  <w:footnote w:id="86">
    <w:p w14:paraId="6C611EE5" w14:textId="2E600A1C" w:rsidR="005432EF" w:rsidRPr="0053335D" w:rsidRDefault="005432EF" w:rsidP="0053335D">
      <w:pPr>
        <w:pStyle w:val="Notedebasdepage"/>
        <w:jc w:val="both"/>
      </w:pPr>
      <w:r w:rsidRPr="0053335D">
        <w:rPr>
          <w:rStyle w:val="Appelnotedebasdep"/>
        </w:rPr>
        <w:footnoteRef/>
      </w:r>
      <w:r w:rsidRPr="0053335D">
        <w:t xml:space="preserve"> </w:t>
      </w:r>
      <w:r w:rsidRPr="0053335D">
        <w:rPr>
          <w:i/>
          <w:iCs/>
        </w:rPr>
        <w:t>Genèse</w:t>
      </w:r>
      <w:r w:rsidRPr="0053335D">
        <w:t xml:space="preserve"> 1, 8</w:t>
      </w:r>
      <w:r w:rsidR="005F136A" w:rsidRPr="0053335D">
        <w:t>.</w:t>
      </w:r>
    </w:p>
  </w:footnote>
  <w:footnote w:id="87">
    <w:p w14:paraId="5F203000" w14:textId="7D6CD71A" w:rsidR="005F136A" w:rsidRPr="0053335D" w:rsidRDefault="005F136A" w:rsidP="0053335D">
      <w:pPr>
        <w:pStyle w:val="Notedebasdepage"/>
        <w:jc w:val="both"/>
      </w:pPr>
      <w:r w:rsidRPr="0053335D">
        <w:rPr>
          <w:rStyle w:val="Appelnotedebasdep"/>
        </w:rPr>
        <w:footnoteRef/>
      </w:r>
      <w:r w:rsidRPr="0053335D">
        <w:t xml:space="preserve"> </w:t>
      </w:r>
      <w:r w:rsidRPr="0053335D">
        <w:rPr>
          <w:i/>
          <w:iCs/>
        </w:rPr>
        <w:t>Genèse</w:t>
      </w:r>
      <w:r w:rsidRPr="0053335D">
        <w:t xml:space="preserve"> 1, 10.</w:t>
      </w:r>
    </w:p>
  </w:footnote>
  <w:footnote w:id="88">
    <w:p w14:paraId="77A1C749" w14:textId="43531F86" w:rsidR="0073793F" w:rsidRPr="0053335D" w:rsidRDefault="0073793F" w:rsidP="0053335D">
      <w:pPr>
        <w:pStyle w:val="Notedebasdepage"/>
        <w:jc w:val="both"/>
      </w:pPr>
      <w:r w:rsidRPr="0053335D">
        <w:rPr>
          <w:rStyle w:val="Appelnotedebasdep"/>
        </w:rPr>
        <w:footnoteRef/>
      </w:r>
      <w:r w:rsidRPr="0053335D">
        <w:t xml:space="preserve"> </w:t>
      </w:r>
      <w:r w:rsidR="003A4F77" w:rsidRPr="0053335D">
        <w:rPr>
          <w:i/>
          <w:iCs/>
        </w:rPr>
        <w:t>Deutéronome</w:t>
      </w:r>
      <w:r w:rsidR="003A4F77" w:rsidRPr="0053335D">
        <w:t xml:space="preserve"> 6, 4.</w:t>
      </w:r>
    </w:p>
  </w:footnote>
  <w:footnote w:id="89">
    <w:p w14:paraId="17A1D5DE" w14:textId="71ED8D2F" w:rsidR="003A4F77" w:rsidRPr="0053335D" w:rsidRDefault="003A4F77" w:rsidP="0053335D">
      <w:pPr>
        <w:pStyle w:val="Notedebasdepage"/>
        <w:jc w:val="both"/>
      </w:pPr>
      <w:r w:rsidRPr="0053335D">
        <w:rPr>
          <w:rStyle w:val="Appelnotedebasdep"/>
        </w:rPr>
        <w:footnoteRef/>
      </w:r>
      <w:r w:rsidRPr="0053335D">
        <w:t xml:space="preserve"> </w:t>
      </w:r>
      <w:r w:rsidRPr="0053335D">
        <w:rPr>
          <w:i/>
          <w:iCs/>
        </w:rPr>
        <w:t>Genèse</w:t>
      </w:r>
      <w:r w:rsidRPr="0053335D">
        <w:t xml:space="preserve"> 1, 5.</w:t>
      </w:r>
    </w:p>
  </w:footnote>
  <w:footnote w:id="90">
    <w:p w14:paraId="7DAB0180" w14:textId="640C1A2F" w:rsidR="00BA5F60" w:rsidRPr="0053335D" w:rsidRDefault="00BA5F60" w:rsidP="0053335D">
      <w:pPr>
        <w:pStyle w:val="Notedebasdepage"/>
        <w:jc w:val="both"/>
      </w:pPr>
      <w:r w:rsidRPr="0053335D">
        <w:rPr>
          <w:rStyle w:val="Appelnotedebasdep"/>
        </w:rPr>
        <w:footnoteRef/>
      </w:r>
      <w:r w:rsidRPr="0053335D">
        <w:t xml:space="preserve"> </w:t>
      </w:r>
      <w:r w:rsidRPr="0053335D">
        <w:rPr>
          <w:i/>
          <w:iCs/>
        </w:rPr>
        <w:t>Genèse</w:t>
      </w:r>
      <w:r w:rsidRPr="0053335D">
        <w:t xml:space="preserve"> 1, 8.</w:t>
      </w:r>
    </w:p>
  </w:footnote>
  <w:footnote w:id="91">
    <w:p w14:paraId="4F0A7AEB" w14:textId="74995E90" w:rsidR="00BA5F60" w:rsidRPr="0053335D" w:rsidRDefault="00BA5F60" w:rsidP="0053335D">
      <w:pPr>
        <w:pStyle w:val="Notedebasdepage"/>
        <w:jc w:val="both"/>
      </w:pPr>
      <w:r w:rsidRPr="0053335D">
        <w:rPr>
          <w:rStyle w:val="Appelnotedebasdep"/>
        </w:rPr>
        <w:footnoteRef/>
      </w:r>
      <w:r w:rsidRPr="0053335D">
        <w:t xml:space="preserve"> </w:t>
      </w:r>
      <w:r w:rsidRPr="0053335D">
        <w:rPr>
          <w:i/>
          <w:iCs/>
        </w:rPr>
        <w:t xml:space="preserve">Genèse </w:t>
      </w:r>
      <w:r w:rsidRPr="0053335D">
        <w:t xml:space="preserve">1, 13. Voir ensuite </w:t>
      </w:r>
      <w:r w:rsidRPr="0053335D">
        <w:rPr>
          <w:i/>
          <w:iCs/>
        </w:rPr>
        <w:t>Genèse</w:t>
      </w:r>
      <w:r w:rsidRPr="0053335D">
        <w:t xml:space="preserve"> 1, 19 (« jour quatrième ») ; 1, 23 (« jour cinquième ») ; 1, 31 (« jour sixième » et 2, 2 (« dans le septième jour »). </w:t>
      </w:r>
    </w:p>
  </w:footnote>
  <w:footnote w:id="92">
    <w:p w14:paraId="404265AC" w14:textId="77777777" w:rsidR="00506D72" w:rsidRPr="0053335D" w:rsidRDefault="00506D72" w:rsidP="0053335D">
      <w:pPr>
        <w:jc w:val="both"/>
        <w:rPr>
          <w:color w:val="000000"/>
          <w:sz w:val="20"/>
          <w:szCs w:val="20"/>
        </w:rPr>
      </w:pPr>
      <w:r w:rsidRPr="0053335D">
        <w:rPr>
          <w:rStyle w:val="Appelnotedebasdep"/>
          <w:sz w:val="20"/>
          <w:szCs w:val="20"/>
        </w:rPr>
        <w:footnoteRef/>
      </w:r>
      <w:r w:rsidRPr="0053335D">
        <w:rPr>
          <w:sz w:val="20"/>
          <w:szCs w:val="20"/>
        </w:rPr>
        <w:t xml:space="preserve"> </w:t>
      </w:r>
      <w:r w:rsidRPr="0053335D">
        <w:rPr>
          <w:color w:val="000000"/>
          <w:sz w:val="20"/>
          <w:szCs w:val="20"/>
          <w:lang w:val="fr-FR"/>
        </w:rPr>
        <w:t xml:space="preserve">C’est l’interprétation de Rabbi </w:t>
      </w:r>
      <w:proofErr w:type="spellStart"/>
      <w:r w:rsidRPr="0053335D">
        <w:rPr>
          <w:color w:val="000000"/>
          <w:sz w:val="20"/>
          <w:szCs w:val="20"/>
          <w:lang w:val="fr-FR"/>
        </w:rPr>
        <w:t>Yudan</w:t>
      </w:r>
      <w:proofErr w:type="spellEnd"/>
      <w:r w:rsidRPr="0053335D">
        <w:rPr>
          <w:color w:val="000000"/>
          <w:sz w:val="20"/>
          <w:szCs w:val="20"/>
          <w:lang w:val="fr-FR"/>
        </w:rPr>
        <w:t xml:space="preserve"> dans le </w:t>
      </w:r>
      <w:proofErr w:type="spellStart"/>
      <w:r w:rsidRPr="0053335D">
        <w:rPr>
          <w:i/>
          <w:iCs/>
          <w:color w:val="000000"/>
          <w:sz w:val="20"/>
          <w:szCs w:val="20"/>
          <w:lang w:val="fr-FR"/>
        </w:rPr>
        <w:t>Bereshit</w:t>
      </w:r>
      <w:proofErr w:type="spellEnd"/>
      <w:r w:rsidRPr="0053335D">
        <w:rPr>
          <w:i/>
          <w:iCs/>
          <w:color w:val="000000"/>
          <w:sz w:val="20"/>
          <w:szCs w:val="20"/>
          <w:lang w:val="fr-FR"/>
        </w:rPr>
        <w:t xml:space="preserve"> </w:t>
      </w:r>
      <w:proofErr w:type="spellStart"/>
      <w:r w:rsidRPr="0053335D">
        <w:rPr>
          <w:i/>
          <w:iCs/>
          <w:color w:val="000000"/>
          <w:sz w:val="20"/>
          <w:szCs w:val="20"/>
          <w:lang w:val="fr-FR"/>
        </w:rPr>
        <w:t>Rabbah</w:t>
      </w:r>
      <w:proofErr w:type="spellEnd"/>
      <w:r w:rsidRPr="0053335D">
        <w:rPr>
          <w:color w:val="000000"/>
          <w:sz w:val="20"/>
          <w:szCs w:val="20"/>
          <w:lang w:val="fr-FR"/>
        </w:rPr>
        <w:t xml:space="preserve"> : « Rabbi </w:t>
      </w:r>
      <w:proofErr w:type="spellStart"/>
      <w:r w:rsidRPr="0053335D">
        <w:rPr>
          <w:color w:val="000000"/>
          <w:sz w:val="20"/>
          <w:szCs w:val="20"/>
          <w:lang w:val="fr-FR"/>
        </w:rPr>
        <w:t>Yudan</w:t>
      </w:r>
      <w:proofErr w:type="spellEnd"/>
      <w:r w:rsidRPr="0053335D">
        <w:rPr>
          <w:color w:val="000000"/>
          <w:sz w:val="20"/>
          <w:szCs w:val="20"/>
          <w:lang w:val="fr-FR"/>
        </w:rPr>
        <w:t xml:space="preserve"> dit : </w:t>
      </w:r>
      <w:proofErr w:type="gramStart"/>
      <w:r w:rsidRPr="0053335D">
        <w:rPr>
          <w:color w:val="000000"/>
          <w:sz w:val="20"/>
          <w:szCs w:val="20"/>
          <w:lang w:val="en-US"/>
        </w:rPr>
        <w:t>“(</w:t>
      </w:r>
      <w:proofErr w:type="gramEnd"/>
      <w:r w:rsidRPr="0053335D">
        <w:rPr>
          <w:color w:val="000000"/>
          <w:sz w:val="20"/>
          <w:szCs w:val="20"/>
          <w:lang w:val="en-US"/>
        </w:rPr>
        <w:t xml:space="preserve">…) Il </w:t>
      </w:r>
      <w:proofErr w:type="spellStart"/>
      <w:r w:rsidRPr="0053335D">
        <w:rPr>
          <w:color w:val="000000"/>
          <w:sz w:val="20"/>
          <w:szCs w:val="20"/>
          <w:lang w:val="en-US"/>
        </w:rPr>
        <w:t>était</w:t>
      </w:r>
      <w:proofErr w:type="spellEnd"/>
      <w:r w:rsidRPr="0053335D">
        <w:rPr>
          <w:color w:val="000000"/>
          <w:sz w:val="20"/>
          <w:szCs w:val="20"/>
          <w:lang w:val="en-US"/>
        </w:rPr>
        <w:t xml:space="preserve"> seul dans son monde, </w:t>
      </w:r>
      <w:proofErr w:type="spellStart"/>
      <w:r w:rsidRPr="0053335D">
        <w:rPr>
          <w:color w:val="000000"/>
          <w:sz w:val="20"/>
          <w:szCs w:val="20"/>
          <w:lang w:val="en-US"/>
        </w:rPr>
        <w:t>puisqu’il</w:t>
      </w:r>
      <w:proofErr w:type="spellEnd"/>
      <w:r w:rsidRPr="0053335D">
        <w:rPr>
          <w:color w:val="000000"/>
          <w:sz w:val="20"/>
          <w:szCs w:val="20"/>
          <w:lang w:val="en-US"/>
        </w:rPr>
        <w:t xml:space="preserve"> </w:t>
      </w:r>
      <w:proofErr w:type="spellStart"/>
      <w:r w:rsidRPr="0053335D">
        <w:rPr>
          <w:color w:val="000000"/>
          <w:sz w:val="20"/>
          <w:szCs w:val="20"/>
          <w:lang w:val="en-US"/>
        </w:rPr>
        <w:t>n’y</w:t>
      </w:r>
      <w:proofErr w:type="spellEnd"/>
      <w:r w:rsidRPr="0053335D">
        <w:rPr>
          <w:color w:val="000000"/>
          <w:sz w:val="20"/>
          <w:szCs w:val="20"/>
          <w:lang w:val="en-US"/>
        </w:rPr>
        <w:t xml:space="preserve"> </w:t>
      </w:r>
      <w:proofErr w:type="spellStart"/>
      <w:r w:rsidRPr="0053335D">
        <w:rPr>
          <w:color w:val="000000"/>
          <w:sz w:val="20"/>
          <w:szCs w:val="20"/>
          <w:lang w:val="en-US"/>
        </w:rPr>
        <w:t>avait</w:t>
      </w:r>
      <w:proofErr w:type="spellEnd"/>
      <w:r w:rsidRPr="0053335D">
        <w:rPr>
          <w:color w:val="000000"/>
          <w:sz w:val="20"/>
          <w:szCs w:val="20"/>
          <w:lang w:val="en-US"/>
        </w:rPr>
        <w:t xml:space="preserve"> </w:t>
      </w:r>
      <w:proofErr w:type="spellStart"/>
      <w:r w:rsidRPr="0053335D">
        <w:rPr>
          <w:color w:val="000000"/>
          <w:sz w:val="20"/>
          <w:szCs w:val="20"/>
          <w:lang w:val="en-US"/>
        </w:rPr>
        <w:t>personne</w:t>
      </w:r>
      <w:proofErr w:type="spellEnd"/>
      <w:r w:rsidRPr="0053335D">
        <w:rPr>
          <w:color w:val="000000"/>
          <w:sz w:val="20"/>
          <w:szCs w:val="20"/>
          <w:lang w:val="en-US"/>
        </w:rPr>
        <w:t xml:space="preserve"> </w:t>
      </w:r>
      <w:proofErr w:type="spellStart"/>
      <w:r w:rsidRPr="0053335D">
        <w:rPr>
          <w:color w:val="000000"/>
          <w:sz w:val="20"/>
          <w:szCs w:val="20"/>
          <w:lang w:val="en-US"/>
        </w:rPr>
        <w:t>d’autre</w:t>
      </w:r>
      <w:proofErr w:type="spellEnd"/>
      <w:r w:rsidRPr="0053335D">
        <w:rPr>
          <w:color w:val="000000"/>
          <w:sz w:val="20"/>
          <w:szCs w:val="20"/>
          <w:lang w:val="en-US"/>
        </w:rPr>
        <w:t xml:space="preserve"> dans son monde </w:t>
      </w:r>
      <w:proofErr w:type="spellStart"/>
      <w:r w:rsidRPr="0053335D">
        <w:rPr>
          <w:color w:val="000000"/>
          <w:sz w:val="20"/>
          <w:szCs w:val="20"/>
          <w:lang w:val="en-US"/>
        </w:rPr>
        <w:t>autre</w:t>
      </w:r>
      <w:proofErr w:type="spellEnd"/>
      <w:r w:rsidRPr="0053335D">
        <w:rPr>
          <w:color w:val="000000"/>
          <w:sz w:val="20"/>
          <w:szCs w:val="20"/>
          <w:lang w:val="en-US"/>
        </w:rPr>
        <w:t xml:space="preserve"> </w:t>
      </w:r>
      <w:proofErr w:type="spellStart"/>
      <w:r w:rsidRPr="0053335D">
        <w:rPr>
          <w:color w:val="000000"/>
          <w:sz w:val="20"/>
          <w:szCs w:val="20"/>
          <w:lang w:val="en-US"/>
        </w:rPr>
        <w:t>que</w:t>
      </w:r>
      <w:proofErr w:type="spellEnd"/>
      <w:r w:rsidRPr="0053335D">
        <w:rPr>
          <w:color w:val="000000"/>
          <w:sz w:val="20"/>
          <w:szCs w:val="20"/>
          <w:lang w:val="en-US"/>
        </w:rPr>
        <w:t xml:space="preserve"> </w:t>
      </w:r>
      <w:proofErr w:type="spellStart"/>
      <w:r w:rsidRPr="0053335D">
        <w:rPr>
          <w:color w:val="000000"/>
          <w:sz w:val="20"/>
          <w:szCs w:val="20"/>
          <w:lang w:val="en-US"/>
        </w:rPr>
        <w:t>lui</w:t>
      </w:r>
      <w:proofErr w:type="spellEnd"/>
      <w:r w:rsidRPr="0053335D">
        <w:rPr>
          <w:color w:val="000000"/>
          <w:sz w:val="20"/>
          <w:szCs w:val="20"/>
          <w:lang w:val="en-US"/>
        </w:rPr>
        <w:t>.”</w:t>
      </w:r>
      <w:r w:rsidRPr="0053335D">
        <w:rPr>
          <w:color w:val="000000"/>
          <w:sz w:val="20"/>
          <w:szCs w:val="20"/>
          <w:lang w:val="fr-FR"/>
        </w:rPr>
        <w:t> </w:t>
      </w:r>
      <w:r w:rsidRPr="0053335D">
        <w:rPr>
          <w:color w:val="000000"/>
          <w:sz w:val="20"/>
          <w:szCs w:val="20"/>
        </w:rPr>
        <w:t>»</w:t>
      </w:r>
    </w:p>
    <w:p w14:paraId="41E11CB1" w14:textId="7ACD6F32" w:rsidR="00506D72" w:rsidRPr="0053335D" w:rsidRDefault="00506D72" w:rsidP="0053335D">
      <w:pPr>
        <w:jc w:val="both"/>
        <w:rPr>
          <w:color w:val="000000"/>
          <w:sz w:val="20"/>
          <w:szCs w:val="20"/>
        </w:rPr>
      </w:pPr>
      <w:r w:rsidRPr="0053335D">
        <w:rPr>
          <w:sz w:val="20"/>
          <w:szCs w:val="20"/>
        </w:rPr>
        <w:t>(</w:t>
      </w:r>
      <w:proofErr w:type="spellStart"/>
      <w:r w:rsidRPr="0053335D">
        <w:rPr>
          <w:i/>
          <w:iCs/>
          <w:sz w:val="20"/>
          <w:szCs w:val="20"/>
        </w:rPr>
        <w:t>Bereshit</w:t>
      </w:r>
      <w:proofErr w:type="spellEnd"/>
      <w:r w:rsidRPr="0053335D">
        <w:rPr>
          <w:i/>
          <w:iCs/>
          <w:sz w:val="20"/>
          <w:szCs w:val="20"/>
        </w:rPr>
        <w:t xml:space="preserve"> </w:t>
      </w:r>
      <w:proofErr w:type="spellStart"/>
      <w:r w:rsidRPr="0053335D">
        <w:rPr>
          <w:i/>
          <w:iCs/>
          <w:sz w:val="20"/>
          <w:szCs w:val="20"/>
        </w:rPr>
        <w:t>Rabbah</w:t>
      </w:r>
      <w:proofErr w:type="spellEnd"/>
      <w:r w:rsidRPr="0053335D">
        <w:rPr>
          <w:sz w:val="20"/>
          <w:szCs w:val="20"/>
        </w:rPr>
        <w:t xml:space="preserve"> 3, </w:t>
      </w:r>
      <w:r w:rsidRPr="0053335D">
        <w:rPr>
          <w:i/>
          <w:iCs/>
          <w:sz w:val="20"/>
          <w:szCs w:val="20"/>
        </w:rPr>
        <w:t xml:space="preserve">in The </w:t>
      </w:r>
      <w:proofErr w:type="spellStart"/>
      <w:r w:rsidRPr="0053335D">
        <w:rPr>
          <w:i/>
          <w:iCs/>
          <w:sz w:val="20"/>
          <w:szCs w:val="20"/>
        </w:rPr>
        <w:t>Sefaria</w:t>
      </w:r>
      <w:proofErr w:type="spellEnd"/>
      <w:r w:rsidRPr="0053335D">
        <w:rPr>
          <w:i/>
          <w:iCs/>
          <w:sz w:val="20"/>
          <w:szCs w:val="20"/>
        </w:rPr>
        <w:t xml:space="preserve"> Midrash </w:t>
      </w:r>
      <w:proofErr w:type="spellStart"/>
      <w:r w:rsidRPr="0053335D">
        <w:rPr>
          <w:i/>
          <w:iCs/>
          <w:sz w:val="20"/>
          <w:szCs w:val="20"/>
        </w:rPr>
        <w:t>Rabbah</w:t>
      </w:r>
      <w:proofErr w:type="spellEnd"/>
      <w:r w:rsidRPr="0053335D">
        <w:rPr>
          <w:sz w:val="20"/>
          <w:szCs w:val="20"/>
        </w:rPr>
        <w:t xml:space="preserve">, 2022, </w:t>
      </w:r>
      <w:r w:rsidRPr="0053335D">
        <w:rPr>
          <w:i/>
          <w:iCs/>
          <w:sz w:val="20"/>
          <w:szCs w:val="20"/>
        </w:rPr>
        <w:t xml:space="preserve">op. </w:t>
      </w:r>
      <w:proofErr w:type="spellStart"/>
      <w:r w:rsidRPr="0053335D">
        <w:rPr>
          <w:i/>
          <w:iCs/>
          <w:sz w:val="20"/>
          <w:szCs w:val="20"/>
        </w:rPr>
        <w:t>cit</w:t>
      </w:r>
      <w:proofErr w:type="spellEnd"/>
      <w:r w:rsidRPr="0053335D">
        <w:rPr>
          <w:i/>
          <w:iCs/>
          <w:sz w:val="20"/>
          <w:szCs w:val="20"/>
        </w:rPr>
        <w:t>.</w:t>
      </w:r>
      <w:r w:rsidRPr="0053335D">
        <w:rPr>
          <w:sz w:val="20"/>
          <w:szCs w:val="20"/>
        </w:rPr>
        <w:t>). Les opinions rapportées dans la suite du chapitre conduisent à déduire que les anges en particulier n’existaient pas avant le deuxième jour, ce qui fait bien du premier jour le jour où dieux est seul.</w:t>
      </w:r>
    </w:p>
  </w:footnote>
  <w:footnote w:id="93">
    <w:p w14:paraId="098CEC8F" w14:textId="4AF5AE9C" w:rsidR="00E60003" w:rsidRPr="0053335D" w:rsidRDefault="00E60003" w:rsidP="0053335D">
      <w:pPr>
        <w:pStyle w:val="Notedebasdepage"/>
        <w:jc w:val="both"/>
        <w:rPr>
          <w:iCs/>
        </w:rPr>
      </w:pPr>
      <w:r w:rsidRPr="0053335D">
        <w:rPr>
          <w:rStyle w:val="Appelnotedebasdep"/>
        </w:rPr>
        <w:footnoteRef/>
      </w:r>
      <w:r w:rsidRPr="0053335D">
        <w:t xml:space="preserve"> </w:t>
      </w:r>
      <w:r w:rsidRPr="0053335D">
        <w:rPr>
          <w:i/>
        </w:rPr>
        <w:t xml:space="preserve">Genèse </w:t>
      </w:r>
      <w:r w:rsidRPr="0053335D">
        <w:rPr>
          <w:iCs/>
        </w:rPr>
        <w:t>1, 1.</w:t>
      </w:r>
    </w:p>
  </w:footnote>
  <w:footnote w:id="94">
    <w:p w14:paraId="1A533BE7" w14:textId="7A6AC51F" w:rsidR="00D66A68" w:rsidRPr="0053335D" w:rsidRDefault="00D66A68" w:rsidP="0053335D">
      <w:pPr>
        <w:pStyle w:val="Notedebasdepage"/>
        <w:jc w:val="both"/>
      </w:pPr>
      <w:r w:rsidRPr="0053335D">
        <w:rPr>
          <w:rStyle w:val="Appelnotedebasdep"/>
        </w:rPr>
        <w:footnoteRef/>
      </w:r>
      <w:r w:rsidRPr="0053335D">
        <w:t xml:space="preserve"> </w:t>
      </w:r>
      <w:r w:rsidRPr="0053335D">
        <w:rPr>
          <w:i/>
          <w:iCs/>
        </w:rPr>
        <w:t>Genèse</w:t>
      </w:r>
      <w:r w:rsidRPr="0053335D">
        <w:t xml:space="preserve"> 1, 2.</w:t>
      </w:r>
    </w:p>
  </w:footnote>
  <w:footnote w:id="95">
    <w:p w14:paraId="16722612" w14:textId="071D337A" w:rsidR="00FE6A42" w:rsidRPr="0053335D" w:rsidRDefault="00FE6A42" w:rsidP="0053335D">
      <w:pPr>
        <w:jc w:val="both"/>
        <w:rPr>
          <w:color w:val="000000"/>
          <w:sz w:val="20"/>
          <w:szCs w:val="20"/>
          <w:lang w:val="fr-FR"/>
        </w:rPr>
      </w:pPr>
      <w:r w:rsidRPr="0053335D">
        <w:rPr>
          <w:rStyle w:val="Appelnotedebasdep"/>
          <w:sz w:val="20"/>
          <w:szCs w:val="20"/>
        </w:rPr>
        <w:footnoteRef/>
      </w:r>
      <w:r w:rsidRPr="0053335D">
        <w:rPr>
          <w:sz w:val="20"/>
          <w:szCs w:val="20"/>
        </w:rPr>
        <w:t xml:space="preserve"> </w:t>
      </w:r>
      <w:r w:rsidRPr="0053335D">
        <w:rPr>
          <w:color w:val="000000"/>
          <w:sz w:val="20"/>
          <w:szCs w:val="20"/>
          <w:lang w:val="fr-FR"/>
        </w:rPr>
        <w:t>« </w:t>
      </w:r>
      <w:r w:rsidRPr="0053335D">
        <w:rPr>
          <w:color w:val="000000"/>
          <w:sz w:val="20"/>
          <w:szCs w:val="20"/>
        </w:rPr>
        <w:t>L’humanité est décrite ici comme articulée, dès son point de départ, par la relation entre le masculin et le féminin. »</w:t>
      </w:r>
      <w:r w:rsidRPr="0053335D">
        <w:rPr>
          <w:i/>
          <w:iCs/>
          <w:sz w:val="20"/>
          <w:szCs w:val="20"/>
        </w:rPr>
        <w:t xml:space="preserve"> </w:t>
      </w:r>
      <w:r w:rsidRPr="0053335D">
        <w:rPr>
          <w:sz w:val="20"/>
          <w:szCs w:val="20"/>
        </w:rPr>
        <w:t>(</w:t>
      </w:r>
      <w:r w:rsidRPr="0053335D">
        <w:rPr>
          <w:i/>
          <w:iCs/>
          <w:sz w:val="20"/>
          <w:szCs w:val="20"/>
        </w:rPr>
        <w:t>Lettre aux évêques de l’Église… dans le monde</w:t>
      </w:r>
      <w:r w:rsidRPr="0053335D">
        <w:rPr>
          <w:sz w:val="20"/>
          <w:szCs w:val="20"/>
        </w:rPr>
        <w:t>, 5)</w:t>
      </w:r>
    </w:p>
  </w:footnote>
  <w:footnote w:id="96">
    <w:p w14:paraId="09C01335" w14:textId="14DAB6DE" w:rsidR="00D3263D" w:rsidRPr="0053335D" w:rsidRDefault="00D3263D" w:rsidP="0053335D">
      <w:pPr>
        <w:pStyle w:val="Notedebasdepage"/>
        <w:jc w:val="both"/>
      </w:pPr>
      <w:r w:rsidRPr="0053335D">
        <w:rPr>
          <w:rStyle w:val="Appelnotedebasdep"/>
        </w:rPr>
        <w:footnoteRef/>
      </w:r>
      <w:r w:rsidRPr="0053335D">
        <w:t xml:space="preserve"> </w:t>
      </w:r>
      <w:r w:rsidRPr="0053335D">
        <w:rPr>
          <w:i/>
          <w:iCs/>
        </w:rPr>
        <w:t>Évangile selon Luc</w:t>
      </w:r>
      <w:r w:rsidRPr="0053335D">
        <w:t xml:space="preserve"> 1, 27 </w:t>
      </w:r>
      <w:r w:rsidRPr="0053335D">
        <w:rPr>
          <w:i/>
          <w:iCs/>
        </w:rPr>
        <w:t>sq.</w:t>
      </w:r>
      <w:r w:rsidRPr="0053335D">
        <w:t xml:space="preserve"> </w:t>
      </w:r>
    </w:p>
  </w:footnote>
  <w:footnote w:id="97">
    <w:p w14:paraId="6B215843" w14:textId="04BD8157" w:rsidR="00D3263D" w:rsidRPr="0053335D" w:rsidRDefault="00D3263D" w:rsidP="0053335D">
      <w:pPr>
        <w:pStyle w:val="Notedebasdepage"/>
        <w:jc w:val="both"/>
      </w:pPr>
      <w:r w:rsidRPr="0053335D">
        <w:rPr>
          <w:rStyle w:val="Appelnotedebasdep"/>
        </w:rPr>
        <w:footnoteRef/>
      </w:r>
      <w:r w:rsidRPr="0053335D">
        <w:t xml:space="preserve"> </w:t>
      </w:r>
      <w:r w:rsidRPr="0053335D">
        <w:rPr>
          <w:i/>
          <w:iCs/>
        </w:rPr>
        <w:t>Évangile selon Luc</w:t>
      </w:r>
      <w:r w:rsidRPr="0053335D">
        <w:t xml:space="preserve"> 1, 26.</w:t>
      </w:r>
    </w:p>
  </w:footnote>
  <w:footnote w:id="98">
    <w:p w14:paraId="26C0ED22" w14:textId="70D96AE8" w:rsidR="006E491E" w:rsidRPr="0053335D" w:rsidRDefault="006E491E" w:rsidP="0053335D">
      <w:pPr>
        <w:pStyle w:val="Notedebasdepage"/>
        <w:jc w:val="both"/>
      </w:pPr>
      <w:r w:rsidRPr="0053335D">
        <w:rPr>
          <w:rStyle w:val="Appelnotedebasdep"/>
        </w:rPr>
        <w:footnoteRef/>
      </w:r>
      <w:r w:rsidRPr="0053335D">
        <w:t xml:space="preserve"> </w:t>
      </w:r>
      <w:r w:rsidRPr="0053335D">
        <w:rPr>
          <w:i/>
          <w:iCs/>
        </w:rPr>
        <w:t>Évangile selon Luc</w:t>
      </w:r>
      <w:r w:rsidRPr="0053335D">
        <w:t xml:space="preserve"> 1, 35.</w:t>
      </w:r>
    </w:p>
  </w:footnote>
  <w:footnote w:id="99">
    <w:p w14:paraId="10A716F8" w14:textId="1475A528" w:rsidR="006E491E" w:rsidRPr="0053335D" w:rsidRDefault="006E491E" w:rsidP="0053335D">
      <w:pPr>
        <w:pStyle w:val="Notedebasdepage"/>
        <w:jc w:val="both"/>
      </w:pPr>
      <w:r w:rsidRPr="0053335D">
        <w:rPr>
          <w:rStyle w:val="Appelnotedebasdep"/>
        </w:rPr>
        <w:footnoteRef/>
      </w:r>
      <w:r w:rsidRPr="0053335D">
        <w:t xml:space="preserve"> </w:t>
      </w:r>
      <w:r w:rsidRPr="0053335D">
        <w:rPr>
          <w:i/>
          <w:iCs/>
        </w:rPr>
        <w:t>Évangile selon Luc</w:t>
      </w:r>
      <w:r w:rsidRPr="0053335D">
        <w:t xml:space="preserve"> 1, 37.</w:t>
      </w:r>
    </w:p>
  </w:footnote>
  <w:footnote w:id="100">
    <w:p w14:paraId="23D2C6E8" w14:textId="34CA5D66" w:rsidR="00190688" w:rsidRPr="0053335D" w:rsidRDefault="00190688" w:rsidP="0053335D">
      <w:pPr>
        <w:pStyle w:val="Notedebasdepage"/>
        <w:jc w:val="both"/>
      </w:pPr>
      <w:r w:rsidRPr="0053335D">
        <w:rPr>
          <w:rStyle w:val="Appelnotedebasdep"/>
        </w:rPr>
        <w:footnoteRef/>
      </w:r>
      <w:r w:rsidRPr="0053335D">
        <w:t xml:space="preserve"> </w:t>
      </w:r>
      <w:r w:rsidRPr="0053335D">
        <w:rPr>
          <w:i/>
          <w:iCs/>
        </w:rPr>
        <w:t>Genèse</w:t>
      </w:r>
      <w:r w:rsidRPr="0053335D">
        <w:t xml:space="preserve"> 1, 7.</w:t>
      </w:r>
    </w:p>
  </w:footnote>
  <w:footnote w:id="101">
    <w:p w14:paraId="01CD531D" w14:textId="1FB51FBA" w:rsidR="00190688" w:rsidRPr="00A442C4" w:rsidRDefault="00190688" w:rsidP="0053335D">
      <w:pPr>
        <w:pStyle w:val="Notedebasdepage"/>
        <w:jc w:val="both"/>
      </w:pPr>
      <w:r w:rsidRPr="00A442C4">
        <w:rPr>
          <w:rStyle w:val="Appelnotedebasdep"/>
        </w:rPr>
        <w:footnoteRef/>
      </w:r>
      <w:r w:rsidRPr="00A442C4">
        <w:t xml:space="preserve"> </w:t>
      </w:r>
      <w:r w:rsidR="00A442C4" w:rsidRPr="00A442C4">
        <w:rPr>
          <w:i/>
          <w:iCs/>
        </w:rPr>
        <w:t>Ibid</w:t>
      </w:r>
      <w:r w:rsidR="00A442C4" w:rsidRPr="00A442C4">
        <w:t>.</w:t>
      </w:r>
    </w:p>
  </w:footnote>
  <w:footnote w:id="102">
    <w:p w14:paraId="660AE5AF" w14:textId="5DB6CC5F" w:rsidR="00190688" w:rsidRPr="0053335D" w:rsidRDefault="00190688" w:rsidP="0053335D">
      <w:pPr>
        <w:jc w:val="both"/>
        <w:rPr>
          <w:b/>
          <w:bCs/>
          <w:color w:val="000000"/>
          <w:sz w:val="20"/>
          <w:szCs w:val="20"/>
          <w:lang w:val="fr-FR"/>
        </w:rPr>
      </w:pPr>
      <w:r w:rsidRPr="00A442C4">
        <w:rPr>
          <w:rStyle w:val="Appelnotedebasdep"/>
          <w:sz w:val="20"/>
          <w:szCs w:val="20"/>
        </w:rPr>
        <w:footnoteRef/>
      </w:r>
      <w:r w:rsidRPr="00A442C4">
        <w:rPr>
          <w:sz w:val="20"/>
          <w:szCs w:val="20"/>
        </w:rPr>
        <w:t xml:space="preserve"> </w:t>
      </w:r>
      <w:proofErr w:type="spellStart"/>
      <w:r w:rsidR="00A442C4" w:rsidRPr="00A442C4">
        <w:rPr>
          <w:i/>
          <w:iCs/>
          <w:sz w:val="20"/>
          <w:szCs w:val="20"/>
        </w:rPr>
        <w:t>Ibid</w:t>
      </w:r>
      <w:proofErr w:type="spellEnd"/>
      <w:r w:rsidR="00A442C4" w:rsidRPr="00A442C4">
        <w:rPr>
          <w:color w:val="000000"/>
          <w:sz w:val="20"/>
          <w:szCs w:val="20"/>
          <w:lang w:val="fr-FR"/>
        </w:rPr>
        <w:t xml:space="preserve">. </w:t>
      </w:r>
      <w:r w:rsidR="00B15446" w:rsidRPr="00A442C4">
        <w:rPr>
          <w:color w:val="000000"/>
          <w:sz w:val="20"/>
          <w:szCs w:val="20"/>
          <w:lang w:val="fr-FR"/>
        </w:rPr>
        <w:t>On pourrait aussi le rapprocher du « souffle de dieux plan[</w:t>
      </w:r>
      <w:proofErr w:type="spellStart"/>
      <w:r w:rsidR="00B15446" w:rsidRPr="00A442C4">
        <w:rPr>
          <w:color w:val="000000"/>
          <w:sz w:val="20"/>
          <w:szCs w:val="20"/>
          <w:lang w:val="fr-FR"/>
        </w:rPr>
        <w:t>ant</w:t>
      </w:r>
      <w:proofErr w:type="spellEnd"/>
      <w:r w:rsidR="00B15446" w:rsidRPr="00A442C4">
        <w:rPr>
          <w:color w:val="000000"/>
          <w:sz w:val="20"/>
          <w:szCs w:val="20"/>
          <w:lang w:val="fr-FR"/>
        </w:rPr>
        <w:t xml:space="preserve">] sur les faces des eaux » en </w:t>
      </w:r>
      <w:r w:rsidR="00B15446" w:rsidRPr="00A442C4">
        <w:rPr>
          <w:i/>
          <w:iCs/>
          <w:color w:val="000000"/>
          <w:sz w:val="20"/>
          <w:szCs w:val="20"/>
          <w:lang w:val="fr-FR"/>
        </w:rPr>
        <w:t xml:space="preserve">Genèse </w:t>
      </w:r>
      <w:r w:rsidR="00B15446" w:rsidRPr="00A442C4">
        <w:rPr>
          <w:color w:val="000000"/>
          <w:sz w:val="20"/>
          <w:szCs w:val="20"/>
          <w:lang w:val="fr-FR"/>
        </w:rPr>
        <w:t xml:space="preserve">1, 2. </w:t>
      </w:r>
      <w:r w:rsidR="00B15446" w:rsidRPr="00A442C4">
        <w:rPr>
          <w:sz w:val="20"/>
          <w:szCs w:val="20"/>
        </w:rPr>
        <w:t>Dans la version</w:t>
      </w:r>
      <w:r w:rsidR="00B15446" w:rsidRPr="0053335D">
        <w:rPr>
          <w:sz w:val="20"/>
          <w:szCs w:val="20"/>
        </w:rPr>
        <w:t xml:space="preserve"> grecque de ce passage, c’est le mot </w:t>
      </w:r>
      <w:r w:rsidR="00B15446" w:rsidRPr="0053335D">
        <w:rPr>
          <w:color w:val="000000"/>
          <w:sz w:val="20"/>
          <w:szCs w:val="20"/>
          <w:lang w:val="fr-FR"/>
        </w:rPr>
        <w:t>π</w:t>
      </w:r>
      <w:proofErr w:type="spellStart"/>
      <w:r w:rsidR="00B15446" w:rsidRPr="0053335D">
        <w:rPr>
          <w:color w:val="000000"/>
          <w:sz w:val="20"/>
          <w:szCs w:val="20"/>
          <w:lang w:val="fr-FR"/>
        </w:rPr>
        <w:t>νεῦμ</w:t>
      </w:r>
      <w:proofErr w:type="spellEnd"/>
      <w:r w:rsidR="00B15446" w:rsidRPr="0053335D">
        <w:rPr>
          <w:color w:val="000000"/>
          <w:sz w:val="20"/>
          <w:szCs w:val="20"/>
          <w:lang w:val="fr-FR"/>
        </w:rPr>
        <w:t xml:space="preserve">α, </w:t>
      </w:r>
      <w:r w:rsidR="00B15446" w:rsidRPr="0053335D">
        <w:rPr>
          <w:i/>
          <w:iCs/>
          <w:color w:val="000000"/>
          <w:sz w:val="20"/>
          <w:szCs w:val="20"/>
          <w:lang w:val="fr-FR"/>
        </w:rPr>
        <w:t xml:space="preserve">pneuma </w:t>
      </w:r>
      <w:r w:rsidR="00B15446" w:rsidRPr="0053335D">
        <w:rPr>
          <w:color w:val="000000"/>
          <w:sz w:val="20"/>
          <w:szCs w:val="20"/>
          <w:lang w:val="fr-FR"/>
        </w:rPr>
        <w:t xml:space="preserve">qui est employé pour « souffle », donc le même qu’en </w:t>
      </w:r>
      <w:r w:rsidR="00B15446" w:rsidRPr="0053335D">
        <w:rPr>
          <w:i/>
          <w:iCs/>
          <w:color w:val="000000"/>
          <w:sz w:val="20"/>
          <w:szCs w:val="20"/>
          <w:lang w:val="fr-FR"/>
        </w:rPr>
        <w:t xml:space="preserve">Luc </w:t>
      </w:r>
      <w:r w:rsidR="00B15446" w:rsidRPr="0053335D">
        <w:rPr>
          <w:color w:val="000000"/>
          <w:sz w:val="20"/>
          <w:szCs w:val="20"/>
          <w:lang w:val="fr-FR"/>
        </w:rPr>
        <w:t xml:space="preserve">1, 35. </w:t>
      </w:r>
      <w:r w:rsidR="00B15446" w:rsidRPr="0053335D">
        <w:rPr>
          <w:color w:val="000000"/>
          <w:sz w:val="20"/>
          <w:szCs w:val="20"/>
        </w:rPr>
        <w:t xml:space="preserve">Dans la version grecque de </w:t>
      </w:r>
      <w:r w:rsidR="00B15446" w:rsidRPr="0053335D">
        <w:rPr>
          <w:i/>
          <w:iCs/>
          <w:color w:val="000000"/>
          <w:sz w:val="20"/>
          <w:szCs w:val="20"/>
        </w:rPr>
        <w:t>Genèse</w:t>
      </w:r>
      <w:r w:rsidR="00B15446" w:rsidRPr="0053335D">
        <w:rPr>
          <w:color w:val="000000"/>
          <w:sz w:val="20"/>
          <w:szCs w:val="20"/>
        </w:rPr>
        <w:t xml:space="preserve"> 2, 7, c’est le mot π</w:t>
      </w:r>
      <w:proofErr w:type="spellStart"/>
      <w:r w:rsidR="00B15446" w:rsidRPr="0053335D">
        <w:rPr>
          <w:color w:val="000000"/>
          <w:sz w:val="20"/>
          <w:szCs w:val="20"/>
        </w:rPr>
        <w:t>νοή</w:t>
      </w:r>
      <w:proofErr w:type="spellEnd"/>
      <w:r w:rsidR="00B15446" w:rsidRPr="0053335D">
        <w:rPr>
          <w:color w:val="000000"/>
          <w:sz w:val="20"/>
          <w:szCs w:val="20"/>
        </w:rPr>
        <w:t xml:space="preserve">, </w:t>
      </w:r>
      <w:proofErr w:type="spellStart"/>
      <w:r w:rsidR="00B15446" w:rsidRPr="0053335D">
        <w:rPr>
          <w:i/>
          <w:iCs/>
          <w:color w:val="000000"/>
          <w:sz w:val="20"/>
          <w:szCs w:val="20"/>
        </w:rPr>
        <w:t>pnoê</w:t>
      </w:r>
      <w:proofErr w:type="spellEnd"/>
      <w:r w:rsidR="00B15446" w:rsidRPr="0053335D">
        <w:rPr>
          <w:color w:val="000000"/>
          <w:sz w:val="20"/>
          <w:szCs w:val="20"/>
        </w:rPr>
        <w:t xml:space="preserve">, qui correspond à « souffle ». </w:t>
      </w:r>
      <w:r w:rsidR="00B15446" w:rsidRPr="0053335D">
        <w:rPr>
          <w:color w:val="000000"/>
          <w:sz w:val="20"/>
          <w:szCs w:val="20"/>
          <w:lang w:val="nl-BE"/>
        </w:rPr>
        <w:t xml:space="preserve">Voir </w:t>
      </w:r>
      <w:r w:rsidR="00B15446" w:rsidRPr="0053335D">
        <w:rPr>
          <w:i/>
          <w:iCs/>
          <w:color w:val="000000"/>
          <w:sz w:val="20"/>
          <w:szCs w:val="20"/>
          <w:lang w:val="nl-BE"/>
        </w:rPr>
        <w:t xml:space="preserve">The Old Testament in Greek according to the Septuagint. </w:t>
      </w:r>
      <w:r w:rsidR="00B15446" w:rsidRPr="0053335D">
        <w:rPr>
          <w:i/>
          <w:iCs/>
          <w:color w:val="000000"/>
          <w:sz w:val="20"/>
          <w:szCs w:val="20"/>
        </w:rPr>
        <w:t>Vol. 1. Genesis-</w:t>
      </w:r>
      <w:r w:rsidR="00B15446" w:rsidRPr="0053335D">
        <w:rPr>
          <w:i/>
          <w:iCs/>
          <w:smallCaps/>
          <w:color w:val="000000"/>
          <w:sz w:val="20"/>
          <w:szCs w:val="20"/>
        </w:rPr>
        <w:t>iv</w:t>
      </w:r>
      <w:r w:rsidR="00B15446" w:rsidRPr="0053335D">
        <w:rPr>
          <w:i/>
          <w:iCs/>
          <w:color w:val="000000"/>
          <w:sz w:val="20"/>
          <w:szCs w:val="20"/>
        </w:rPr>
        <w:t xml:space="preserve"> Kings</w:t>
      </w:r>
      <w:r w:rsidR="00B15446" w:rsidRPr="0053335D">
        <w:rPr>
          <w:color w:val="000000"/>
          <w:sz w:val="20"/>
          <w:szCs w:val="20"/>
        </w:rPr>
        <w:t xml:space="preserve">, </w:t>
      </w:r>
      <w:r w:rsidR="00B15446" w:rsidRPr="0053335D">
        <w:rPr>
          <w:i/>
          <w:iCs/>
          <w:color w:val="000000"/>
          <w:sz w:val="20"/>
          <w:szCs w:val="20"/>
        </w:rPr>
        <w:t xml:space="preserve">op. </w:t>
      </w:r>
      <w:proofErr w:type="spellStart"/>
      <w:r w:rsidR="00B15446" w:rsidRPr="0053335D">
        <w:rPr>
          <w:i/>
          <w:iCs/>
          <w:color w:val="000000"/>
          <w:sz w:val="20"/>
          <w:szCs w:val="20"/>
        </w:rPr>
        <w:t>cit</w:t>
      </w:r>
      <w:proofErr w:type="spellEnd"/>
      <w:r w:rsidR="00B15446" w:rsidRPr="0053335D">
        <w:rPr>
          <w:i/>
          <w:iCs/>
          <w:color w:val="000000"/>
          <w:sz w:val="20"/>
          <w:szCs w:val="20"/>
        </w:rPr>
        <w:t>.</w:t>
      </w:r>
      <w:r w:rsidR="00B15446" w:rsidRPr="0053335D">
        <w:rPr>
          <w:color w:val="000000"/>
          <w:sz w:val="20"/>
          <w:szCs w:val="20"/>
          <w:lang w:val="fr-FR"/>
        </w:rPr>
        <w:t xml:space="preserve"> Les deux mots sont également différents dans la Vulgate : </w:t>
      </w:r>
      <w:proofErr w:type="spellStart"/>
      <w:r w:rsidR="00B15446" w:rsidRPr="0053335D">
        <w:rPr>
          <w:i/>
          <w:iCs/>
          <w:color w:val="000000"/>
          <w:sz w:val="20"/>
          <w:szCs w:val="20"/>
          <w:lang w:val="fr-FR"/>
        </w:rPr>
        <w:t>spiritus</w:t>
      </w:r>
      <w:proofErr w:type="spellEnd"/>
      <w:r w:rsidR="00B15446" w:rsidRPr="0053335D">
        <w:rPr>
          <w:color w:val="000000"/>
          <w:sz w:val="20"/>
          <w:szCs w:val="20"/>
          <w:lang w:val="fr-FR"/>
        </w:rPr>
        <w:t xml:space="preserve"> en </w:t>
      </w:r>
      <w:r w:rsidR="00B15446" w:rsidRPr="0053335D">
        <w:rPr>
          <w:i/>
          <w:iCs/>
          <w:color w:val="000000"/>
          <w:sz w:val="20"/>
          <w:szCs w:val="20"/>
          <w:lang w:val="fr-FR"/>
        </w:rPr>
        <w:t>Genèse</w:t>
      </w:r>
      <w:r w:rsidR="00B15446" w:rsidRPr="0053335D">
        <w:rPr>
          <w:color w:val="000000"/>
          <w:sz w:val="20"/>
          <w:szCs w:val="20"/>
          <w:lang w:val="fr-FR"/>
        </w:rPr>
        <w:t xml:space="preserve"> 1, 2 et </w:t>
      </w:r>
      <w:r w:rsidR="00B15446" w:rsidRPr="0053335D">
        <w:rPr>
          <w:i/>
          <w:iCs/>
          <w:color w:val="000000"/>
          <w:sz w:val="20"/>
          <w:szCs w:val="20"/>
          <w:lang w:val="fr-FR"/>
        </w:rPr>
        <w:t xml:space="preserve">Luc </w:t>
      </w:r>
      <w:r w:rsidR="00B15446" w:rsidRPr="0053335D">
        <w:rPr>
          <w:color w:val="000000"/>
          <w:sz w:val="20"/>
          <w:szCs w:val="20"/>
          <w:lang w:val="fr-FR"/>
        </w:rPr>
        <w:t xml:space="preserve">1, 35 et </w:t>
      </w:r>
      <w:proofErr w:type="spellStart"/>
      <w:r w:rsidR="00B15446" w:rsidRPr="0053335D">
        <w:rPr>
          <w:i/>
          <w:iCs/>
          <w:color w:val="000000"/>
          <w:sz w:val="20"/>
          <w:szCs w:val="20"/>
          <w:lang w:val="fr-FR"/>
        </w:rPr>
        <w:t>spiraculum</w:t>
      </w:r>
      <w:proofErr w:type="spellEnd"/>
      <w:r w:rsidR="00B15446" w:rsidRPr="0053335D">
        <w:rPr>
          <w:color w:val="000000"/>
          <w:sz w:val="20"/>
          <w:szCs w:val="20"/>
          <w:lang w:val="fr-FR"/>
        </w:rPr>
        <w:t xml:space="preserve"> en </w:t>
      </w:r>
      <w:r w:rsidR="00B15446" w:rsidRPr="0053335D">
        <w:rPr>
          <w:i/>
          <w:iCs/>
          <w:color w:val="000000"/>
          <w:sz w:val="20"/>
          <w:szCs w:val="20"/>
          <w:lang w:val="fr-FR"/>
        </w:rPr>
        <w:t>Genèse</w:t>
      </w:r>
      <w:r w:rsidR="00B15446" w:rsidRPr="0053335D">
        <w:rPr>
          <w:color w:val="000000"/>
          <w:sz w:val="20"/>
          <w:szCs w:val="20"/>
          <w:lang w:val="fr-FR"/>
        </w:rPr>
        <w:t xml:space="preserve"> 2, 7. Voir </w:t>
      </w:r>
      <w:r w:rsidR="00B15446" w:rsidRPr="0053335D">
        <w:rPr>
          <w:i/>
          <w:iCs/>
          <w:color w:val="000000"/>
          <w:sz w:val="20"/>
          <w:szCs w:val="20"/>
        </w:rPr>
        <w:t xml:space="preserve">The Vulgate </w:t>
      </w:r>
      <w:proofErr w:type="gramStart"/>
      <w:r w:rsidR="00B15446" w:rsidRPr="0053335D">
        <w:rPr>
          <w:i/>
          <w:iCs/>
          <w:color w:val="000000"/>
          <w:sz w:val="20"/>
          <w:szCs w:val="20"/>
        </w:rPr>
        <w:t>Bible:</w:t>
      </w:r>
      <w:proofErr w:type="gramEnd"/>
      <w:r w:rsidR="00B15446" w:rsidRPr="0053335D">
        <w:rPr>
          <w:i/>
          <w:iCs/>
          <w:color w:val="000000"/>
          <w:sz w:val="20"/>
          <w:szCs w:val="20"/>
        </w:rPr>
        <w:t xml:space="preserve"> </w:t>
      </w:r>
      <w:proofErr w:type="spellStart"/>
      <w:r w:rsidR="00B15446" w:rsidRPr="0053335D">
        <w:rPr>
          <w:i/>
          <w:iCs/>
          <w:color w:val="000000"/>
          <w:sz w:val="20"/>
          <w:szCs w:val="20"/>
        </w:rPr>
        <w:t>Douay-Rheims</w:t>
      </w:r>
      <w:proofErr w:type="spellEnd"/>
      <w:r w:rsidR="00B15446" w:rsidRPr="0053335D">
        <w:rPr>
          <w:i/>
          <w:iCs/>
          <w:color w:val="000000"/>
          <w:sz w:val="20"/>
          <w:szCs w:val="20"/>
        </w:rPr>
        <w:t xml:space="preserve"> Translation 1. The </w:t>
      </w:r>
      <w:proofErr w:type="spellStart"/>
      <w:r w:rsidR="00B15446" w:rsidRPr="0053335D">
        <w:rPr>
          <w:i/>
          <w:iCs/>
          <w:color w:val="000000"/>
          <w:sz w:val="20"/>
          <w:szCs w:val="20"/>
        </w:rPr>
        <w:t>Pentateuch</w:t>
      </w:r>
      <w:proofErr w:type="spellEnd"/>
      <w:r w:rsidR="00B15446" w:rsidRPr="0053335D">
        <w:rPr>
          <w:color w:val="000000"/>
          <w:sz w:val="20"/>
          <w:szCs w:val="20"/>
        </w:rPr>
        <w:t xml:space="preserve">, </w:t>
      </w:r>
      <w:r w:rsidR="00B15446" w:rsidRPr="0053335D">
        <w:rPr>
          <w:i/>
          <w:iCs/>
          <w:color w:val="000000"/>
          <w:sz w:val="20"/>
          <w:szCs w:val="20"/>
        </w:rPr>
        <w:t xml:space="preserve">op. </w:t>
      </w:r>
      <w:proofErr w:type="spellStart"/>
      <w:r w:rsidR="00B15446" w:rsidRPr="0053335D">
        <w:rPr>
          <w:i/>
          <w:iCs/>
          <w:color w:val="000000"/>
          <w:sz w:val="20"/>
          <w:szCs w:val="20"/>
        </w:rPr>
        <w:t>cit</w:t>
      </w:r>
      <w:proofErr w:type="spellEnd"/>
      <w:r w:rsidR="00B15446" w:rsidRPr="0053335D">
        <w:rPr>
          <w:i/>
          <w:iCs/>
          <w:color w:val="000000"/>
          <w:sz w:val="20"/>
          <w:szCs w:val="20"/>
        </w:rPr>
        <w:t>.</w:t>
      </w:r>
      <w:r w:rsidR="00B15446" w:rsidRPr="0053335D">
        <w:rPr>
          <w:color w:val="000000"/>
          <w:sz w:val="20"/>
          <w:szCs w:val="20"/>
        </w:rPr>
        <w:t xml:space="preserve"> et </w:t>
      </w:r>
      <w:r w:rsidR="00B15446" w:rsidRPr="0053335D">
        <w:rPr>
          <w:i/>
          <w:iCs/>
          <w:sz w:val="20"/>
          <w:szCs w:val="20"/>
        </w:rPr>
        <w:t xml:space="preserve">The Vulgate Bible: </w:t>
      </w:r>
      <w:proofErr w:type="spellStart"/>
      <w:r w:rsidR="00B15446" w:rsidRPr="0053335D">
        <w:rPr>
          <w:i/>
          <w:iCs/>
          <w:sz w:val="20"/>
          <w:szCs w:val="20"/>
        </w:rPr>
        <w:t>Douay-Rheims</w:t>
      </w:r>
      <w:proofErr w:type="spellEnd"/>
      <w:r w:rsidR="00B15446" w:rsidRPr="0053335D">
        <w:rPr>
          <w:i/>
          <w:iCs/>
          <w:sz w:val="20"/>
          <w:szCs w:val="20"/>
        </w:rPr>
        <w:t xml:space="preserve"> Translation. 6. The New Testament</w:t>
      </w:r>
      <w:r w:rsidR="00B15446" w:rsidRPr="0053335D">
        <w:rPr>
          <w:sz w:val="20"/>
          <w:szCs w:val="20"/>
        </w:rPr>
        <w:t xml:space="preserve">, </w:t>
      </w:r>
      <w:r w:rsidR="00B15446" w:rsidRPr="0053335D">
        <w:rPr>
          <w:i/>
          <w:iCs/>
          <w:sz w:val="20"/>
          <w:szCs w:val="20"/>
        </w:rPr>
        <w:t xml:space="preserve">op. </w:t>
      </w:r>
      <w:proofErr w:type="spellStart"/>
      <w:r w:rsidR="00B15446" w:rsidRPr="0053335D">
        <w:rPr>
          <w:i/>
          <w:iCs/>
          <w:sz w:val="20"/>
          <w:szCs w:val="20"/>
        </w:rPr>
        <w:t>cit</w:t>
      </w:r>
      <w:proofErr w:type="spellEnd"/>
      <w:r w:rsidR="00B15446" w:rsidRPr="0053335D">
        <w:rPr>
          <w:i/>
          <w:iCs/>
          <w:sz w:val="20"/>
          <w:szCs w:val="20"/>
        </w:rPr>
        <w:t>.</w:t>
      </w:r>
    </w:p>
  </w:footnote>
  <w:footnote w:id="103">
    <w:p w14:paraId="214C0ECF" w14:textId="7A0E430B" w:rsidR="00C14714" w:rsidRPr="0053335D" w:rsidRDefault="00C14714" w:rsidP="0053335D">
      <w:pPr>
        <w:pStyle w:val="Notedebasdepage"/>
        <w:jc w:val="both"/>
      </w:pPr>
      <w:r w:rsidRPr="0053335D">
        <w:rPr>
          <w:rStyle w:val="Appelnotedebasdep"/>
        </w:rPr>
        <w:footnoteRef/>
      </w:r>
      <w:r w:rsidRPr="0053335D">
        <w:t xml:space="preserve"> </w:t>
      </w:r>
      <w:r w:rsidRPr="0053335D">
        <w:rPr>
          <w:i/>
          <w:iCs/>
        </w:rPr>
        <w:t>Genèse</w:t>
      </w:r>
      <w:r w:rsidRPr="0053335D">
        <w:t xml:space="preserve"> 1, 27.</w:t>
      </w:r>
    </w:p>
  </w:footnote>
  <w:footnote w:id="104">
    <w:p w14:paraId="71BE250B" w14:textId="02B1E833" w:rsidR="00384DF9" w:rsidRPr="0053335D" w:rsidRDefault="00384DF9" w:rsidP="0053335D">
      <w:pPr>
        <w:pStyle w:val="Notedebasdepage"/>
        <w:jc w:val="both"/>
      </w:pPr>
      <w:r w:rsidRPr="0053335D">
        <w:rPr>
          <w:rStyle w:val="Appelnotedebasdep"/>
        </w:rPr>
        <w:footnoteRef/>
      </w:r>
      <w:r w:rsidRPr="0053335D">
        <w:t xml:space="preserve"> </w:t>
      </w:r>
      <w:r w:rsidRPr="0053335D">
        <w:rPr>
          <w:i/>
          <w:iCs/>
        </w:rPr>
        <w:t>Genèse</w:t>
      </w:r>
      <w:r w:rsidRPr="0053335D">
        <w:t xml:space="preserve"> 1, 3</w:t>
      </w:r>
      <w:r w:rsidR="00F95048" w:rsidRPr="0053335D">
        <w:t xml:space="preserve"> ; 6 ; 9 ; 11 ; 14 ; 20 ; 24 et 26.</w:t>
      </w:r>
      <w:r w:rsidR="003E4E85" w:rsidRPr="0053335D">
        <w:t xml:space="preserve"> On peut y ajouter les deux occurrences de « Il les bénit, dieux, en disant (</w:t>
      </w:r>
      <w:proofErr w:type="spellStart"/>
      <w:r w:rsidR="003E4E85" w:rsidRPr="0053335D">
        <w:t>לֵאמֹר</w:t>
      </w:r>
      <w:proofErr w:type="spellEnd"/>
      <w:r w:rsidR="003E4E85" w:rsidRPr="0053335D">
        <w:t xml:space="preserve">, </w:t>
      </w:r>
      <w:proofErr w:type="spellStart"/>
      <w:r w:rsidR="003E4E85" w:rsidRPr="0053335D">
        <w:rPr>
          <w:i/>
          <w:iCs/>
        </w:rPr>
        <w:t>lé’mor</w:t>
      </w:r>
      <w:proofErr w:type="spellEnd"/>
      <w:r w:rsidR="003E4E85" w:rsidRPr="0053335D">
        <w:t>) »</w:t>
      </w:r>
      <w:r w:rsidR="00F95048" w:rsidRPr="0053335D">
        <w:t xml:space="preserve"> </w:t>
      </w:r>
      <w:r w:rsidR="003E4E85" w:rsidRPr="0053335D">
        <w:t xml:space="preserve">en </w:t>
      </w:r>
      <w:r w:rsidR="003E4E85" w:rsidRPr="0053335D">
        <w:rPr>
          <w:i/>
          <w:iCs/>
        </w:rPr>
        <w:t>Genèse</w:t>
      </w:r>
      <w:r w:rsidR="003E4E85" w:rsidRPr="0053335D">
        <w:t xml:space="preserve"> 1,</w:t>
      </w:r>
      <w:r w:rsidR="00F95048" w:rsidRPr="0053335D">
        <w:t xml:space="preserve"> 22 et 28</w:t>
      </w:r>
      <w:r w:rsidR="003E4E85" w:rsidRPr="0053335D">
        <w:t>.</w:t>
      </w:r>
    </w:p>
  </w:footnote>
  <w:footnote w:id="105">
    <w:p w14:paraId="107D6208" w14:textId="77777777" w:rsidR="00B20698" w:rsidRPr="0053335D" w:rsidRDefault="00B20698" w:rsidP="0053335D">
      <w:pPr>
        <w:pStyle w:val="Notedebasdepage"/>
        <w:jc w:val="both"/>
        <w:rPr>
          <w:lang w:val="nl-BE"/>
        </w:rPr>
      </w:pPr>
      <w:r w:rsidRPr="0053335D">
        <w:rPr>
          <w:rStyle w:val="Appelnotedebasdep"/>
        </w:rPr>
        <w:footnoteRef/>
      </w:r>
      <w:r w:rsidRPr="0053335D">
        <w:rPr>
          <w:lang w:val="nl-BE"/>
        </w:rPr>
        <w:t xml:space="preserve"> </w:t>
      </w:r>
      <w:r w:rsidRPr="0053335D">
        <w:rPr>
          <w:i/>
          <w:iCs/>
          <w:lang w:val="nl-BE"/>
        </w:rPr>
        <w:t>Genèse</w:t>
      </w:r>
      <w:r w:rsidRPr="0053335D">
        <w:rPr>
          <w:lang w:val="nl-BE"/>
        </w:rPr>
        <w:t xml:space="preserve"> 1, 23.</w:t>
      </w:r>
    </w:p>
  </w:footnote>
  <w:footnote w:id="106">
    <w:p w14:paraId="654D5F73" w14:textId="7AEC7F33" w:rsidR="00B20698" w:rsidRPr="0053335D" w:rsidRDefault="00B20698" w:rsidP="0053335D">
      <w:pPr>
        <w:pStyle w:val="Notedebasdepage"/>
        <w:jc w:val="both"/>
        <w:rPr>
          <w:lang w:val="nl-BE"/>
        </w:rPr>
      </w:pPr>
      <w:r w:rsidRPr="0053335D">
        <w:rPr>
          <w:rStyle w:val="Appelnotedebasdep"/>
        </w:rPr>
        <w:footnoteRef/>
      </w:r>
      <w:r w:rsidRPr="0053335D">
        <w:rPr>
          <w:lang w:val="nl-BE"/>
        </w:rPr>
        <w:t xml:space="preserve"> </w:t>
      </w:r>
      <w:r w:rsidRPr="0053335D">
        <w:rPr>
          <w:color w:val="000000"/>
          <w:lang w:val="nl-BE"/>
        </w:rPr>
        <w:t xml:space="preserve">Voir </w:t>
      </w:r>
      <w:r w:rsidRPr="0053335D">
        <w:rPr>
          <w:i/>
          <w:iCs/>
          <w:color w:val="000000"/>
          <w:lang w:val="nl-BE"/>
        </w:rPr>
        <w:t>The Old Testament in Greek according to the Septuagint. Vol. 1. Genesis-</w:t>
      </w:r>
      <w:r w:rsidRPr="0053335D">
        <w:rPr>
          <w:i/>
          <w:iCs/>
          <w:smallCaps/>
          <w:color w:val="000000"/>
          <w:lang w:val="nl-BE"/>
        </w:rPr>
        <w:t>iv</w:t>
      </w:r>
      <w:r w:rsidRPr="0053335D">
        <w:rPr>
          <w:i/>
          <w:iCs/>
          <w:color w:val="000000"/>
          <w:lang w:val="nl-BE"/>
        </w:rPr>
        <w:t xml:space="preserve"> Kings</w:t>
      </w:r>
      <w:r w:rsidRPr="0053335D">
        <w:rPr>
          <w:color w:val="000000"/>
          <w:lang w:val="nl-BE"/>
        </w:rPr>
        <w:t xml:space="preserve">, </w:t>
      </w:r>
      <w:r w:rsidRPr="0053335D">
        <w:rPr>
          <w:i/>
          <w:iCs/>
          <w:color w:val="000000"/>
          <w:lang w:val="nl-BE"/>
        </w:rPr>
        <w:t>op. cit.</w:t>
      </w:r>
    </w:p>
  </w:footnote>
  <w:footnote w:id="107">
    <w:p w14:paraId="2F9B91E8" w14:textId="126480D1" w:rsidR="00B20698" w:rsidRPr="0053335D" w:rsidRDefault="00B20698" w:rsidP="0053335D">
      <w:pPr>
        <w:pStyle w:val="Notedebasdepage"/>
        <w:jc w:val="both"/>
      </w:pPr>
      <w:r w:rsidRPr="0053335D">
        <w:rPr>
          <w:rStyle w:val="Appelnotedebasdep"/>
        </w:rPr>
        <w:footnoteRef/>
      </w:r>
      <w:r w:rsidRPr="0053335D">
        <w:t xml:space="preserve"> </w:t>
      </w:r>
      <w:r w:rsidRPr="0053335D">
        <w:rPr>
          <w:i/>
          <w:iCs/>
        </w:rPr>
        <w:t>Genèse</w:t>
      </w:r>
      <w:r w:rsidRPr="0053335D">
        <w:t xml:space="preserve"> 1, 23.</w:t>
      </w:r>
    </w:p>
  </w:footnote>
  <w:footnote w:id="108">
    <w:p w14:paraId="57D9A6E2" w14:textId="13A7133A" w:rsidR="005E1D0D" w:rsidRPr="0053335D" w:rsidRDefault="00B15446" w:rsidP="0053335D">
      <w:pPr>
        <w:jc w:val="both"/>
        <w:rPr>
          <w:sz w:val="20"/>
          <w:szCs w:val="20"/>
        </w:rPr>
      </w:pPr>
      <w:r w:rsidRPr="0053335D">
        <w:rPr>
          <w:rStyle w:val="Appelnotedebasdep"/>
          <w:sz w:val="20"/>
          <w:szCs w:val="20"/>
        </w:rPr>
        <w:footnoteRef/>
      </w:r>
      <w:r w:rsidRPr="0053335D">
        <w:rPr>
          <w:sz w:val="20"/>
          <w:szCs w:val="20"/>
        </w:rPr>
        <w:t xml:space="preserve"> </w:t>
      </w:r>
      <w:r w:rsidRPr="0053335D">
        <w:rPr>
          <w:sz w:val="20"/>
          <w:szCs w:val="20"/>
        </w:rPr>
        <w:t xml:space="preserve">Dans son paragraphe 10, la </w:t>
      </w:r>
      <w:r w:rsidRPr="0053335D">
        <w:rPr>
          <w:i/>
          <w:iCs/>
          <w:sz w:val="20"/>
          <w:szCs w:val="20"/>
        </w:rPr>
        <w:t>Lettre aux évêques de l’Église… dans le monde</w:t>
      </w:r>
      <w:r w:rsidR="00A508B7" w:rsidRPr="0053335D">
        <w:rPr>
          <w:i/>
          <w:iCs/>
          <w:sz w:val="20"/>
          <w:szCs w:val="20"/>
        </w:rPr>
        <w:t xml:space="preserve"> </w:t>
      </w:r>
      <w:r w:rsidR="00A508B7" w:rsidRPr="0053335D">
        <w:rPr>
          <w:sz w:val="20"/>
          <w:szCs w:val="20"/>
        </w:rPr>
        <w:t>distingue nettement Marie en la mettant du côté de la « féminité » et Jésus en le mettant du côté de la « masculinité »</w:t>
      </w:r>
      <w:r w:rsidR="00A508B7" w:rsidRPr="0053335D">
        <w:rPr>
          <w:i/>
          <w:iCs/>
          <w:sz w:val="20"/>
          <w:szCs w:val="20"/>
        </w:rPr>
        <w:t> </w:t>
      </w:r>
      <w:r w:rsidR="00A508B7" w:rsidRPr="0053335D">
        <w:rPr>
          <w:sz w:val="20"/>
          <w:szCs w:val="20"/>
        </w:rPr>
        <w:t>: « D’une part, Marie, comme fille élue de Sion, récapitule et transfigure, dans sa féminité, la condition d’Israël / épouse en attente du jour de son salut. D’autre part, la masculinité du Fils permet de reconnaître comment Jésus assume en sa personne tout ce que le symbolisme de l’Ancien Testament avait attribué à l’amour de Dieu pour son peuple, décrit comme l’amour d’un époux pour son épouse. » On notera que les genres attribués respectivement à Marie et à Jésus</w:t>
      </w:r>
      <w:r w:rsidR="00AB325B" w:rsidRPr="0053335D">
        <w:rPr>
          <w:sz w:val="20"/>
          <w:szCs w:val="20"/>
        </w:rPr>
        <w:t xml:space="preserve"> sont justifiés par des métaphores empruntées à l’Ancien Testament mais interprétées et choisies justement pour confirmer de tels genres. Marie serait</w:t>
      </w:r>
      <w:r w:rsidR="002F33C4" w:rsidRPr="0053335D">
        <w:rPr>
          <w:sz w:val="20"/>
          <w:szCs w:val="20"/>
        </w:rPr>
        <w:t xml:space="preserve"> du côté de la féminité parce qu’elle serait</w:t>
      </w:r>
      <w:r w:rsidR="00AB325B" w:rsidRPr="0053335D">
        <w:rPr>
          <w:sz w:val="20"/>
          <w:szCs w:val="20"/>
        </w:rPr>
        <w:t xml:space="preserve"> la « fille de Sion », une expression employée pour désigner, entre autres, Israël ou Jérusalem</w:t>
      </w:r>
      <w:r w:rsidR="002F33C4" w:rsidRPr="0053335D">
        <w:rPr>
          <w:sz w:val="20"/>
          <w:szCs w:val="20"/>
        </w:rPr>
        <w:t xml:space="preserve">, par exemple en </w:t>
      </w:r>
      <w:r w:rsidR="00AB325B" w:rsidRPr="0053335D">
        <w:rPr>
          <w:i/>
          <w:iCs/>
          <w:sz w:val="20"/>
          <w:szCs w:val="20"/>
        </w:rPr>
        <w:t>Sophonie</w:t>
      </w:r>
      <w:r w:rsidR="00AB325B" w:rsidRPr="0053335D">
        <w:rPr>
          <w:sz w:val="20"/>
          <w:szCs w:val="20"/>
        </w:rPr>
        <w:t xml:space="preserve"> 3, 14 : « </w:t>
      </w:r>
      <w:r w:rsidR="002F33C4" w:rsidRPr="0053335D">
        <w:rPr>
          <w:sz w:val="20"/>
          <w:szCs w:val="20"/>
        </w:rPr>
        <w:t>Crie</w:t>
      </w:r>
      <w:r w:rsidR="00AB325B" w:rsidRPr="0053335D">
        <w:rPr>
          <w:sz w:val="20"/>
          <w:szCs w:val="20"/>
        </w:rPr>
        <w:t xml:space="preserve">, fille de Sion, </w:t>
      </w:r>
      <w:r w:rsidR="002F33C4" w:rsidRPr="0053335D">
        <w:rPr>
          <w:sz w:val="20"/>
          <w:szCs w:val="20"/>
        </w:rPr>
        <w:t>acclame</w:t>
      </w:r>
      <w:r w:rsidR="00AB325B" w:rsidRPr="0053335D">
        <w:rPr>
          <w:sz w:val="20"/>
          <w:szCs w:val="20"/>
        </w:rPr>
        <w:t xml:space="preserve">, Israël, réjouis-toi, </w:t>
      </w:r>
      <w:r w:rsidR="002F33C4" w:rsidRPr="0053335D">
        <w:rPr>
          <w:sz w:val="20"/>
          <w:szCs w:val="20"/>
        </w:rPr>
        <w:t>exulte</w:t>
      </w:r>
      <w:r w:rsidR="00AB325B" w:rsidRPr="0053335D">
        <w:rPr>
          <w:sz w:val="20"/>
          <w:szCs w:val="20"/>
        </w:rPr>
        <w:t xml:space="preserve"> de tout ton cœur, fille de Jérusalem. »</w:t>
      </w:r>
      <w:r w:rsidR="002F33C4" w:rsidRPr="0053335D">
        <w:rPr>
          <w:sz w:val="20"/>
          <w:szCs w:val="20"/>
        </w:rPr>
        <w:t xml:space="preserve"> L’expression « fille de Sion » n’est en revanche jamais employée pour désigner Marie dans le Nouveau Testament. De même, Jésus est du côté de la masculinité car</w:t>
      </w:r>
      <w:r w:rsidR="00595C8C" w:rsidRPr="0053335D">
        <w:rPr>
          <w:sz w:val="20"/>
          <w:szCs w:val="20"/>
        </w:rPr>
        <w:t xml:space="preserve">, selon les auteurs de la </w:t>
      </w:r>
      <w:r w:rsidR="00595C8C" w:rsidRPr="0053335D">
        <w:rPr>
          <w:i/>
          <w:iCs/>
          <w:sz w:val="20"/>
          <w:szCs w:val="20"/>
        </w:rPr>
        <w:t>Lettre</w:t>
      </w:r>
      <w:r w:rsidR="00595C8C" w:rsidRPr="0053335D">
        <w:rPr>
          <w:sz w:val="20"/>
          <w:szCs w:val="20"/>
        </w:rPr>
        <w:t>,</w:t>
      </w:r>
      <w:r w:rsidR="002F33C4" w:rsidRPr="0053335D">
        <w:rPr>
          <w:sz w:val="20"/>
          <w:szCs w:val="20"/>
        </w:rPr>
        <w:t xml:space="preserve"> sa vie exprime</w:t>
      </w:r>
      <w:r w:rsidR="005E1D0D" w:rsidRPr="0053335D">
        <w:rPr>
          <w:sz w:val="20"/>
          <w:szCs w:val="20"/>
        </w:rPr>
        <w:t>rait</w:t>
      </w:r>
      <w:r w:rsidR="002F33C4" w:rsidRPr="0053335D">
        <w:rPr>
          <w:sz w:val="20"/>
          <w:szCs w:val="20"/>
        </w:rPr>
        <w:t xml:space="preserve"> l’amour de Dieu pour son peuple, lui-même décrit au moyen de la métaphore de l’amour de l’époux pour son épouse</w:t>
      </w:r>
      <w:r w:rsidR="00595C8C" w:rsidRPr="0053335D">
        <w:rPr>
          <w:sz w:val="20"/>
          <w:szCs w:val="20"/>
        </w:rPr>
        <w:t xml:space="preserve"> – que l’on trouve par exemple en</w:t>
      </w:r>
      <w:r w:rsidR="00A30858" w:rsidRPr="0053335D">
        <w:rPr>
          <w:sz w:val="20"/>
          <w:szCs w:val="20"/>
        </w:rPr>
        <w:t xml:space="preserve"> </w:t>
      </w:r>
      <w:r w:rsidR="00A30858" w:rsidRPr="0053335D">
        <w:rPr>
          <w:i/>
          <w:iCs/>
          <w:sz w:val="20"/>
          <w:szCs w:val="20"/>
        </w:rPr>
        <w:t>Isaïe</w:t>
      </w:r>
      <w:r w:rsidR="00A30858" w:rsidRPr="0053335D">
        <w:rPr>
          <w:sz w:val="20"/>
          <w:szCs w:val="20"/>
        </w:rPr>
        <w:t xml:space="preserve"> 54, 5</w:t>
      </w:r>
      <w:r w:rsidR="00595C8C" w:rsidRPr="0053335D">
        <w:rPr>
          <w:sz w:val="20"/>
          <w:szCs w:val="20"/>
        </w:rPr>
        <w:t xml:space="preserve"> </w:t>
      </w:r>
      <w:r w:rsidR="00A30858" w:rsidRPr="0053335D">
        <w:rPr>
          <w:i/>
          <w:iCs/>
          <w:sz w:val="20"/>
          <w:szCs w:val="20"/>
        </w:rPr>
        <w:t>sq</w:t>
      </w:r>
      <w:r w:rsidR="002F33C4" w:rsidRPr="0053335D">
        <w:rPr>
          <w:sz w:val="20"/>
          <w:szCs w:val="20"/>
        </w:rPr>
        <w:t>.</w:t>
      </w:r>
      <w:r w:rsidR="00595C8C" w:rsidRPr="0053335D">
        <w:rPr>
          <w:sz w:val="20"/>
          <w:szCs w:val="20"/>
        </w:rPr>
        <w:t xml:space="preserve"> D’autres métaphores de l’amour de Dieu auraient pu au contraire conduire à placer Jésus du côté de la féminité. Ainsi,</w:t>
      </w:r>
      <w:r w:rsidR="002F33C4" w:rsidRPr="0053335D">
        <w:rPr>
          <w:sz w:val="20"/>
          <w:szCs w:val="20"/>
        </w:rPr>
        <w:t xml:space="preserve"> </w:t>
      </w:r>
      <w:r w:rsidR="005E1D0D" w:rsidRPr="0053335D">
        <w:rPr>
          <w:sz w:val="20"/>
          <w:szCs w:val="20"/>
        </w:rPr>
        <w:t xml:space="preserve">dans la Bible en hébreu, le verbe employé pour exprimer </w:t>
      </w:r>
      <w:r w:rsidR="00595C8C" w:rsidRPr="0053335D">
        <w:rPr>
          <w:sz w:val="20"/>
          <w:szCs w:val="20"/>
        </w:rPr>
        <w:t>l’amour de Dieu</w:t>
      </w:r>
      <w:r w:rsidR="005E1D0D" w:rsidRPr="0053335D">
        <w:rPr>
          <w:sz w:val="20"/>
          <w:szCs w:val="20"/>
        </w:rPr>
        <w:t xml:space="preserve">, </w:t>
      </w:r>
      <w:proofErr w:type="spellStart"/>
      <w:r w:rsidR="007609B9" w:rsidRPr="0053335D">
        <w:rPr>
          <w:sz w:val="20"/>
          <w:szCs w:val="20"/>
        </w:rPr>
        <w:t>רחם</w:t>
      </w:r>
      <w:proofErr w:type="spellEnd"/>
      <w:r w:rsidR="00595C8C" w:rsidRPr="0053335D">
        <w:rPr>
          <w:sz w:val="20"/>
          <w:szCs w:val="20"/>
        </w:rPr>
        <w:t xml:space="preserve">, </w:t>
      </w:r>
      <w:proofErr w:type="spellStart"/>
      <w:r w:rsidR="007609B9" w:rsidRPr="0053335D">
        <w:rPr>
          <w:i/>
          <w:iCs/>
          <w:sz w:val="20"/>
          <w:szCs w:val="20"/>
        </w:rPr>
        <w:t>rhm</w:t>
      </w:r>
      <w:proofErr w:type="spellEnd"/>
      <w:r w:rsidR="00CA4F9C" w:rsidRPr="0053335D">
        <w:rPr>
          <w:sz w:val="20"/>
          <w:szCs w:val="20"/>
        </w:rPr>
        <w:t xml:space="preserve"> – comme en </w:t>
      </w:r>
      <w:r w:rsidR="00CA4F9C" w:rsidRPr="0053335D">
        <w:rPr>
          <w:i/>
          <w:iCs/>
          <w:sz w:val="20"/>
          <w:szCs w:val="20"/>
        </w:rPr>
        <w:t>Exode</w:t>
      </w:r>
      <w:r w:rsidR="00CA4F9C" w:rsidRPr="0053335D">
        <w:rPr>
          <w:sz w:val="20"/>
          <w:szCs w:val="20"/>
        </w:rPr>
        <w:t xml:space="preserve"> 33, 19 (« et j’aimerai (</w:t>
      </w:r>
      <w:proofErr w:type="spellStart"/>
      <w:r w:rsidR="00CA4F9C" w:rsidRPr="0053335D">
        <w:rPr>
          <w:sz w:val="20"/>
          <w:szCs w:val="20"/>
        </w:rPr>
        <w:t>וְרִחַמְת</w:t>
      </w:r>
      <w:proofErr w:type="spellEnd"/>
      <w:r w:rsidR="00CA4F9C" w:rsidRPr="0053335D">
        <w:rPr>
          <w:sz w:val="20"/>
          <w:szCs w:val="20"/>
        </w:rPr>
        <w:t xml:space="preserve">ִּי, </w:t>
      </w:r>
      <w:proofErr w:type="spellStart"/>
      <w:r w:rsidR="00CA4F9C" w:rsidRPr="0053335D">
        <w:rPr>
          <w:i/>
          <w:iCs/>
          <w:sz w:val="20"/>
          <w:szCs w:val="20"/>
        </w:rPr>
        <w:t>werihamti</w:t>
      </w:r>
      <w:proofErr w:type="spellEnd"/>
      <w:r w:rsidR="00CA4F9C" w:rsidRPr="0053335D">
        <w:rPr>
          <w:sz w:val="20"/>
          <w:szCs w:val="20"/>
        </w:rPr>
        <w:t>) qui j’aimerai (</w:t>
      </w:r>
      <w:proofErr w:type="spellStart"/>
      <w:r w:rsidR="00CA4F9C" w:rsidRPr="0053335D">
        <w:rPr>
          <w:sz w:val="20"/>
          <w:szCs w:val="20"/>
        </w:rPr>
        <w:t>אֲרַחֵם</w:t>
      </w:r>
      <w:proofErr w:type="spellEnd"/>
      <w:r w:rsidR="00CA4F9C" w:rsidRPr="0053335D">
        <w:rPr>
          <w:sz w:val="20"/>
          <w:szCs w:val="20"/>
        </w:rPr>
        <w:t xml:space="preserve">, </w:t>
      </w:r>
      <w:r w:rsidR="00CA4F9C" w:rsidRPr="0053335D">
        <w:rPr>
          <w:i/>
          <w:iCs/>
          <w:sz w:val="20"/>
          <w:szCs w:val="20"/>
        </w:rPr>
        <w:t>‘</w:t>
      </w:r>
      <w:proofErr w:type="spellStart"/>
      <w:r w:rsidR="00CA4F9C" w:rsidRPr="0053335D">
        <w:rPr>
          <w:i/>
          <w:iCs/>
          <w:sz w:val="20"/>
          <w:szCs w:val="20"/>
        </w:rPr>
        <w:t>arahém</w:t>
      </w:r>
      <w:proofErr w:type="spellEnd"/>
      <w:r w:rsidR="00CA4F9C" w:rsidRPr="0053335D">
        <w:rPr>
          <w:sz w:val="20"/>
          <w:szCs w:val="20"/>
        </w:rPr>
        <w:t xml:space="preserve">) ») – </w:t>
      </w:r>
      <w:r w:rsidR="005E1D0D" w:rsidRPr="0053335D">
        <w:rPr>
          <w:sz w:val="20"/>
          <w:szCs w:val="20"/>
        </w:rPr>
        <w:t xml:space="preserve">est apparenté à </w:t>
      </w:r>
      <w:r w:rsidR="007609B9" w:rsidRPr="0053335D">
        <w:rPr>
          <w:sz w:val="20"/>
          <w:szCs w:val="20"/>
        </w:rPr>
        <w:t>רֶֽ</w:t>
      </w:r>
      <w:proofErr w:type="spellStart"/>
      <w:r w:rsidR="007609B9" w:rsidRPr="0053335D">
        <w:rPr>
          <w:sz w:val="20"/>
          <w:szCs w:val="20"/>
        </w:rPr>
        <w:t>חֶם</w:t>
      </w:r>
      <w:proofErr w:type="spellEnd"/>
      <w:r w:rsidR="005E1D0D" w:rsidRPr="0053335D">
        <w:rPr>
          <w:sz w:val="20"/>
          <w:szCs w:val="20"/>
        </w:rPr>
        <w:t>,</w:t>
      </w:r>
      <w:r w:rsidR="007609B9" w:rsidRPr="0053335D">
        <w:rPr>
          <w:sz w:val="20"/>
          <w:szCs w:val="20"/>
        </w:rPr>
        <w:t xml:space="preserve"> </w:t>
      </w:r>
      <w:proofErr w:type="spellStart"/>
      <w:r w:rsidR="007609B9" w:rsidRPr="0053335D">
        <w:rPr>
          <w:i/>
          <w:iCs/>
          <w:sz w:val="20"/>
          <w:szCs w:val="20"/>
        </w:rPr>
        <w:t>rêhêm</w:t>
      </w:r>
      <w:proofErr w:type="spellEnd"/>
      <w:r w:rsidR="007609B9" w:rsidRPr="0053335D">
        <w:rPr>
          <w:sz w:val="20"/>
          <w:szCs w:val="20"/>
        </w:rPr>
        <w:t>,</w:t>
      </w:r>
      <w:r w:rsidR="005E1D0D" w:rsidRPr="0053335D">
        <w:rPr>
          <w:sz w:val="20"/>
          <w:szCs w:val="20"/>
        </w:rPr>
        <w:t xml:space="preserve"> l’ « utérus</w:t>
      </w:r>
      <w:r w:rsidR="007609B9" w:rsidRPr="0053335D">
        <w:rPr>
          <w:sz w:val="20"/>
          <w:szCs w:val="20"/>
        </w:rPr>
        <w:t> »</w:t>
      </w:r>
      <w:r w:rsidR="00CA4F9C" w:rsidRPr="0053335D">
        <w:rPr>
          <w:sz w:val="20"/>
          <w:szCs w:val="20"/>
        </w:rPr>
        <w:t>. André Chouraqui propose d’ailleurs de traduire ce verbe par « </w:t>
      </w:r>
      <w:proofErr w:type="spellStart"/>
      <w:r w:rsidR="00CA4F9C" w:rsidRPr="0053335D">
        <w:rPr>
          <w:sz w:val="20"/>
          <w:szCs w:val="20"/>
        </w:rPr>
        <w:t>matricier</w:t>
      </w:r>
      <w:proofErr w:type="spellEnd"/>
      <w:r w:rsidR="00CA4F9C" w:rsidRPr="0053335D">
        <w:rPr>
          <w:sz w:val="20"/>
          <w:szCs w:val="20"/>
        </w:rPr>
        <w:t xml:space="preserve"> » – comme pour </w:t>
      </w:r>
      <w:r w:rsidR="00CA4F9C" w:rsidRPr="0053335D">
        <w:rPr>
          <w:i/>
          <w:iCs/>
          <w:sz w:val="20"/>
          <w:szCs w:val="20"/>
        </w:rPr>
        <w:t>Exode</w:t>
      </w:r>
      <w:r w:rsidR="00CA4F9C" w:rsidRPr="0053335D">
        <w:rPr>
          <w:sz w:val="20"/>
          <w:szCs w:val="20"/>
        </w:rPr>
        <w:t xml:space="preserve"> 33, 19 : « je </w:t>
      </w:r>
      <w:proofErr w:type="spellStart"/>
      <w:r w:rsidR="00CA4F9C" w:rsidRPr="0053335D">
        <w:rPr>
          <w:sz w:val="20"/>
          <w:szCs w:val="20"/>
        </w:rPr>
        <w:t>matricie</w:t>
      </w:r>
      <w:proofErr w:type="spellEnd"/>
      <w:r w:rsidR="00CA4F9C" w:rsidRPr="0053335D">
        <w:rPr>
          <w:sz w:val="20"/>
          <w:szCs w:val="20"/>
        </w:rPr>
        <w:t xml:space="preserve"> qui je </w:t>
      </w:r>
      <w:proofErr w:type="spellStart"/>
      <w:r w:rsidR="00CA4F9C" w:rsidRPr="0053335D">
        <w:rPr>
          <w:sz w:val="20"/>
          <w:szCs w:val="20"/>
        </w:rPr>
        <w:t>matricie</w:t>
      </w:r>
      <w:proofErr w:type="spellEnd"/>
      <w:r w:rsidR="00CA4F9C" w:rsidRPr="0053335D">
        <w:rPr>
          <w:sz w:val="20"/>
          <w:szCs w:val="20"/>
        </w:rPr>
        <w:t> » (</w:t>
      </w:r>
      <w:r w:rsidR="00CA4F9C" w:rsidRPr="0053335D">
        <w:rPr>
          <w:i/>
          <w:iCs/>
          <w:sz w:val="20"/>
          <w:szCs w:val="20"/>
        </w:rPr>
        <w:t>La Bible</w:t>
      </w:r>
      <w:r w:rsidR="00CA4F9C" w:rsidRPr="0053335D">
        <w:rPr>
          <w:sz w:val="20"/>
          <w:szCs w:val="20"/>
        </w:rPr>
        <w:t>, traduction d’André Chouraqui, Paris, Desclée De Brouwer, 1987).</w:t>
      </w:r>
    </w:p>
  </w:footnote>
  <w:footnote w:id="109">
    <w:p w14:paraId="3A970A6F" w14:textId="0201A1C1" w:rsidR="006A4FDC" w:rsidRPr="0053335D" w:rsidRDefault="006A4FDC" w:rsidP="0053335D">
      <w:pPr>
        <w:pStyle w:val="Notedebasdepage"/>
        <w:jc w:val="both"/>
      </w:pPr>
      <w:r w:rsidRPr="0053335D">
        <w:rPr>
          <w:rStyle w:val="Appelnotedebasdep"/>
        </w:rPr>
        <w:footnoteRef/>
      </w:r>
      <w:r w:rsidRPr="0053335D">
        <w:t xml:space="preserve"> </w:t>
      </w:r>
      <w:r w:rsidRPr="0053335D">
        <w:rPr>
          <w:i/>
          <w:iCs/>
        </w:rPr>
        <w:t>Évangile selon Matthieu</w:t>
      </w:r>
      <w:r w:rsidRPr="0053335D">
        <w:t xml:space="preserve"> 23, 28.</w:t>
      </w:r>
    </w:p>
  </w:footnote>
  <w:footnote w:id="110">
    <w:p w14:paraId="74635DB0" w14:textId="5FB235A2" w:rsidR="006A4FDC" w:rsidRPr="0053335D" w:rsidRDefault="006A4FDC" w:rsidP="0053335D">
      <w:pPr>
        <w:pStyle w:val="Notedebasdepage"/>
        <w:jc w:val="both"/>
      </w:pPr>
      <w:r w:rsidRPr="0053335D">
        <w:rPr>
          <w:rStyle w:val="Appelnotedebasdep"/>
        </w:rPr>
        <w:footnoteRef/>
      </w:r>
      <w:r w:rsidRPr="0053335D">
        <w:t xml:space="preserve"> </w:t>
      </w:r>
      <w:r w:rsidR="00A442C4" w:rsidRPr="00A442C4">
        <w:rPr>
          <w:i/>
          <w:iCs/>
        </w:rPr>
        <w:t>Ibid</w:t>
      </w:r>
      <w:r w:rsidR="00A442C4">
        <w:rPr>
          <w:i/>
          <w:iCs/>
        </w:rPr>
        <w:t>.</w:t>
      </w:r>
    </w:p>
  </w:footnote>
  <w:footnote w:id="111">
    <w:p w14:paraId="4E70FA10" w14:textId="022B6333" w:rsidR="006A4FDC" w:rsidRPr="0053335D" w:rsidRDefault="006A4FDC" w:rsidP="0053335D">
      <w:pPr>
        <w:jc w:val="both"/>
        <w:rPr>
          <w:b/>
          <w:bCs/>
          <w:color w:val="000000"/>
          <w:sz w:val="20"/>
          <w:szCs w:val="20"/>
          <w:lang w:val="fr-FR"/>
        </w:rPr>
      </w:pPr>
      <w:r w:rsidRPr="0053335D">
        <w:rPr>
          <w:rStyle w:val="Appelnotedebasdep"/>
          <w:sz w:val="20"/>
          <w:szCs w:val="20"/>
        </w:rPr>
        <w:footnoteRef/>
      </w:r>
      <w:r w:rsidRPr="0053335D">
        <w:rPr>
          <w:sz w:val="20"/>
          <w:szCs w:val="20"/>
        </w:rPr>
        <w:t xml:space="preserve"> </w:t>
      </w:r>
      <w:r w:rsidRPr="0053335D">
        <w:rPr>
          <w:sz w:val="20"/>
          <w:szCs w:val="20"/>
        </w:rPr>
        <w:t xml:space="preserve">Dans la Vulgate, l’oiseau auquel Jésus se compare est également un oiseau femelle puisqu’il s’agit de </w:t>
      </w:r>
      <w:r w:rsidRPr="0053335D">
        <w:rPr>
          <w:sz w:val="20"/>
          <w:szCs w:val="20"/>
          <w:lang w:val="fr-FR"/>
        </w:rPr>
        <w:t>« </w:t>
      </w:r>
      <w:proofErr w:type="spellStart"/>
      <w:r w:rsidRPr="0053335D">
        <w:rPr>
          <w:i/>
          <w:iCs/>
          <w:sz w:val="20"/>
          <w:szCs w:val="20"/>
          <w:lang w:val="fr-FR"/>
        </w:rPr>
        <w:t>gallina</w:t>
      </w:r>
      <w:proofErr w:type="spellEnd"/>
      <w:r w:rsidRPr="0053335D">
        <w:rPr>
          <w:sz w:val="20"/>
          <w:szCs w:val="20"/>
          <w:lang w:val="fr-FR"/>
        </w:rPr>
        <w:t xml:space="preserve"> », une « poule » (voir </w:t>
      </w:r>
      <w:r w:rsidRPr="0053335D">
        <w:rPr>
          <w:i/>
          <w:iCs/>
          <w:sz w:val="20"/>
          <w:szCs w:val="20"/>
        </w:rPr>
        <w:t xml:space="preserve">The Vulgate Bible: </w:t>
      </w:r>
      <w:proofErr w:type="spellStart"/>
      <w:r w:rsidRPr="0053335D">
        <w:rPr>
          <w:i/>
          <w:iCs/>
          <w:sz w:val="20"/>
          <w:szCs w:val="20"/>
        </w:rPr>
        <w:t>Douay-Rheims</w:t>
      </w:r>
      <w:proofErr w:type="spellEnd"/>
      <w:r w:rsidRPr="0053335D">
        <w:rPr>
          <w:i/>
          <w:iCs/>
          <w:sz w:val="20"/>
          <w:szCs w:val="20"/>
        </w:rPr>
        <w:t xml:space="preserve"> Translation. 6. The New Testament</w:t>
      </w:r>
      <w:r w:rsidRPr="0053335D">
        <w:rPr>
          <w:sz w:val="20"/>
          <w:szCs w:val="20"/>
        </w:rPr>
        <w:t xml:space="preserve">, </w:t>
      </w:r>
      <w:r w:rsidRPr="0053335D">
        <w:rPr>
          <w:i/>
          <w:iCs/>
          <w:sz w:val="20"/>
          <w:szCs w:val="20"/>
        </w:rPr>
        <w:t xml:space="preserve">op. </w:t>
      </w:r>
      <w:proofErr w:type="spellStart"/>
      <w:r w:rsidRPr="0053335D">
        <w:rPr>
          <w:i/>
          <w:iCs/>
          <w:sz w:val="20"/>
          <w:szCs w:val="20"/>
        </w:rPr>
        <w:t>cit</w:t>
      </w:r>
      <w:proofErr w:type="spellEnd"/>
      <w:r w:rsidRPr="0053335D">
        <w:rPr>
          <w:i/>
          <w:iCs/>
          <w:sz w:val="20"/>
          <w:szCs w:val="20"/>
        </w:rPr>
        <w:t>.</w:t>
      </w:r>
      <w:r w:rsidRPr="0053335D">
        <w:rPr>
          <w:sz w:val="20"/>
          <w:szCs w:val="20"/>
        </w:rPr>
        <w:t>).</w:t>
      </w:r>
    </w:p>
  </w:footnote>
  <w:footnote w:id="112">
    <w:p w14:paraId="23DE7466" w14:textId="7FB43411" w:rsidR="0073624B" w:rsidRPr="0053335D" w:rsidRDefault="0073624B" w:rsidP="0053335D">
      <w:pPr>
        <w:pStyle w:val="Notedebasdepage"/>
        <w:jc w:val="both"/>
      </w:pPr>
      <w:r w:rsidRPr="0053335D">
        <w:rPr>
          <w:rStyle w:val="Appelnotedebasdep"/>
        </w:rPr>
        <w:footnoteRef/>
      </w:r>
      <w:r w:rsidRPr="0053335D">
        <w:t xml:space="preserve"> </w:t>
      </w:r>
      <w:r w:rsidR="00FE648F" w:rsidRPr="0053335D">
        <w:rPr>
          <w:i/>
          <w:iCs/>
        </w:rPr>
        <w:t>Juges</w:t>
      </w:r>
      <w:r w:rsidR="00FE648F" w:rsidRPr="0053335D">
        <w:t xml:space="preserve"> 19, 1.</w:t>
      </w:r>
    </w:p>
  </w:footnote>
  <w:footnote w:id="113">
    <w:p w14:paraId="51D1649B" w14:textId="465F41AE" w:rsidR="00412FEF" w:rsidRPr="0053335D" w:rsidRDefault="00412FEF" w:rsidP="0053335D">
      <w:pPr>
        <w:pStyle w:val="Notedebasdepage"/>
        <w:jc w:val="both"/>
      </w:pPr>
      <w:r w:rsidRPr="0053335D">
        <w:rPr>
          <w:rStyle w:val="Appelnotedebasdep"/>
        </w:rPr>
        <w:footnoteRef/>
      </w:r>
      <w:r w:rsidRPr="0053335D">
        <w:t xml:space="preserve"> </w:t>
      </w:r>
      <w:r w:rsidRPr="0053335D">
        <w:t>L’étymologie de פִּ</w:t>
      </w:r>
      <w:proofErr w:type="spellStart"/>
      <w:r w:rsidRPr="0053335D">
        <w:t>ילֶגֶש</w:t>
      </w:r>
      <w:proofErr w:type="spellEnd"/>
      <w:r w:rsidRPr="0053335D">
        <w:t xml:space="preserve">ׁ, </w:t>
      </w:r>
      <w:proofErr w:type="spellStart"/>
      <w:r w:rsidRPr="0053335D">
        <w:rPr>
          <w:i/>
          <w:iCs/>
        </w:rPr>
        <w:t>pilêgêsh</w:t>
      </w:r>
      <w:proofErr w:type="spellEnd"/>
      <w:r w:rsidRPr="0053335D">
        <w:rPr>
          <w:i/>
          <w:iCs/>
        </w:rPr>
        <w:t xml:space="preserve"> </w:t>
      </w:r>
      <w:r w:rsidRPr="0053335D">
        <w:t>est difficile à déterminer</w:t>
      </w:r>
      <w:r w:rsidR="00D058A7" w:rsidRPr="0053335D">
        <w:t xml:space="preserve"> (</w:t>
      </w:r>
      <w:r w:rsidR="00D058A7" w:rsidRPr="0053335D">
        <w:rPr>
          <w:lang w:val="en-US"/>
        </w:rPr>
        <w:t xml:space="preserve">Ernest David Klein, </w:t>
      </w:r>
      <w:r w:rsidR="00D058A7" w:rsidRPr="0053335D">
        <w:rPr>
          <w:i/>
          <w:iCs/>
          <w:lang w:val="en-US"/>
        </w:rPr>
        <w:t>A Comprehensive Etymological Dictionary of the Hebrew Language</w:t>
      </w:r>
      <w:r w:rsidR="00D058A7" w:rsidRPr="0053335D">
        <w:rPr>
          <w:lang w:val="en-US"/>
        </w:rPr>
        <w:t xml:space="preserve">, </w:t>
      </w:r>
      <w:r w:rsidR="00D058A7" w:rsidRPr="0053335D">
        <w:rPr>
          <w:i/>
          <w:iCs/>
          <w:lang w:val="en-US"/>
        </w:rPr>
        <w:t>op. cit.</w:t>
      </w:r>
      <w:r w:rsidR="00D058A7" w:rsidRPr="0053335D">
        <w:t>)</w:t>
      </w:r>
      <w:r w:rsidRPr="0053335D">
        <w:t>. Il pourrait être apparenté au grec πα</w:t>
      </w:r>
      <w:proofErr w:type="spellStart"/>
      <w:r w:rsidRPr="0053335D">
        <w:t>λλ</w:t>
      </w:r>
      <w:proofErr w:type="spellEnd"/>
      <w:r w:rsidRPr="0053335D">
        <w:t>α</w:t>
      </w:r>
      <w:proofErr w:type="spellStart"/>
      <w:r w:rsidRPr="0053335D">
        <w:t>κή</w:t>
      </w:r>
      <w:proofErr w:type="spellEnd"/>
      <w:r w:rsidRPr="0053335D">
        <w:t xml:space="preserve">, </w:t>
      </w:r>
      <w:proofErr w:type="spellStart"/>
      <w:r w:rsidRPr="0053335D">
        <w:rPr>
          <w:i/>
          <w:iCs/>
        </w:rPr>
        <w:t>pallakê</w:t>
      </w:r>
      <w:proofErr w:type="spellEnd"/>
      <w:r w:rsidR="00D058A7" w:rsidRPr="0053335D">
        <w:rPr>
          <w:i/>
          <w:iCs/>
        </w:rPr>
        <w:t xml:space="preserve"> </w:t>
      </w:r>
      <w:r w:rsidR="00D058A7" w:rsidRPr="0053335D">
        <w:t>(</w:t>
      </w:r>
      <w:r w:rsidR="00D058A7" w:rsidRPr="0053335D">
        <w:rPr>
          <w:i/>
          <w:iCs/>
        </w:rPr>
        <w:t>ibid.</w:t>
      </w:r>
      <w:r w:rsidR="00D058A7" w:rsidRPr="0053335D">
        <w:t>)</w:t>
      </w:r>
      <w:r w:rsidRPr="0053335D">
        <w:t xml:space="preserve">, qui désigne </w:t>
      </w:r>
      <w:r w:rsidR="00D058A7" w:rsidRPr="0053335D">
        <w:t xml:space="preserve">lui aussi une « concubine » (Pierre Chantraine, </w:t>
      </w:r>
      <w:r w:rsidR="00D058A7" w:rsidRPr="0053335D">
        <w:rPr>
          <w:i/>
          <w:iCs/>
        </w:rPr>
        <w:t>Dictionnaire étymologique de la langue grecque : histoire des mots</w:t>
      </w:r>
      <w:r w:rsidR="00D058A7" w:rsidRPr="0053335D">
        <w:t xml:space="preserve">, </w:t>
      </w:r>
      <w:r w:rsidR="00D058A7" w:rsidRPr="0053335D">
        <w:rPr>
          <w:i/>
          <w:iCs/>
        </w:rPr>
        <w:t xml:space="preserve">op. </w:t>
      </w:r>
      <w:proofErr w:type="spellStart"/>
      <w:r w:rsidR="00D058A7" w:rsidRPr="0053335D">
        <w:rPr>
          <w:i/>
          <w:iCs/>
        </w:rPr>
        <w:t>cit</w:t>
      </w:r>
      <w:proofErr w:type="spellEnd"/>
      <w:r w:rsidR="00D058A7" w:rsidRPr="0053335D">
        <w:rPr>
          <w:i/>
          <w:iCs/>
        </w:rPr>
        <w:t>.</w:t>
      </w:r>
      <w:r w:rsidR="00D058A7" w:rsidRPr="0053335D">
        <w:t>, p. 853) mais est aussi de la même famille que les mots π</w:t>
      </w:r>
      <w:proofErr w:type="spellStart"/>
      <w:r w:rsidR="00D058A7" w:rsidRPr="0053335D">
        <w:t>άλλ</w:t>
      </w:r>
      <w:proofErr w:type="spellEnd"/>
      <w:r w:rsidR="00D058A7" w:rsidRPr="0053335D">
        <w:t xml:space="preserve">αξ, </w:t>
      </w:r>
      <w:proofErr w:type="spellStart"/>
      <w:r w:rsidR="00D058A7" w:rsidRPr="0053335D">
        <w:rPr>
          <w:i/>
          <w:iCs/>
        </w:rPr>
        <w:t>pallax</w:t>
      </w:r>
      <w:proofErr w:type="spellEnd"/>
      <w:r w:rsidR="00D058A7" w:rsidRPr="0053335D">
        <w:t xml:space="preserve">, un nom de jeune fille mais aussi de jeune garçon, et </w:t>
      </w:r>
      <w:proofErr w:type="spellStart"/>
      <w:r w:rsidR="00D058A7" w:rsidRPr="0053335D">
        <w:t>Πάλλ</w:t>
      </w:r>
      <w:proofErr w:type="spellEnd"/>
      <w:r w:rsidR="00D058A7" w:rsidRPr="0053335D">
        <w:t xml:space="preserve">ας, </w:t>
      </w:r>
      <w:r w:rsidR="00D058A7" w:rsidRPr="0053335D">
        <w:rPr>
          <w:i/>
          <w:iCs/>
        </w:rPr>
        <w:t>Pallas</w:t>
      </w:r>
      <w:r w:rsidR="00D058A7" w:rsidRPr="0053335D">
        <w:t>, une épithète d’Athéna, et dont l’étymologie est elle aussi « obscure » (</w:t>
      </w:r>
      <w:r w:rsidR="00D058A7" w:rsidRPr="0053335D">
        <w:rPr>
          <w:i/>
          <w:iCs/>
        </w:rPr>
        <w:t>ibid.</w:t>
      </w:r>
      <w:r w:rsidR="00D058A7" w:rsidRPr="0053335D">
        <w:t>)</w:t>
      </w:r>
      <w:r w:rsidR="00DD40B6" w:rsidRPr="0053335D">
        <w:t xml:space="preserve"> Dans les autres occurrences bibliques, le mot désigne une femme qui n’est pas l’épouse principale mais semble malgré tout avoir un statut officiel (voir, entre autres, </w:t>
      </w:r>
      <w:r w:rsidR="00DD40B6" w:rsidRPr="0053335D">
        <w:rPr>
          <w:i/>
          <w:iCs/>
        </w:rPr>
        <w:t>Genèse</w:t>
      </w:r>
      <w:r w:rsidR="00DD40B6" w:rsidRPr="0053335D">
        <w:t xml:space="preserve"> 22, 24 ; 25, 6 ; 35, 22 ; 26, 12 et </w:t>
      </w:r>
      <w:r w:rsidR="00DD40B6" w:rsidRPr="0053335D">
        <w:rPr>
          <w:i/>
          <w:iCs/>
        </w:rPr>
        <w:t>Juges</w:t>
      </w:r>
      <w:r w:rsidR="00DD40B6" w:rsidRPr="0053335D">
        <w:t xml:space="preserve"> 8, 31).</w:t>
      </w:r>
    </w:p>
  </w:footnote>
  <w:footnote w:id="114">
    <w:p w14:paraId="762FA667" w14:textId="615F3A13" w:rsidR="00D330CF" w:rsidRPr="0053335D" w:rsidRDefault="00D330CF" w:rsidP="0053335D">
      <w:pPr>
        <w:pStyle w:val="Notedebasdepage"/>
        <w:jc w:val="both"/>
      </w:pPr>
      <w:r w:rsidRPr="0053335D">
        <w:rPr>
          <w:rStyle w:val="Appelnotedebasdep"/>
        </w:rPr>
        <w:footnoteRef/>
      </w:r>
      <w:r w:rsidRPr="0053335D">
        <w:t xml:space="preserve"> </w:t>
      </w:r>
      <w:r w:rsidRPr="0053335D">
        <w:rPr>
          <w:i/>
          <w:iCs/>
        </w:rPr>
        <w:t>Juges</w:t>
      </w:r>
      <w:r w:rsidRPr="0053335D">
        <w:t xml:space="preserve"> 19, 1.</w:t>
      </w:r>
    </w:p>
  </w:footnote>
  <w:footnote w:id="115">
    <w:p w14:paraId="3DD567F6" w14:textId="44E175B1" w:rsidR="00D330CF" w:rsidRPr="0053335D" w:rsidRDefault="00D330CF" w:rsidP="0053335D">
      <w:pPr>
        <w:pStyle w:val="Notedebasdepage"/>
        <w:jc w:val="both"/>
      </w:pPr>
      <w:r w:rsidRPr="0053335D">
        <w:rPr>
          <w:rStyle w:val="Appelnotedebasdep"/>
        </w:rPr>
        <w:footnoteRef/>
      </w:r>
      <w:r w:rsidRPr="0053335D">
        <w:t xml:space="preserve"> </w:t>
      </w:r>
      <w:r w:rsidRPr="0053335D">
        <w:rPr>
          <w:i/>
          <w:iCs/>
        </w:rPr>
        <w:t>Juges</w:t>
      </w:r>
      <w:r w:rsidRPr="0053335D">
        <w:t xml:space="preserve"> 19, 2.</w:t>
      </w:r>
    </w:p>
  </w:footnote>
  <w:footnote w:id="116">
    <w:p w14:paraId="0C233A8F" w14:textId="1C9E1F6C" w:rsidR="00C634D2" w:rsidRPr="0053335D" w:rsidRDefault="00C634D2" w:rsidP="0053335D">
      <w:pPr>
        <w:pStyle w:val="Notedebasdepage"/>
        <w:jc w:val="both"/>
      </w:pPr>
      <w:r w:rsidRPr="0053335D">
        <w:rPr>
          <w:rStyle w:val="Appelnotedebasdep"/>
        </w:rPr>
        <w:footnoteRef/>
      </w:r>
      <w:r w:rsidRPr="0053335D">
        <w:t xml:space="preserve"> </w:t>
      </w:r>
      <w:r w:rsidRPr="0053335D">
        <w:rPr>
          <w:i/>
          <w:iCs/>
        </w:rPr>
        <w:t>Juges</w:t>
      </w:r>
      <w:r w:rsidRPr="0053335D">
        <w:t xml:space="preserve"> 19, 3.</w:t>
      </w:r>
    </w:p>
  </w:footnote>
  <w:footnote w:id="117">
    <w:p w14:paraId="7BF00258" w14:textId="26538D70" w:rsidR="00DF5E8D" w:rsidRPr="0053335D" w:rsidRDefault="00DF5E8D" w:rsidP="0053335D">
      <w:pPr>
        <w:pStyle w:val="Notedebasdepage"/>
        <w:jc w:val="both"/>
      </w:pPr>
      <w:r w:rsidRPr="0053335D">
        <w:rPr>
          <w:rStyle w:val="Appelnotedebasdep"/>
        </w:rPr>
        <w:footnoteRef/>
      </w:r>
      <w:r w:rsidRPr="0053335D">
        <w:t xml:space="preserve"> </w:t>
      </w:r>
      <w:r w:rsidR="007C1C93" w:rsidRPr="00A442C4">
        <w:rPr>
          <w:i/>
          <w:iCs/>
        </w:rPr>
        <w:t>Ibid</w:t>
      </w:r>
      <w:r w:rsidR="007C1C93">
        <w:rPr>
          <w:i/>
          <w:iCs/>
        </w:rPr>
        <w:t>.</w:t>
      </w:r>
    </w:p>
  </w:footnote>
  <w:footnote w:id="118">
    <w:p w14:paraId="73E7AC71" w14:textId="6E095F7D" w:rsidR="00C634D2" w:rsidRPr="0053335D" w:rsidRDefault="00C634D2" w:rsidP="0053335D">
      <w:pPr>
        <w:pStyle w:val="Notedebasdepage"/>
        <w:jc w:val="both"/>
      </w:pPr>
      <w:r w:rsidRPr="0053335D">
        <w:rPr>
          <w:rStyle w:val="Appelnotedebasdep"/>
        </w:rPr>
        <w:footnoteRef/>
      </w:r>
      <w:r w:rsidRPr="0053335D">
        <w:t xml:space="preserve"> </w:t>
      </w:r>
      <w:r w:rsidRPr="0053335D">
        <w:rPr>
          <w:i/>
          <w:iCs/>
        </w:rPr>
        <w:t>Juges</w:t>
      </w:r>
      <w:r w:rsidRPr="0053335D">
        <w:t xml:space="preserve"> 19, 4.</w:t>
      </w:r>
    </w:p>
  </w:footnote>
  <w:footnote w:id="119">
    <w:p w14:paraId="1CE20B51" w14:textId="00F57C7C" w:rsidR="00962A6C" w:rsidRPr="0053335D" w:rsidRDefault="00962A6C" w:rsidP="0053335D">
      <w:pPr>
        <w:pStyle w:val="Notedebasdepage"/>
        <w:jc w:val="both"/>
        <w:rPr>
          <w:lang w:val="fr-FR"/>
        </w:rPr>
      </w:pPr>
      <w:r w:rsidRPr="0053335D">
        <w:rPr>
          <w:rStyle w:val="Appelnotedebasdep"/>
        </w:rPr>
        <w:footnoteRef/>
      </w:r>
      <w:r w:rsidRPr="0053335D">
        <w:t xml:space="preserve"> </w:t>
      </w:r>
      <w:r w:rsidRPr="0053335D">
        <w:rPr>
          <w:i/>
          <w:iCs/>
        </w:rPr>
        <w:t>Juges</w:t>
      </w:r>
      <w:r w:rsidRPr="0053335D">
        <w:t xml:space="preserve"> 19, 6. On retrouve ensuite </w:t>
      </w:r>
      <w:r w:rsidRPr="0053335D">
        <w:rPr>
          <w:lang w:val="fr-FR"/>
        </w:rPr>
        <w:t>« </w:t>
      </w:r>
      <w:r w:rsidRPr="0053335D">
        <w:t>ensemble (שְׁ</w:t>
      </w:r>
      <w:proofErr w:type="spellStart"/>
      <w:r w:rsidRPr="0053335D">
        <w:t>נֵיהֶם</w:t>
      </w:r>
      <w:proofErr w:type="spellEnd"/>
      <w:r w:rsidRPr="0053335D">
        <w:t xml:space="preserve">, </w:t>
      </w:r>
      <w:proofErr w:type="spellStart"/>
      <w:r w:rsidRPr="0053335D">
        <w:rPr>
          <w:i/>
          <w:iCs/>
        </w:rPr>
        <w:t>shnéihêm</w:t>
      </w:r>
      <w:proofErr w:type="spellEnd"/>
      <w:r w:rsidRPr="0053335D">
        <w:t>) » en 19, 8.</w:t>
      </w:r>
    </w:p>
  </w:footnote>
  <w:footnote w:id="120">
    <w:p w14:paraId="20A0FDBB" w14:textId="73325AD7" w:rsidR="00962A6C" w:rsidRPr="0053335D" w:rsidRDefault="00962A6C" w:rsidP="0053335D">
      <w:pPr>
        <w:pStyle w:val="Notedebasdepage"/>
        <w:jc w:val="both"/>
      </w:pPr>
      <w:r w:rsidRPr="0053335D">
        <w:rPr>
          <w:rStyle w:val="Appelnotedebasdep"/>
        </w:rPr>
        <w:footnoteRef/>
      </w:r>
      <w:r w:rsidRPr="0053335D">
        <w:t xml:space="preserve"> </w:t>
      </w:r>
      <w:r w:rsidRPr="0053335D">
        <w:t xml:space="preserve">Voir </w:t>
      </w:r>
      <w:r w:rsidRPr="0053335D">
        <w:rPr>
          <w:i/>
          <w:iCs/>
        </w:rPr>
        <w:t>Juges</w:t>
      </w:r>
      <w:r w:rsidRPr="0053335D">
        <w:t xml:space="preserve"> 19, 8.</w:t>
      </w:r>
    </w:p>
  </w:footnote>
  <w:footnote w:id="121">
    <w:p w14:paraId="6D3684F7" w14:textId="542F270A" w:rsidR="00962A6C" w:rsidRPr="0053335D" w:rsidRDefault="00962A6C" w:rsidP="0053335D">
      <w:pPr>
        <w:pStyle w:val="Notedebasdepage"/>
        <w:jc w:val="both"/>
      </w:pPr>
      <w:r w:rsidRPr="0053335D">
        <w:rPr>
          <w:rStyle w:val="Appelnotedebasdep"/>
        </w:rPr>
        <w:footnoteRef/>
      </w:r>
      <w:r w:rsidRPr="0053335D">
        <w:t xml:space="preserve"> </w:t>
      </w:r>
      <w:r w:rsidRPr="0053335D">
        <w:t xml:space="preserve">Voir </w:t>
      </w:r>
      <w:r w:rsidRPr="0053335D">
        <w:rPr>
          <w:i/>
          <w:iCs/>
        </w:rPr>
        <w:t>Juges</w:t>
      </w:r>
      <w:r w:rsidRPr="0053335D">
        <w:t xml:space="preserve"> 19, 10.</w:t>
      </w:r>
    </w:p>
  </w:footnote>
  <w:footnote w:id="122">
    <w:p w14:paraId="388DB462" w14:textId="3E43C116" w:rsidR="00962A6C" w:rsidRPr="0053335D" w:rsidRDefault="00962A6C" w:rsidP="0053335D">
      <w:pPr>
        <w:pStyle w:val="Notedebasdepage"/>
        <w:jc w:val="both"/>
      </w:pPr>
      <w:r w:rsidRPr="0053335D">
        <w:rPr>
          <w:rStyle w:val="Appelnotedebasdep"/>
        </w:rPr>
        <w:footnoteRef/>
      </w:r>
      <w:r w:rsidRPr="0053335D">
        <w:t xml:space="preserve"> </w:t>
      </w:r>
      <w:r w:rsidRPr="0053335D">
        <w:rPr>
          <w:i/>
          <w:iCs/>
        </w:rPr>
        <w:t>Juges</w:t>
      </w:r>
      <w:r w:rsidRPr="0053335D">
        <w:t xml:space="preserve"> 19, 12-15.</w:t>
      </w:r>
    </w:p>
  </w:footnote>
  <w:footnote w:id="123">
    <w:p w14:paraId="30D2E13B" w14:textId="28541663" w:rsidR="00962A6C" w:rsidRPr="0053335D" w:rsidRDefault="00962A6C" w:rsidP="0053335D">
      <w:pPr>
        <w:pStyle w:val="Notedebasdepage"/>
        <w:jc w:val="both"/>
      </w:pPr>
      <w:r w:rsidRPr="0053335D">
        <w:rPr>
          <w:rStyle w:val="Appelnotedebasdep"/>
        </w:rPr>
        <w:footnoteRef/>
      </w:r>
      <w:r w:rsidRPr="0053335D">
        <w:t xml:space="preserve"> </w:t>
      </w:r>
      <w:r w:rsidRPr="0053335D">
        <w:rPr>
          <w:i/>
          <w:iCs/>
        </w:rPr>
        <w:t>Juges</w:t>
      </w:r>
      <w:r w:rsidRPr="0053335D">
        <w:t xml:space="preserve"> 19, 15.</w:t>
      </w:r>
    </w:p>
  </w:footnote>
  <w:footnote w:id="124">
    <w:p w14:paraId="10249EEE" w14:textId="6C934F05" w:rsidR="00023D6E" w:rsidRPr="0053335D" w:rsidRDefault="00023D6E" w:rsidP="0053335D">
      <w:pPr>
        <w:pStyle w:val="Notedebasdepage"/>
        <w:jc w:val="both"/>
      </w:pPr>
      <w:r w:rsidRPr="0053335D">
        <w:rPr>
          <w:rStyle w:val="Appelnotedebasdep"/>
        </w:rPr>
        <w:footnoteRef/>
      </w:r>
      <w:r w:rsidRPr="0053335D">
        <w:t xml:space="preserve"> </w:t>
      </w:r>
      <w:r w:rsidRPr="0053335D">
        <w:rPr>
          <w:i/>
          <w:iCs/>
        </w:rPr>
        <w:t>Juges</w:t>
      </w:r>
      <w:r w:rsidRPr="0053335D">
        <w:t xml:space="preserve"> 19, 16-21.</w:t>
      </w:r>
    </w:p>
  </w:footnote>
  <w:footnote w:id="125">
    <w:p w14:paraId="51285FE8" w14:textId="655920D2" w:rsidR="000D373F" w:rsidRPr="0053335D" w:rsidRDefault="000D373F" w:rsidP="0053335D">
      <w:pPr>
        <w:jc w:val="both"/>
        <w:rPr>
          <w:i/>
          <w:iCs/>
          <w:sz w:val="20"/>
          <w:szCs w:val="20"/>
        </w:rPr>
      </w:pPr>
      <w:r w:rsidRPr="0053335D">
        <w:rPr>
          <w:rStyle w:val="Appelnotedebasdep"/>
          <w:sz w:val="20"/>
          <w:szCs w:val="20"/>
        </w:rPr>
        <w:footnoteRef/>
      </w:r>
      <w:r w:rsidRPr="0053335D">
        <w:rPr>
          <w:sz w:val="20"/>
          <w:szCs w:val="20"/>
        </w:rPr>
        <w:t xml:space="preserve"> </w:t>
      </w:r>
      <w:r w:rsidRPr="0053335D">
        <w:rPr>
          <w:i/>
          <w:iCs/>
          <w:sz w:val="20"/>
          <w:szCs w:val="20"/>
        </w:rPr>
        <w:t xml:space="preserve">Juges </w:t>
      </w:r>
      <w:r w:rsidRPr="0053335D">
        <w:rPr>
          <w:sz w:val="20"/>
          <w:szCs w:val="20"/>
        </w:rPr>
        <w:t xml:space="preserve">19, 22. Le verbe </w:t>
      </w:r>
      <w:proofErr w:type="spellStart"/>
      <w:r w:rsidRPr="0053335D">
        <w:rPr>
          <w:sz w:val="20"/>
          <w:szCs w:val="20"/>
          <w:lang w:val="nl-NL"/>
        </w:rPr>
        <w:t>יָדַע</w:t>
      </w:r>
      <w:proofErr w:type="spellEnd"/>
      <w:r w:rsidRPr="0053335D">
        <w:rPr>
          <w:sz w:val="20"/>
          <w:szCs w:val="20"/>
        </w:rPr>
        <w:t xml:space="preserve">, </w:t>
      </w:r>
      <w:proofErr w:type="spellStart"/>
      <w:r w:rsidRPr="0053335D">
        <w:rPr>
          <w:i/>
          <w:iCs/>
          <w:sz w:val="20"/>
          <w:szCs w:val="20"/>
        </w:rPr>
        <w:t>yada</w:t>
      </w:r>
      <w:proofErr w:type="spellEnd"/>
      <w:r w:rsidRPr="0053335D">
        <w:rPr>
          <w:i/>
          <w:iCs/>
          <w:sz w:val="20"/>
          <w:szCs w:val="20"/>
        </w:rPr>
        <w:t>’</w:t>
      </w:r>
      <w:r w:rsidRPr="0053335D">
        <w:rPr>
          <w:sz w:val="20"/>
          <w:szCs w:val="20"/>
        </w:rPr>
        <w:t xml:space="preserve"> a fréquemment un sens sexuel. Voir, entre autres, </w:t>
      </w:r>
      <w:r w:rsidRPr="0053335D">
        <w:rPr>
          <w:i/>
          <w:iCs/>
          <w:sz w:val="20"/>
          <w:szCs w:val="20"/>
        </w:rPr>
        <w:t>Genèse</w:t>
      </w:r>
      <w:r w:rsidR="00FA5E7A" w:rsidRPr="0053335D">
        <w:rPr>
          <w:i/>
          <w:iCs/>
          <w:sz w:val="20"/>
          <w:szCs w:val="20"/>
        </w:rPr>
        <w:t xml:space="preserve"> </w:t>
      </w:r>
      <w:r w:rsidR="00FA5E7A" w:rsidRPr="0053335D">
        <w:rPr>
          <w:sz w:val="20"/>
          <w:szCs w:val="20"/>
        </w:rPr>
        <w:t xml:space="preserve">4, 1 ; 14, 26 ; 38, 26 et </w:t>
      </w:r>
      <w:r w:rsidR="00FA5E7A" w:rsidRPr="0053335D">
        <w:rPr>
          <w:i/>
          <w:iCs/>
          <w:sz w:val="20"/>
          <w:szCs w:val="20"/>
        </w:rPr>
        <w:t>Premier livre de Samuel</w:t>
      </w:r>
      <w:r w:rsidR="00FA5E7A" w:rsidRPr="0053335D">
        <w:rPr>
          <w:sz w:val="20"/>
          <w:szCs w:val="20"/>
        </w:rPr>
        <w:t xml:space="preserve"> 1, 19.</w:t>
      </w:r>
      <w:r w:rsidRPr="0053335D">
        <w:rPr>
          <w:i/>
          <w:iCs/>
          <w:sz w:val="20"/>
          <w:szCs w:val="20"/>
        </w:rPr>
        <w:t xml:space="preserve"> </w:t>
      </w:r>
    </w:p>
  </w:footnote>
  <w:footnote w:id="126">
    <w:p w14:paraId="02BC88F8" w14:textId="42FFE770" w:rsidR="00AC0978" w:rsidRPr="0053335D" w:rsidRDefault="00AC0978" w:rsidP="0053335D">
      <w:pPr>
        <w:pStyle w:val="Notedebasdepage"/>
        <w:jc w:val="both"/>
      </w:pPr>
      <w:r w:rsidRPr="0053335D">
        <w:rPr>
          <w:rStyle w:val="Appelnotedebasdep"/>
        </w:rPr>
        <w:footnoteRef/>
      </w:r>
      <w:r w:rsidRPr="0053335D">
        <w:t xml:space="preserve"> </w:t>
      </w:r>
      <w:r w:rsidRPr="0053335D">
        <w:rPr>
          <w:i/>
          <w:iCs/>
        </w:rPr>
        <w:t>Juges</w:t>
      </w:r>
      <w:r w:rsidRPr="0053335D">
        <w:t xml:space="preserve"> 19, 24.</w:t>
      </w:r>
    </w:p>
  </w:footnote>
  <w:footnote w:id="127">
    <w:p w14:paraId="6B2DCC4C" w14:textId="51AA82D0" w:rsidR="00C84B32" w:rsidRPr="0053335D" w:rsidRDefault="00C84B32" w:rsidP="0053335D">
      <w:pPr>
        <w:pStyle w:val="Notedebasdepage"/>
        <w:jc w:val="both"/>
      </w:pPr>
      <w:r w:rsidRPr="0053335D">
        <w:rPr>
          <w:rStyle w:val="Appelnotedebasdep"/>
        </w:rPr>
        <w:footnoteRef/>
      </w:r>
      <w:r w:rsidRPr="0053335D">
        <w:t xml:space="preserve"> </w:t>
      </w:r>
      <w:r w:rsidRPr="0053335D">
        <w:rPr>
          <w:i/>
          <w:iCs/>
        </w:rPr>
        <w:t>Juges</w:t>
      </w:r>
      <w:r w:rsidRPr="0053335D">
        <w:t xml:space="preserve"> 19, 25.</w:t>
      </w:r>
    </w:p>
  </w:footnote>
  <w:footnote w:id="128">
    <w:p w14:paraId="363786BB" w14:textId="12960B3C" w:rsidR="00C84B32" w:rsidRPr="0053335D" w:rsidRDefault="00C84B32" w:rsidP="0053335D">
      <w:pPr>
        <w:pStyle w:val="Notedebasdepage"/>
        <w:jc w:val="both"/>
      </w:pPr>
      <w:r w:rsidRPr="0053335D">
        <w:rPr>
          <w:rStyle w:val="Appelnotedebasdep"/>
        </w:rPr>
        <w:footnoteRef/>
      </w:r>
      <w:r w:rsidRPr="0053335D">
        <w:t xml:space="preserve"> </w:t>
      </w:r>
      <w:r w:rsidRPr="0053335D">
        <w:rPr>
          <w:i/>
          <w:iCs/>
        </w:rPr>
        <w:t>Juges</w:t>
      </w:r>
      <w:r w:rsidRPr="0053335D">
        <w:t xml:space="preserve"> 19, 26.</w:t>
      </w:r>
    </w:p>
  </w:footnote>
  <w:footnote w:id="129">
    <w:p w14:paraId="151F2589" w14:textId="07F77B44" w:rsidR="00C84B32" w:rsidRPr="0053335D" w:rsidRDefault="00C84B32" w:rsidP="0053335D">
      <w:pPr>
        <w:pStyle w:val="Notedebasdepage"/>
        <w:jc w:val="both"/>
      </w:pPr>
      <w:r w:rsidRPr="0053335D">
        <w:rPr>
          <w:rStyle w:val="Appelnotedebasdep"/>
        </w:rPr>
        <w:footnoteRef/>
      </w:r>
      <w:r w:rsidRPr="0053335D">
        <w:t xml:space="preserve"> </w:t>
      </w:r>
      <w:r w:rsidRPr="0053335D">
        <w:rPr>
          <w:i/>
          <w:iCs/>
        </w:rPr>
        <w:t>Juges</w:t>
      </w:r>
      <w:r w:rsidRPr="0053335D">
        <w:t xml:space="preserve"> 19, 28-29.</w:t>
      </w:r>
    </w:p>
  </w:footnote>
  <w:footnote w:id="130">
    <w:p w14:paraId="26B76CCE" w14:textId="5C10ACD9" w:rsidR="00C84B32" w:rsidRPr="0053335D" w:rsidRDefault="00C84B32" w:rsidP="0053335D">
      <w:pPr>
        <w:pStyle w:val="Notedebasdepage"/>
        <w:jc w:val="both"/>
      </w:pPr>
      <w:r w:rsidRPr="0053335D">
        <w:rPr>
          <w:rStyle w:val="Appelnotedebasdep"/>
        </w:rPr>
        <w:footnoteRef/>
      </w:r>
      <w:r w:rsidRPr="0053335D">
        <w:t xml:space="preserve"> </w:t>
      </w:r>
      <w:r w:rsidRPr="0053335D">
        <w:rPr>
          <w:i/>
          <w:iCs/>
        </w:rPr>
        <w:t>Juges</w:t>
      </w:r>
      <w:r w:rsidRPr="0053335D">
        <w:t xml:space="preserve"> 19, 30.</w:t>
      </w:r>
    </w:p>
  </w:footnote>
  <w:footnote w:id="131">
    <w:p w14:paraId="5029603E" w14:textId="5F6D4E72" w:rsidR="00C84B32" w:rsidRPr="0053335D" w:rsidRDefault="00C84B32" w:rsidP="0053335D">
      <w:pPr>
        <w:pStyle w:val="Notedebasdepage"/>
        <w:jc w:val="both"/>
      </w:pPr>
      <w:r w:rsidRPr="0053335D">
        <w:rPr>
          <w:rStyle w:val="Appelnotedebasdep"/>
        </w:rPr>
        <w:footnoteRef/>
      </w:r>
      <w:r w:rsidRPr="0053335D">
        <w:t xml:space="preserve"> </w:t>
      </w:r>
      <w:r w:rsidRPr="0053335D">
        <w:rPr>
          <w:i/>
          <w:iCs/>
        </w:rPr>
        <w:t>Juges</w:t>
      </w:r>
      <w:r w:rsidRPr="0053335D">
        <w:t xml:space="preserve"> 20.</w:t>
      </w:r>
    </w:p>
  </w:footnote>
  <w:footnote w:id="132">
    <w:p w14:paraId="157DA3A4" w14:textId="065C0644" w:rsidR="0042620E" w:rsidRPr="0053335D" w:rsidRDefault="0042620E" w:rsidP="0053335D">
      <w:pPr>
        <w:pStyle w:val="Notedebasdepage"/>
        <w:jc w:val="both"/>
      </w:pPr>
      <w:r w:rsidRPr="0053335D">
        <w:rPr>
          <w:rStyle w:val="Appelnotedebasdep"/>
        </w:rPr>
        <w:footnoteRef/>
      </w:r>
      <w:r w:rsidRPr="0053335D">
        <w:t xml:space="preserve"> </w:t>
      </w:r>
      <w:r w:rsidRPr="0053335D">
        <w:rPr>
          <w:i/>
          <w:iCs/>
        </w:rPr>
        <w:t>Juges</w:t>
      </w:r>
      <w:r w:rsidRPr="0053335D">
        <w:t xml:space="preserve"> 21, 10-11.</w:t>
      </w:r>
    </w:p>
  </w:footnote>
  <w:footnote w:id="133">
    <w:p w14:paraId="5C2E67EA" w14:textId="6C2C1F00" w:rsidR="0042620E" w:rsidRPr="0053335D" w:rsidRDefault="0042620E" w:rsidP="0053335D">
      <w:pPr>
        <w:pStyle w:val="Notedebasdepage"/>
        <w:jc w:val="both"/>
      </w:pPr>
      <w:r w:rsidRPr="0053335D">
        <w:rPr>
          <w:rStyle w:val="Appelnotedebasdep"/>
        </w:rPr>
        <w:footnoteRef/>
      </w:r>
      <w:r w:rsidRPr="0053335D">
        <w:t xml:space="preserve"> </w:t>
      </w:r>
      <w:r w:rsidRPr="0053335D">
        <w:rPr>
          <w:i/>
          <w:iCs/>
        </w:rPr>
        <w:t>Juges</w:t>
      </w:r>
      <w:r w:rsidRPr="0053335D">
        <w:t xml:space="preserve"> 21, 12.</w:t>
      </w:r>
    </w:p>
  </w:footnote>
  <w:footnote w:id="134">
    <w:p w14:paraId="122C335E" w14:textId="3AB98D25" w:rsidR="0042620E" w:rsidRPr="0053335D" w:rsidRDefault="0042620E" w:rsidP="0053335D">
      <w:pPr>
        <w:pStyle w:val="Notedebasdepage"/>
        <w:jc w:val="both"/>
      </w:pPr>
      <w:r w:rsidRPr="0053335D">
        <w:rPr>
          <w:rStyle w:val="Appelnotedebasdep"/>
        </w:rPr>
        <w:footnoteRef/>
      </w:r>
      <w:r w:rsidRPr="0053335D">
        <w:t xml:space="preserve"> </w:t>
      </w:r>
      <w:r w:rsidRPr="0053335D">
        <w:rPr>
          <w:i/>
          <w:iCs/>
        </w:rPr>
        <w:t>Juges</w:t>
      </w:r>
      <w:r w:rsidRPr="0053335D">
        <w:t xml:space="preserve"> 21, 19-22.</w:t>
      </w:r>
    </w:p>
  </w:footnote>
  <w:footnote w:id="135">
    <w:p w14:paraId="39224913" w14:textId="420CEF63" w:rsidR="0042620E" w:rsidRPr="0053335D" w:rsidRDefault="0042620E" w:rsidP="0053335D">
      <w:pPr>
        <w:pStyle w:val="Notedebasdepage"/>
        <w:jc w:val="both"/>
      </w:pPr>
      <w:r w:rsidRPr="0053335D">
        <w:rPr>
          <w:rStyle w:val="Appelnotedebasdep"/>
        </w:rPr>
        <w:footnoteRef/>
      </w:r>
      <w:r w:rsidRPr="0053335D">
        <w:t xml:space="preserve"> </w:t>
      </w:r>
      <w:r w:rsidRPr="0053335D">
        <w:rPr>
          <w:i/>
          <w:iCs/>
        </w:rPr>
        <w:t>Juges</w:t>
      </w:r>
      <w:r w:rsidRPr="0053335D">
        <w:t xml:space="preserve"> 21, 23.</w:t>
      </w:r>
    </w:p>
  </w:footnote>
  <w:footnote w:id="136">
    <w:p w14:paraId="6FF97203" w14:textId="5B000990" w:rsidR="0042620E" w:rsidRPr="0053335D" w:rsidRDefault="0042620E" w:rsidP="0053335D">
      <w:pPr>
        <w:pStyle w:val="Notedebasdepage"/>
        <w:jc w:val="both"/>
      </w:pPr>
      <w:r w:rsidRPr="0053335D">
        <w:rPr>
          <w:rStyle w:val="Appelnotedebasdep"/>
        </w:rPr>
        <w:footnoteRef/>
      </w:r>
      <w:r w:rsidRPr="0053335D">
        <w:t xml:space="preserve"> </w:t>
      </w:r>
      <w:r w:rsidRPr="0053335D">
        <w:rPr>
          <w:i/>
          <w:iCs/>
        </w:rPr>
        <w:t>Juges</w:t>
      </w:r>
      <w:r w:rsidRPr="0053335D">
        <w:t xml:space="preserve"> 21, 25.</w:t>
      </w:r>
    </w:p>
  </w:footnote>
  <w:footnote w:id="137">
    <w:p w14:paraId="659AD7C8" w14:textId="0796CAB2" w:rsidR="00206580" w:rsidRPr="0053335D" w:rsidRDefault="00206580" w:rsidP="0053335D">
      <w:pPr>
        <w:pStyle w:val="Notedebasdepage"/>
        <w:jc w:val="both"/>
      </w:pPr>
      <w:r w:rsidRPr="0053335D">
        <w:rPr>
          <w:rStyle w:val="Appelnotedebasdep"/>
        </w:rPr>
        <w:footnoteRef/>
      </w:r>
      <w:r w:rsidRPr="0053335D">
        <w:t xml:space="preserve"> </w:t>
      </w:r>
      <w:r w:rsidR="00252DBC" w:rsidRPr="0053335D">
        <w:rPr>
          <w:i/>
          <w:iCs/>
        </w:rPr>
        <w:t>Juges</w:t>
      </w:r>
      <w:r w:rsidR="00252DBC" w:rsidRPr="0053335D">
        <w:t xml:space="preserve"> 19, 15.</w:t>
      </w:r>
    </w:p>
  </w:footnote>
  <w:footnote w:id="138">
    <w:p w14:paraId="2C665B2A" w14:textId="56DACBA4" w:rsidR="00206580" w:rsidRPr="0053335D" w:rsidRDefault="00206580" w:rsidP="0053335D">
      <w:pPr>
        <w:pStyle w:val="Notedebasdepage"/>
        <w:jc w:val="both"/>
      </w:pPr>
      <w:r w:rsidRPr="0053335D">
        <w:rPr>
          <w:rStyle w:val="Appelnotedebasdep"/>
        </w:rPr>
        <w:footnoteRef/>
      </w:r>
      <w:r w:rsidRPr="0053335D">
        <w:t xml:space="preserve"> </w:t>
      </w:r>
      <w:r w:rsidR="00252DBC" w:rsidRPr="0053335D">
        <w:rPr>
          <w:i/>
          <w:iCs/>
        </w:rPr>
        <w:t>Juges</w:t>
      </w:r>
      <w:r w:rsidR="00252DBC" w:rsidRPr="0053335D">
        <w:t xml:space="preserve"> 21, 25.</w:t>
      </w:r>
    </w:p>
  </w:footnote>
  <w:footnote w:id="139">
    <w:p w14:paraId="17EE17AC" w14:textId="6CB1E1C5" w:rsidR="004A423E" w:rsidRPr="0053335D" w:rsidRDefault="004A423E" w:rsidP="0053335D">
      <w:pPr>
        <w:pStyle w:val="Notedebasdepage"/>
        <w:jc w:val="both"/>
      </w:pPr>
      <w:r w:rsidRPr="0053335D">
        <w:rPr>
          <w:rStyle w:val="Appelnotedebasdep"/>
        </w:rPr>
        <w:footnoteRef/>
      </w:r>
      <w:r w:rsidRPr="0053335D">
        <w:t xml:space="preserve"> </w:t>
      </w:r>
      <w:r w:rsidR="000B6B8D" w:rsidRPr="0053335D">
        <w:rPr>
          <w:lang w:val="en-US"/>
        </w:rPr>
        <w:t xml:space="preserve">Ernest David Klein, </w:t>
      </w:r>
      <w:r w:rsidR="000B6B8D" w:rsidRPr="0053335D">
        <w:rPr>
          <w:i/>
          <w:iCs/>
          <w:lang w:val="en-US"/>
        </w:rPr>
        <w:t>A Comprehensive Etymological Dictionary of the Hebrew Language</w:t>
      </w:r>
      <w:r w:rsidR="000B6B8D" w:rsidRPr="0053335D">
        <w:rPr>
          <w:lang w:val="en-US"/>
        </w:rPr>
        <w:t xml:space="preserve">, </w:t>
      </w:r>
      <w:r w:rsidR="000B6B8D" w:rsidRPr="0053335D">
        <w:rPr>
          <w:i/>
          <w:iCs/>
          <w:lang w:val="en-US"/>
        </w:rPr>
        <w:t>op. cit.</w:t>
      </w:r>
    </w:p>
  </w:footnote>
  <w:footnote w:id="140">
    <w:p w14:paraId="05AE12F0" w14:textId="729EDF1B" w:rsidR="00EB60BA" w:rsidRPr="0053335D" w:rsidRDefault="00EB60BA" w:rsidP="0053335D">
      <w:pPr>
        <w:pStyle w:val="Notedebasdepage"/>
        <w:jc w:val="both"/>
        <w:rPr>
          <w:lang w:val="fr-FR"/>
        </w:rPr>
      </w:pPr>
      <w:r w:rsidRPr="0053335D">
        <w:rPr>
          <w:rStyle w:val="Appelnotedebasdep"/>
        </w:rPr>
        <w:footnoteRef/>
      </w:r>
      <w:r w:rsidRPr="0053335D">
        <w:t xml:space="preserve"> </w:t>
      </w:r>
      <w:r w:rsidRPr="0053335D">
        <w:rPr>
          <w:i/>
          <w:iCs/>
        </w:rPr>
        <w:t>Juges</w:t>
      </w:r>
      <w:r w:rsidRPr="0053335D">
        <w:t xml:space="preserve"> 19, 6. Voir aussi </w:t>
      </w:r>
      <w:r w:rsidRPr="0053335D">
        <w:rPr>
          <w:i/>
          <w:iCs/>
        </w:rPr>
        <w:t>Juges</w:t>
      </w:r>
      <w:r w:rsidRPr="0053335D">
        <w:t xml:space="preserve"> 19, 8.</w:t>
      </w:r>
    </w:p>
  </w:footnote>
  <w:footnote w:id="141">
    <w:p w14:paraId="7ED33644" w14:textId="422C6AB9" w:rsidR="00206580" w:rsidRPr="0053335D" w:rsidRDefault="00206580" w:rsidP="0053335D">
      <w:pPr>
        <w:pStyle w:val="Notedebasdepage"/>
        <w:jc w:val="both"/>
      </w:pPr>
      <w:r w:rsidRPr="0053335D">
        <w:rPr>
          <w:rStyle w:val="Appelnotedebasdep"/>
        </w:rPr>
        <w:footnoteRef/>
      </w:r>
      <w:r w:rsidRPr="0053335D">
        <w:t xml:space="preserve"> </w:t>
      </w:r>
      <w:r w:rsidRPr="0053335D">
        <w:t xml:space="preserve">On trouve le même type de marchandage en </w:t>
      </w:r>
      <w:r w:rsidRPr="0053335D">
        <w:rPr>
          <w:i/>
          <w:iCs/>
        </w:rPr>
        <w:t xml:space="preserve">Genèse </w:t>
      </w:r>
      <w:r w:rsidRPr="0053335D">
        <w:t>19, avec des formulations proches : Lot reçoit deux anges à Sodome (</w:t>
      </w:r>
      <w:r w:rsidRPr="0053335D">
        <w:rPr>
          <w:i/>
          <w:iCs/>
        </w:rPr>
        <w:t>Genèse</w:t>
      </w:r>
      <w:r w:rsidRPr="0053335D">
        <w:t xml:space="preserve"> 19, 1-3). Avant le coucher du soleil, tous les hommes de la ville entourent la maison et réclament les deux visiteurs pour les violer (</w:t>
      </w:r>
      <w:r w:rsidRPr="0053335D">
        <w:rPr>
          <w:i/>
          <w:iCs/>
        </w:rPr>
        <w:t>Genèse</w:t>
      </w:r>
      <w:r w:rsidRPr="0053335D">
        <w:t xml:space="preserve"> 19, 4-5). Lot propose ses deux filles vierges en échange (</w:t>
      </w:r>
      <w:r w:rsidRPr="0053335D">
        <w:rPr>
          <w:i/>
          <w:iCs/>
        </w:rPr>
        <w:t>Genèse</w:t>
      </w:r>
      <w:r w:rsidRPr="0053335D">
        <w:t xml:space="preserve"> 19, 8). La situation se résout sans dommage pour les </w:t>
      </w:r>
      <w:proofErr w:type="spellStart"/>
      <w:r w:rsidRPr="0053335D">
        <w:t>habitant·es</w:t>
      </w:r>
      <w:proofErr w:type="spellEnd"/>
      <w:r w:rsidRPr="0053335D">
        <w:t xml:space="preserve"> de la maison uniquement parce que les deux étrangers sont des messagers célestes, qui frappent de cécité les assiégeants (</w:t>
      </w:r>
      <w:r w:rsidRPr="0053335D">
        <w:rPr>
          <w:i/>
          <w:iCs/>
        </w:rPr>
        <w:t>Genèse</w:t>
      </w:r>
      <w:r w:rsidRPr="0053335D">
        <w:t xml:space="preserve"> 19, 11).</w:t>
      </w:r>
    </w:p>
  </w:footnote>
  <w:footnote w:id="142">
    <w:p w14:paraId="4514FE83" w14:textId="28191F2D" w:rsidR="00EB60BA" w:rsidRPr="0053335D" w:rsidRDefault="00EB60BA" w:rsidP="0053335D">
      <w:pPr>
        <w:pStyle w:val="Notedebasdepage"/>
        <w:jc w:val="both"/>
      </w:pPr>
      <w:r w:rsidRPr="0053335D">
        <w:rPr>
          <w:rStyle w:val="Appelnotedebasdep"/>
        </w:rPr>
        <w:footnoteRef/>
      </w:r>
      <w:r w:rsidRPr="0053335D">
        <w:t xml:space="preserve"> </w:t>
      </w:r>
      <w:r w:rsidRPr="0053335D">
        <w:t xml:space="preserve">On n’est pas loin de Judith Butler lorsqu’elle identifie l’homoérotisme (masculin ou féminin) et son refoulement comme fondement d’une hiérarchie hétéronormée entre hommes et femmes donnant la première place aux premiers (Judith Butler, </w:t>
      </w:r>
      <w:r w:rsidRPr="0053335D">
        <w:rPr>
          <w:i/>
          <w:iCs/>
        </w:rPr>
        <w:t>Trouble dans le genre</w:t>
      </w:r>
      <w:r w:rsidRPr="0053335D">
        <w:t xml:space="preserve">, </w:t>
      </w:r>
      <w:r w:rsidRPr="0053335D">
        <w:rPr>
          <w:i/>
          <w:iCs/>
        </w:rPr>
        <w:t xml:space="preserve">op. </w:t>
      </w:r>
      <w:proofErr w:type="spellStart"/>
      <w:r w:rsidRPr="0053335D">
        <w:rPr>
          <w:i/>
          <w:iCs/>
        </w:rPr>
        <w:t>cit</w:t>
      </w:r>
      <w:proofErr w:type="spellEnd"/>
      <w:r w:rsidRPr="0053335D">
        <w:rPr>
          <w:i/>
          <w:iCs/>
        </w:rPr>
        <w:t>.</w:t>
      </w:r>
      <w:r w:rsidRPr="0053335D">
        <w:t>, p. 122</w:t>
      </w:r>
      <w:r w:rsidR="00626567" w:rsidRPr="0053335D">
        <w:t xml:space="preserve"> et 141 notamment</w:t>
      </w:r>
      <w:r w:rsidRPr="0053335D">
        <w:t xml:space="preserve">). </w:t>
      </w:r>
    </w:p>
  </w:footnote>
  <w:footnote w:id="143">
    <w:p w14:paraId="24D78868" w14:textId="27079051" w:rsidR="00206580" w:rsidRPr="0053335D" w:rsidRDefault="00206580" w:rsidP="0053335D">
      <w:pPr>
        <w:pStyle w:val="Notedebasdepage"/>
        <w:jc w:val="both"/>
      </w:pPr>
      <w:r w:rsidRPr="0053335D">
        <w:rPr>
          <w:rStyle w:val="Appelnotedebasdep"/>
        </w:rPr>
        <w:footnoteRef/>
      </w:r>
      <w:r w:rsidRPr="0053335D">
        <w:t xml:space="preserve"> </w:t>
      </w:r>
      <w:r w:rsidR="00252DBC" w:rsidRPr="0053335D">
        <w:rPr>
          <w:i/>
          <w:iCs/>
        </w:rPr>
        <w:t>Juges</w:t>
      </w:r>
      <w:r w:rsidR="00252DBC" w:rsidRPr="0053335D">
        <w:t xml:space="preserve"> 19, 24.</w:t>
      </w:r>
    </w:p>
  </w:footnote>
  <w:footnote w:id="144">
    <w:p w14:paraId="3138C493" w14:textId="2EA921E6" w:rsidR="00206580" w:rsidRPr="0053335D" w:rsidRDefault="00206580" w:rsidP="0053335D">
      <w:pPr>
        <w:pStyle w:val="Notedebasdepage"/>
        <w:jc w:val="both"/>
      </w:pPr>
      <w:r w:rsidRPr="0053335D">
        <w:rPr>
          <w:rStyle w:val="Appelnotedebasdep"/>
        </w:rPr>
        <w:footnoteRef/>
      </w:r>
      <w:r w:rsidRPr="0053335D">
        <w:t xml:space="preserve"> </w:t>
      </w:r>
      <w:r w:rsidR="00252DBC" w:rsidRPr="0053335D">
        <w:rPr>
          <w:i/>
          <w:iCs/>
        </w:rPr>
        <w:t>Juges</w:t>
      </w:r>
      <w:r w:rsidR="00252DBC" w:rsidRPr="0053335D">
        <w:t xml:space="preserve"> 19, 25.</w:t>
      </w:r>
    </w:p>
  </w:footnote>
  <w:footnote w:id="145">
    <w:p w14:paraId="448A38B2" w14:textId="7AB93CC7" w:rsidR="00470845" w:rsidRPr="0053335D" w:rsidRDefault="00470845" w:rsidP="0053335D">
      <w:pPr>
        <w:pStyle w:val="Notedebasdepage"/>
        <w:jc w:val="both"/>
      </w:pPr>
      <w:r w:rsidRPr="0053335D">
        <w:rPr>
          <w:rStyle w:val="Appelnotedebasdep"/>
        </w:rPr>
        <w:footnoteRef/>
      </w:r>
      <w:r w:rsidRPr="0053335D">
        <w:t xml:space="preserve"> </w:t>
      </w:r>
      <w:r w:rsidR="00252DBC" w:rsidRPr="0053335D">
        <w:rPr>
          <w:i/>
          <w:iCs/>
        </w:rPr>
        <w:t>Juges</w:t>
      </w:r>
      <w:r w:rsidR="00252DBC" w:rsidRPr="0053335D">
        <w:t xml:space="preserve"> 19, 26-28.</w:t>
      </w:r>
    </w:p>
  </w:footnote>
  <w:footnote w:id="146">
    <w:p w14:paraId="415CB3E5" w14:textId="5145CE2C" w:rsidR="00470845" w:rsidRPr="0053335D" w:rsidRDefault="00470845" w:rsidP="0053335D">
      <w:pPr>
        <w:pStyle w:val="Notedebasdepage"/>
        <w:jc w:val="both"/>
      </w:pPr>
      <w:r w:rsidRPr="0053335D">
        <w:rPr>
          <w:rStyle w:val="Appelnotedebasdep"/>
        </w:rPr>
        <w:footnoteRef/>
      </w:r>
      <w:r w:rsidRPr="0053335D">
        <w:t xml:space="preserve"> </w:t>
      </w:r>
      <w:r w:rsidR="00DF5E8D" w:rsidRPr="0053335D">
        <w:rPr>
          <w:i/>
          <w:iCs/>
        </w:rPr>
        <w:t>Juges</w:t>
      </w:r>
      <w:r w:rsidR="00DF5E8D" w:rsidRPr="0053335D">
        <w:t xml:space="preserve"> 19, 29.</w:t>
      </w:r>
    </w:p>
  </w:footnote>
  <w:footnote w:id="147">
    <w:p w14:paraId="0357DBE3" w14:textId="2CF17E43" w:rsidR="00DF5E8D" w:rsidRPr="0053335D" w:rsidRDefault="00DF5E8D" w:rsidP="0053335D">
      <w:pPr>
        <w:pStyle w:val="Notedebasdepage"/>
        <w:jc w:val="both"/>
      </w:pPr>
      <w:r w:rsidRPr="0053335D">
        <w:rPr>
          <w:rStyle w:val="Appelnotedebasdep"/>
        </w:rPr>
        <w:footnoteRef/>
      </w:r>
      <w:r w:rsidRPr="0053335D">
        <w:t xml:space="preserve"> </w:t>
      </w:r>
      <w:r w:rsidRPr="0053335D">
        <w:rPr>
          <w:i/>
          <w:iCs/>
        </w:rPr>
        <w:t>Juges</w:t>
      </w:r>
      <w:r w:rsidRPr="0053335D">
        <w:t xml:space="preserve"> 21, 14.</w:t>
      </w:r>
    </w:p>
  </w:footnote>
  <w:footnote w:id="148">
    <w:p w14:paraId="4E36839E" w14:textId="10779AE8" w:rsidR="00DF5E8D" w:rsidRPr="0053335D" w:rsidRDefault="00DF5E8D" w:rsidP="0053335D">
      <w:pPr>
        <w:pStyle w:val="Notedebasdepage"/>
        <w:jc w:val="both"/>
      </w:pPr>
      <w:r w:rsidRPr="0053335D">
        <w:rPr>
          <w:rStyle w:val="Appelnotedebasdep"/>
        </w:rPr>
        <w:footnoteRef/>
      </w:r>
      <w:r w:rsidRPr="0053335D">
        <w:t xml:space="preserve"> </w:t>
      </w:r>
      <w:r w:rsidRPr="0053335D">
        <w:rPr>
          <w:i/>
          <w:iCs/>
        </w:rPr>
        <w:t>Juges</w:t>
      </w:r>
      <w:r w:rsidRPr="0053335D">
        <w:t xml:space="preserve"> 21, 21-23.</w:t>
      </w:r>
    </w:p>
  </w:footnote>
  <w:footnote w:id="149">
    <w:p w14:paraId="7C8AD542" w14:textId="5049C404" w:rsidR="00470845" w:rsidRPr="0053335D" w:rsidRDefault="00470845" w:rsidP="0053335D">
      <w:pPr>
        <w:pStyle w:val="Notedebasdepage"/>
        <w:jc w:val="both"/>
      </w:pPr>
      <w:r w:rsidRPr="0053335D">
        <w:rPr>
          <w:rStyle w:val="Appelnotedebasdep"/>
        </w:rPr>
        <w:footnoteRef/>
      </w:r>
      <w:r w:rsidRPr="0053335D">
        <w:t xml:space="preserve"> </w:t>
      </w:r>
      <w:r w:rsidR="00DF5E8D" w:rsidRPr="0053335D">
        <w:rPr>
          <w:lang w:val="en-US"/>
        </w:rPr>
        <w:t xml:space="preserve">Ernest David Klein, </w:t>
      </w:r>
      <w:r w:rsidR="00DF5E8D" w:rsidRPr="0053335D">
        <w:rPr>
          <w:i/>
          <w:iCs/>
          <w:lang w:val="en-US"/>
        </w:rPr>
        <w:t>A Comprehensive Etymological Dictionary of the Hebrew Language</w:t>
      </w:r>
      <w:r w:rsidR="00DF5E8D" w:rsidRPr="0053335D">
        <w:rPr>
          <w:lang w:val="en-US"/>
        </w:rPr>
        <w:t xml:space="preserve">, </w:t>
      </w:r>
      <w:r w:rsidR="00DF5E8D" w:rsidRPr="0053335D">
        <w:rPr>
          <w:i/>
          <w:iCs/>
          <w:lang w:val="en-US"/>
        </w:rPr>
        <w:t>op. cit.</w:t>
      </w:r>
    </w:p>
  </w:footnote>
  <w:footnote w:id="150">
    <w:p w14:paraId="018F7953" w14:textId="66535F65" w:rsidR="00580F74" w:rsidRPr="0053335D" w:rsidRDefault="00580F74" w:rsidP="0053335D">
      <w:pPr>
        <w:pStyle w:val="Notedebasdepage"/>
        <w:jc w:val="both"/>
      </w:pPr>
      <w:r w:rsidRPr="0053335D">
        <w:rPr>
          <w:rStyle w:val="Appelnotedebasdep"/>
        </w:rPr>
        <w:footnoteRef/>
      </w:r>
      <w:r w:rsidRPr="0053335D">
        <w:t xml:space="preserve"> </w:t>
      </w:r>
      <w:r w:rsidR="00DF5E8D" w:rsidRPr="0053335D">
        <w:t xml:space="preserve">Voir par exemple </w:t>
      </w:r>
      <w:r w:rsidR="00DF5E8D" w:rsidRPr="0053335D">
        <w:rPr>
          <w:i/>
          <w:iCs/>
        </w:rPr>
        <w:t>Deutéronome</w:t>
      </w:r>
      <w:r w:rsidR="00DF5E8D" w:rsidRPr="0053335D">
        <w:t xml:space="preserve"> 31, 16.</w:t>
      </w:r>
    </w:p>
  </w:footnote>
  <w:footnote w:id="151">
    <w:p w14:paraId="718167BA" w14:textId="00C07682" w:rsidR="00580F74" w:rsidRPr="0053335D" w:rsidRDefault="00580F74" w:rsidP="0053335D">
      <w:pPr>
        <w:pStyle w:val="Notedebasdepage"/>
        <w:jc w:val="both"/>
      </w:pPr>
      <w:r w:rsidRPr="0053335D">
        <w:rPr>
          <w:rStyle w:val="Appelnotedebasdep"/>
        </w:rPr>
        <w:footnoteRef/>
      </w:r>
      <w:r w:rsidRPr="0053335D">
        <w:t xml:space="preserve"> </w:t>
      </w:r>
      <w:r w:rsidR="00DF5E8D" w:rsidRPr="0053335D">
        <w:rPr>
          <w:i/>
          <w:iCs/>
        </w:rPr>
        <w:t>Juges</w:t>
      </w:r>
      <w:r w:rsidR="00DF5E8D" w:rsidRPr="0053335D">
        <w:t xml:space="preserve"> 19, 3.</w:t>
      </w:r>
    </w:p>
  </w:footnote>
  <w:footnote w:id="152">
    <w:p w14:paraId="0726226D" w14:textId="37295CC9" w:rsidR="00182595" w:rsidRPr="0053335D" w:rsidRDefault="00182595" w:rsidP="0053335D">
      <w:pPr>
        <w:pStyle w:val="Notedebasdepage"/>
        <w:jc w:val="both"/>
      </w:pPr>
      <w:r w:rsidRPr="0053335D">
        <w:rPr>
          <w:rStyle w:val="Appelnotedebasdep"/>
        </w:rPr>
        <w:footnoteRef/>
      </w:r>
      <w:r w:rsidRPr="0053335D">
        <w:t xml:space="preserve"> </w:t>
      </w:r>
      <w:r w:rsidR="00DF5E8D" w:rsidRPr="0053335D">
        <w:t xml:space="preserve">Sur la pseudépigraphie, voir notamment Eckart </w:t>
      </w:r>
      <w:proofErr w:type="spellStart"/>
      <w:r w:rsidR="00DF5E8D" w:rsidRPr="0053335D">
        <w:t>Reinmuth</w:t>
      </w:r>
      <w:proofErr w:type="spellEnd"/>
      <w:r w:rsidR="00DF5E8D" w:rsidRPr="0053335D">
        <w:t xml:space="preserve">, « Zur </w:t>
      </w:r>
      <w:proofErr w:type="spellStart"/>
      <w:r w:rsidR="00DF5E8D" w:rsidRPr="0053335D">
        <w:t>neutestamentlichen</w:t>
      </w:r>
      <w:proofErr w:type="spellEnd"/>
      <w:r w:rsidR="00DF5E8D" w:rsidRPr="0053335D">
        <w:t xml:space="preserve"> Paulus-</w:t>
      </w:r>
      <w:proofErr w:type="spellStart"/>
      <w:r w:rsidR="00DF5E8D" w:rsidRPr="0053335D">
        <w:t>Pseudepigraphie</w:t>
      </w:r>
      <w:proofErr w:type="spellEnd"/>
      <w:r w:rsidR="00DF5E8D" w:rsidRPr="0053335D">
        <w:t xml:space="preserve"> », </w:t>
      </w:r>
      <w:r w:rsidR="00DF5E8D" w:rsidRPr="0053335D">
        <w:rPr>
          <w:i/>
          <w:iCs/>
        </w:rPr>
        <w:t>in</w:t>
      </w:r>
      <w:r w:rsidR="00DF5E8D" w:rsidRPr="0053335D">
        <w:t xml:space="preserve"> Nikolaus Walter, Eckart </w:t>
      </w:r>
      <w:proofErr w:type="spellStart"/>
      <w:r w:rsidR="00DF5E8D" w:rsidRPr="0053335D">
        <w:t>Reinmuth</w:t>
      </w:r>
      <w:proofErr w:type="spellEnd"/>
      <w:r w:rsidR="00DF5E8D" w:rsidRPr="0053335D">
        <w:t xml:space="preserve"> et Peter Lampe, </w:t>
      </w:r>
      <w:proofErr w:type="spellStart"/>
      <w:r w:rsidR="00DF5E8D" w:rsidRPr="0053335D">
        <w:t>dir</w:t>
      </w:r>
      <w:proofErr w:type="spellEnd"/>
      <w:r w:rsidR="00DF5E8D" w:rsidRPr="0053335D">
        <w:t xml:space="preserve">., </w:t>
      </w:r>
      <w:r w:rsidR="00DF5E8D" w:rsidRPr="0053335D">
        <w:rPr>
          <w:i/>
          <w:iCs/>
        </w:rPr>
        <w:t xml:space="preserve">Die Briefe an die </w:t>
      </w:r>
      <w:proofErr w:type="spellStart"/>
      <w:r w:rsidR="00DF5E8D" w:rsidRPr="0053335D">
        <w:rPr>
          <w:i/>
          <w:iCs/>
        </w:rPr>
        <w:t>Philipper</w:t>
      </w:r>
      <w:proofErr w:type="spellEnd"/>
      <w:r w:rsidR="00DF5E8D" w:rsidRPr="0053335D">
        <w:rPr>
          <w:i/>
          <w:iCs/>
        </w:rPr>
        <w:t xml:space="preserve">, </w:t>
      </w:r>
      <w:proofErr w:type="spellStart"/>
      <w:r w:rsidR="00DF5E8D" w:rsidRPr="0053335D">
        <w:rPr>
          <w:i/>
          <w:iCs/>
        </w:rPr>
        <w:t>Thessalonicher</w:t>
      </w:r>
      <w:proofErr w:type="spellEnd"/>
      <w:r w:rsidR="00DF5E8D" w:rsidRPr="0053335D">
        <w:rPr>
          <w:i/>
          <w:iCs/>
        </w:rPr>
        <w:t xml:space="preserve"> </w:t>
      </w:r>
      <w:proofErr w:type="spellStart"/>
      <w:r w:rsidR="00DF5E8D" w:rsidRPr="0053335D">
        <w:rPr>
          <w:i/>
          <w:iCs/>
        </w:rPr>
        <w:t>und</w:t>
      </w:r>
      <w:proofErr w:type="spellEnd"/>
      <w:r w:rsidR="00DF5E8D" w:rsidRPr="0053335D">
        <w:rPr>
          <w:i/>
          <w:iCs/>
        </w:rPr>
        <w:t xml:space="preserve"> an </w:t>
      </w:r>
      <w:proofErr w:type="spellStart"/>
      <w:r w:rsidR="00DF5E8D" w:rsidRPr="0053335D">
        <w:rPr>
          <w:i/>
          <w:iCs/>
        </w:rPr>
        <w:t>Philemon</w:t>
      </w:r>
      <w:proofErr w:type="spellEnd"/>
      <w:r w:rsidR="00DF5E8D" w:rsidRPr="0053335D">
        <w:t xml:space="preserve">, Göttingen, </w:t>
      </w:r>
      <w:proofErr w:type="spellStart"/>
      <w:r w:rsidR="00DF5E8D" w:rsidRPr="0053335D">
        <w:t>Vandenhoek</w:t>
      </w:r>
      <w:proofErr w:type="spellEnd"/>
      <w:r w:rsidR="00DF5E8D" w:rsidRPr="0053335D">
        <w:t xml:space="preserve"> &amp; </w:t>
      </w:r>
      <w:proofErr w:type="spellStart"/>
      <w:r w:rsidR="00DF5E8D" w:rsidRPr="0053335D">
        <w:t>Ruprecht</w:t>
      </w:r>
      <w:proofErr w:type="spellEnd"/>
      <w:r w:rsidR="00DF5E8D" w:rsidRPr="0053335D">
        <w:t>, 1998, p. 190-200.</w:t>
      </w:r>
    </w:p>
  </w:footnote>
  <w:footnote w:id="153">
    <w:p w14:paraId="3A2FB6A7" w14:textId="519B5985" w:rsidR="00182595" w:rsidRPr="0053335D" w:rsidRDefault="00182595" w:rsidP="0053335D">
      <w:pPr>
        <w:pStyle w:val="Notedebasdepage"/>
        <w:jc w:val="both"/>
      </w:pPr>
      <w:r w:rsidRPr="0053335D">
        <w:rPr>
          <w:rStyle w:val="Appelnotedebasdep"/>
        </w:rPr>
        <w:footnoteRef/>
      </w:r>
      <w:r w:rsidRPr="0053335D">
        <w:t xml:space="preserve"> </w:t>
      </w:r>
      <w:r w:rsidR="00DF5E8D" w:rsidRPr="0053335D">
        <w:t xml:space="preserve">Michel Foucault, « Qu’est-ce qu’un auteur ? », </w:t>
      </w:r>
      <w:r w:rsidR="00DF5E8D" w:rsidRPr="0053335D">
        <w:rPr>
          <w:i/>
          <w:iCs/>
        </w:rPr>
        <w:t>Bulletin de la Société française de philosophie</w:t>
      </w:r>
      <w:r w:rsidR="00DF5E8D" w:rsidRPr="0053335D">
        <w:t xml:space="preserve">, 63, 3, 1969, p. 73-104. Publication en ligne, URL : </w:t>
      </w:r>
      <w:hyperlink r:id="rId9" w:history="1">
        <w:r w:rsidR="00DF5E8D" w:rsidRPr="0053335D">
          <w:rPr>
            <w:rStyle w:val="Lienhypertexte"/>
          </w:rPr>
          <w:t>https://dgemc.web.ac-grenoble.fr/sites/default/files/Media/document/quest_ce_quun_auteur_par_michel_foucault.pdf</w:t>
        </w:r>
      </w:hyperlink>
      <w:r w:rsidR="00DF5E8D" w:rsidRPr="0053335D">
        <w:t xml:space="preserve"> Page consultée le 23 décembre 2025.</w:t>
      </w:r>
    </w:p>
  </w:footnote>
  <w:footnote w:id="154">
    <w:p w14:paraId="581432D7" w14:textId="00E4B5E0" w:rsidR="00182595" w:rsidRPr="0053335D" w:rsidRDefault="00182595" w:rsidP="0053335D">
      <w:pPr>
        <w:pStyle w:val="Notedebasdepage"/>
        <w:jc w:val="both"/>
      </w:pPr>
      <w:r w:rsidRPr="0053335D">
        <w:rPr>
          <w:rStyle w:val="Appelnotedebasdep"/>
        </w:rPr>
        <w:footnoteRef/>
      </w:r>
      <w:r w:rsidRPr="0053335D">
        <w:t xml:space="preserve"> </w:t>
      </w:r>
      <w:r w:rsidR="00DF5E8D" w:rsidRPr="0053335D">
        <w:t xml:space="preserve">Il s’agit de la chronologie proposée dans Tzvetan Todorov, </w:t>
      </w:r>
      <w:r w:rsidR="00DF5E8D" w:rsidRPr="0053335D">
        <w:rPr>
          <w:i/>
          <w:iCs/>
        </w:rPr>
        <w:t>Éloge de l’individu. Essai sur la peinture flamande de la Renaissance</w:t>
      </w:r>
      <w:r w:rsidR="00DF5E8D" w:rsidRPr="0053335D">
        <w:t xml:space="preserve">, Paris, </w:t>
      </w:r>
      <w:proofErr w:type="spellStart"/>
      <w:r w:rsidR="00DF5E8D" w:rsidRPr="0053335D">
        <w:t>Biro</w:t>
      </w:r>
      <w:proofErr w:type="spellEnd"/>
      <w:r w:rsidR="00DF5E8D" w:rsidRPr="0053335D">
        <w:t>, 2000.</w:t>
      </w:r>
    </w:p>
  </w:footnote>
  <w:footnote w:id="155">
    <w:p w14:paraId="7128B5D2" w14:textId="179601F6" w:rsidR="00D936D5" w:rsidRPr="0053335D" w:rsidRDefault="00D936D5" w:rsidP="0053335D">
      <w:pPr>
        <w:pStyle w:val="Notedebasdepage"/>
        <w:jc w:val="both"/>
      </w:pPr>
      <w:r w:rsidRPr="0053335D">
        <w:rPr>
          <w:rStyle w:val="Appelnotedebasdep"/>
        </w:rPr>
        <w:footnoteRef/>
      </w:r>
      <w:r w:rsidRPr="0053335D">
        <w:t xml:space="preserve"> </w:t>
      </w:r>
      <w:r w:rsidR="00DF5E8D" w:rsidRPr="0053335D">
        <w:rPr>
          <w:i/>
          <w:iCs/>
        </w:rPr>
        <w:t xml:space="preserve">Juges </w:t>
      </w:r>
      <w:r w:rsidR="00DF5E8D" w:rsidRPr="0053335D">
        <w:t>19, 1 et 2.</w:t>
      </w:r>
    </w:p>
  </w:footnote>
  <w:footnote w:id="156">
    <w:p w14:paraId="15401C9A" w14:textId="4517292D" w:rsidR="00D936D5" w:rsidRPr="0053335D" w:rsidRDefault="00D936D5" w:rsidP="0053335D">
      <w:pPr>
        <w:pStyle w:val="Notedebasdepage"/>
        <w:jc w:val="both"/>
      </w:pPr>
      <w:r w:rsidRPr="0053335D">
        <w:rPr>
          <w:rStyle w:val="Appelnotedebasdep"/>
        </w:rPr>
        <w:footnoteRef/>
      </w:r>
      <w:r w:rsidRPr="0053335D">
        <w:t xml:space="preserve"> </w:t>
      </w:r>
      <w:r w:rsidRPr="0053335D">
        <w:rPr>
          <w:i/>
          <w:iCs/>
        </w:rPr>
        <w:t>Évangile selon Matthieu</w:t>
      </w:r>
      <w:r w:rsidRPr="0053335D">
        <w:t xml:space="preserve"> 2, 1. Voir aussi </w:t>
      </w:r>
      <w:r w:rsidRPr="0053335D">
        <w:rPr>
          <w:i/>
          <w:iCs/>
        </w:rPr>
        <w:t>Évangile selon Matthieu</w:t>
      </w:r>
      <w:r w:rsidRPr="0053335D">
        <w:t xml:space="preserve"> 2, 5 ; 6 ; 8 ; 16, ainsi qu’</w:t>
      </w:r>
      <w:r w:rsidRPr="0053335D">
        <w:rPr>
          <w:i/>
          <w:iCs/>
        </w:rPr>
        <w:t>Évangile selon Luc</w:t>
      </w:r>
      <w:r w:rsidRPr="0053335D">
        <w:t xml:space="preserve"> 2, 4 et 15.</w:t>
      </w:r>
    </w:p>
  </w:footnote>
  <w:footnote w:id="157">
    <w:p w14:paraId="6F4A0772" w14:textId="5D938972" w:rsidR="00D936D5" w:rsidRPr="0053335D" w:rsidRDefault="00D936D5" w:rsidP="0053335D">
      <w:pPr>
        <w:pStyle w:val="Notedebasdepage"/>
        <w:jc w:val="both"/>
      </w:pPr>
      <w:r w:rsidRPr="0053335D">
        <w:rPr>
          <w:rStyle w:val="Appelnotedebasdep"/>
        </w:rPr>
        <w:footnoteRef/>
      </w:r>
      <w:r w:rsidRPr="0053335D">
        <w:t xml:space="preserve"> </w:t>
      </w:r>
      <w:r w:rsidRPr="0053335D">
        <w:rPr>
          <w:i/>
          <w:iCs/>
        </w:rPr>
        <w:t>Évangile selon Luc</w:t>
      </w:r>
      <w:r w:rsidRPr="0053335D">
        <w:t xml:space="preserve"> 2, 7.</w:t>
      </w:r>
    </w:p>
  </w:footnote>
  <w:footnote w:id="158">
    <w:p w14:paraId="693C0A3A" w14:textId="77777777" w:rsidR="00D936D5" w:rsidRPr="0053335D" w:rsidRDefault="00D936D5" w:rsidP="0053335D">
      <w:pPr>
        <w:pStyle w:val="Notedebasdepage"/>
        <w:jc w:val="both"/>
      </w:pPr>
      <w:r w:rsidRPr="0053335D">
        <w:rPr>
          <w:rStyle w:val="Appelnotedebasdep"/>
        </w:rPr>
        <w:footnoteRef/>
      </w:r>
      <w:r w:rsidRPr="0053335D">
        <w:t xml:space="preserve"> </w:t>
      </w:r>
      <w:r w:rsidRPr="0053335D">
        <w:rPr>
          <w:i/>
          <w:iCs/>
        </w:rPr>
        <w:t>Juges</w:t>
      </w:r>
      <w:r w:rsidRPr="0053335D">
        <w:t xml:space="preserve"> 19, 15.</w:t>
      </w:r>
    </w:p>
  </w:footnote>
  <w:footnote w:id="159">
    <w:p w14:paraId="528C661E" w14:textId="65FCDC49" w:rsidR="00BB6968" w:rsidRPr="0053335D" w:rsidRDefault="00BB6968" w:rsidP="0053335D">
      <w:pPr>
        <w:pStyle w:val="Notedebasdepage"/>
        <w:jc w:val="both"/>
      </w:pPr>
      <w:r w:rsidRPr="0053335D">
        <w:rPr>
          <w:rStyle w:val="Appelnotedebasdep"/>
        </w:rPr>
        <w:footnoteRef/>
      </w:r>
      <w:r w:rsidRPr="0053335D">
        <w:t xml:space="preserve"> </w:t>
      </w:r>
      <w:r w:rsidRPr="0053335D">
        <w:rPr>
          <w:i/>
          <w:iCs/>
        </w:rPr>
        <w:t>Juges</w:t>
      </w:r>
      <w:r w:rsidRPr="0053335D">
        <w:t xml:space="preserve"> 19, 1 et 21, 25.</w:t>
      </w:r>
    </w:p>
  </w:footnote>
  <w:footnote w:id="160">
    <w:p w14:paraId="4E5BEF70" w14:textId="0A99A4E4" w:rsidR="006B542D" w:rsidRPr="0053335D" w:rsidRDefault="006B542D" w:rsidP="0053335D">
      <w:pPr>
        <w:pStyle w:val="Notedebasdepage"/>
        <w:jc w:val="both"/>
      </w:pPr>
      <w:r w:rsidRPr="0053335D">
        <w:rPr>
          <w:rStyle w:val="Appelnotedebasdep"/>
        </w:rPr>
        <w:footnoteRef/>
      </w:r>
      <w:r w:rsidRPr="0053335D">
        <w:t xml:space="preserve"> </w:t>
      </w:r>
      <w:r w:rsidRPr="0053335D">
        <w:rPr>
          <w:i/>
          <w:iCs/>
        </w:rPr>
        <w:t>Évangile selon Matthieu</w:t>
      </w:r>
      <w:r w:rsidRPr="0053335D">
        <w:t xml:space="preserve"> 2, 2.</w:t>
      </w:r>
    </w:p>
  </w:footnote>
  <w:footnote w:id="161">
    <w:p w14:paraId="150B9279" w14:textId="1EE44F2A" w:rsidR="000155BA" w:rsidRPr="0053335D" w:rsidRDefault="000155BA" w:rsidP="0053335D">
      <w:pPr>
        <w:pStyle w:val="Notedebasdepage"/>
        <w:jc w:val="both"/>
      </w:pPr>
      <w:r w:rsidRPr="0053335D">
        <w:rPr>
          <w:rStyle w:val="Appelnotedebasdep"/>
        </w:rPr>
        <w:footnoteRef/>
      </w:r>
      <w:r w:rsidRPr="0053335D">
        <w:t xml:space="preserve"> </w:t>
      </w:r>
      <w:r w:rsidRPr="0053335D">
        <w:rPr>
          <w:i/>
          <w:iCs/>
        </w:rPr>
        <w:t>Évangile selon Matthieu</w:t>
      </w:r>
      <w:r w:rsidRPr="0053335D">
        <w:t xml:space="preserve"> 2, 16.</w:t>
      </w:r>
    </w:p>
  </w:footnote>
  <w:footnote w:id="162">
    <w:p w14:paraId="3965DC0D" w14:textId="4744C515" w:rsidR="00BB6968" w:rsidRPr="0053335D" w:rsidRDefault="00BB6968" w:rsidP="0053335D">
      <w:pPr>
        <w:pStyle w:val="Notedebasdepage"/>
        <w:jc w:val="both"/>
      </w:pPr>
      <w:r w:rsidRPr="0053335D">
        <w:rPr>
          <w:rStyle w:val="Appelnotedebasdep"/>
        </w:rPr>
        <w:footnoteRef/>
      </w:r>
      <w:r w:rsidRPr="0053335D">
        <w:t xml:space="preserve"> </w:t>
      </w:r>
      <w:r w:rsidRPr="0053335D">
        <w:t xml:space="preserve">David </w:t>
      </w:r>
      <w:proofErr w:type="spellStart"/>
      <w:r w:rsidRPr="0053335D">
        <w:t>Tombs</w:t>
      </w:r>
      <w:proofErr w:type="spellEnd"/>
      <w:r w:rsidRPr="0053335D">
        <w:t xml:space="preserve">, </w:t>
      </w:r>
      <w:r w:rsidRPr="0053335D">
        <w:rPr>
          <w:i/>
          <w:iCs/>
        </w:rPr>
        <w:t xml:space="preserve">The Crucifixion of </w:t>
      </w:r>
      <w:proofErr w:type="spellStart"/>
      <w:r w:rsidRPr="0053335D">
        <w:rPr>
          <w:i/>
          <w:iCs/>
        </w:rPr>
        <w:t>Jesus</w:t>
      </w:r>
      <w:proofErr w:type="spellEnd"/>
      <w:r w:rsidRPr="0053335D">
        <w:rPr>
          <w:i/>
          <w:iCs/>
        </w:rPr>
        <w:t xml:space="preserve">. Torture, </w:t>
      </w:r>
      <w:proofErr w:type="spellStart"/>
      <w:r w:rsidRPr="0053335D">
        <w:rPr>
          <w:i/>
          <w:iCs/>
        </w:rPr>
        <w:t>Sexual</w:t>
      </w:r>
      <w:proofErr w:type="spellEnd"/>
      <w:r w:rsidRPr="0053335D">
        <w:rPr>
          <w:i/>
          <w:iCs/>
        </w:rPr>
        <w:t xml:space="preserve"> Abuse, and the </w:t>
      </w:r>
      <w:proofErr w:type="spellStart"/>
      <w:r w:rsidRPr="0053335D">
        <w:rPr>
          <w:i/>
          <w:iCs/>
        </w:rPr>
        <w:t>Scandal</w:t>
      </w:r>
      <w:proofErr w:type="spellEnd"/>
      <w:r w:rsidRPr="0053335D">
        <w:rPr>
          <w:i/>
          <w:iCs/>
        </w:rPr>
        <w:t xml:space="preserve"> of the Cross</w:t>
      </w:r>
      <w:r w:rsidRPr="0053335D">
        <w:t xml:space="preserve">, </w:t>
      </w:r>
      <w:proofErr w:type="spellStart"/>
      <w:r w:rsidRPr="0053335D">
        <w:t>Abingdon</w:t>
      </w:r>
      <w:proofErr w:type="spellEnd"/>
      <w:r w:rsidRPr="0053335D">
        <w:t xml:space="preserve">-New York, Routledge-Taylor &amp; Francis Group, 2023. Sur ce point, voir aussi </w:t>
      </w:r>
      <w:proofErr w:type="spellStart"/>
      <w:r w:rsidR="00961F16" w:rsidRPr="0053335D">
        <w:t>Rocío</w:t>
      </w:r>
      <w:proofErr w:type="spellEnd"/>
      <w:r w:rsidR="00961F16" w:rsidRPr="0053335D">
        <w:t xml:space="preserve"> Figueroa et David </w:t>
      </w:r>
      <w:proofErr w:type="spellStart"/>
      <w:r w:rsidR="00961F16" w:rsidRPr="0053335D">
        <w:t>Tombs</w:t>
      </w:r>
      <w:proofErr w:type="spellEnd"/>
      <w:r w:rsidR="00961F16" w:rsidRPr="0053335D">
        <w:t>, « </w:t>
      </w:r>
      <w:proofErr w:type="spellStart"/>
      <w:r w:rsidR="00961F16" w:rsidRPr="0053335D">
        <w:t>Recognising</w:t>
      </w:r>
      <w:proofErr w:type="spellEnd"/>
      <w:r w:rsidR="00961F16" w:rsidRPr="0053335D">
        <w:t xml:space="preserve"> </w:t>
      </w:r>
      <w:proofErr w:type="spellStart"/>
      <w:r w:rsidR="00961F16" w:rsidRPr="0053335D">
        <w:t>Jesus</w:t>
      </w:r>
      <w:proofErr w:type="spellEnd"/>
      <w:r w:rsidR="00961F16" w:rsidRPr="0053335D">
        <w:t xml:space="preserve"> as a </w:t>
      </w:r>
      <w:proofErr w:type="spellStart"/>
      <w:r w:rsidR="00961F16" w:rsidRPr="0053335D">
        <w:t>Victim</w:t>
      </w:r>
      <w:proofErr w:type="spellEnd"/>
      <w:r w:rsidR="00961F16" w:rsidRPr="0053335D">
        <w:t xml:space="preserve"> of </w:t>
      </w:r>
      <w:proofErr w:type="spellStart"/>
      <w:r w:rsidR="00961F16" w:rsidRPr="0053335D">
        <w:t>Sexual</w:t>
      </w:r>
      <w:proofErr w:type="spellEnd"/>
      <w:r w:rsidR="00961F16" w:rsidRPr="0053335D">
        <w:t xml:space="preserve"> Abuse. </w:t>
      </w:r>
      <w:proofErr w:type="spellStart"/>
      <w:r w:rsidR="00961F16" w:rsidRPr="0053335D">
        <w:t>Responses</w:t>
      </w:r>
      <w:proofErr w:type="spellEnd"/>
      <w:r w:rsidR="00961F16" w:rsidRPr="0053335D">
        <w:t xml:space="preserve"> </w:t>
      </w:r>
      <w:proofErr w:type="spellStart"/>
      <w:r w:rsidR="00961F16" w:rsidRPr="0053335D">
        <w:t>from</w:t>
      </w:r>
      <w:proofErr w:type="spellEnd"/>
      <w:r w:rsidR="00961F16" w:rsidRPr="0053335D">
        <w:t xml:space="preserve"> </w:t>
      </w:r>
      <w:proofErr w:type="spellStart"/>
      <w:r w:rsidR="00961F16" w:rsidRPr="0053335D">
        <w:t>Sodalicio</w:t>
      </w:r>
      <w:proofErr w:type="spellEnd"/>
      <w:r w:rsidR="00961F16" w:rsidRPr="0053335D">
        <w:t xml:space="preserve"> </w:t>
      </w:r>
      <w:proofErr w:type="spellStart"/>
      <w:r w:rsidR="00961F16" w:rsidRPr="0053335D">
        <w:t>Survivors</w:t>
      </w:r>
      <w:proofErr w:type="spellEnd"/>
      <w:r w:rsidR="00961F16" w:rsidRPr="0053335D">
        <w:t xml:space="preserve"> in </w:t>
      </w:r>
      <w:proofErr w:type="spellStart"/>
      <w:r w:rsidR="00961F16" w:rsidRPr="0053335D">
        <w:t>Peru</w:t>
      </w:r>
      <w:proofErr w:type="spellEnd"/>
      <w:r w:rsidR="00961F16" w:rsidRPr="0053335D">
        <w:t xml:space="preserve"> », </w:t>
      </w:r>
      <w:r w:rsidR="00961F16" w:rsidRPr="0053335D">
        <w:rPr>
          <w:i/>
          <w:iCs/>
        </w:rPr>
        <w:t xml:space="preserve">Religion and </w:t>
      </w:r>
      <w:proofErr w:type="spellStart"/>
      <w:r w:rsidR="00961F16" w:rsidRPr="0053335D">
        <w:rPr>
          <w:i/>
          <w:iCs/>
        </w:rPr>
        <w:t>Gender</w:t>
      </w:r>
      <w:proofErr w:type="spellEnd"/>
      <w:r w:rsidR="00961F16" w:rsidRPr="0053335D">
        <w:t>, 10, 2020, p. 57-75</w:t>
      </w:r>
      <w:r w:rsidR="00B3659A" w:rsidRPr="0053335D">
        <w:t xml:space="preserve"> et </w:t>
      </w:r>
      <w:proofErr w:type="spellStart"/>
      <w:r w:rsidR="00B3659A" w:rsidRPr="0053335D">
        <w:t>Jayme</w:t>
      </w:r>
      <w:proofErr w:type="spellEnd"/>
      <w:r w:rsidR="00B3659A" w:rsidRPr="0053335D">
        <w:t xml:space="preserve"> R. </w:t>
      </w:r>
      <w:proofErr w:type="spellStart"/>
      <w:r w:rsidR="00B3659A" w:rsidRPr="0053335D">
        <w:t>Reaves</w:t>
      </w:r>
      <w:proofErr w:type="spellEnd"/>
      <w:r w:rsidR="00B3659A" w:rsidRPr="0053335D">
        <w:t xml:space="preserve">, David </w:t>
      </w:r>
      <w:proofErr w:type="spellStart"/>
      <w:r w:rsidR="00B3659A" w:rsidRPr="0053335D">
        <w:t>Tombs</w:t>
      </w:r>
      <w:proofErr w:type="spellEnd"/>
      <w:r w:rsidR="00B3659A" w:rsidRPr="0053335D">
        <w:t xml:space="preserve"> et </w:t>
      </w:r>
      <w:proofErr w:type="spellStart"/>
      <w:r w:rsidR="00B3659A" w:rsidRPr="0053335D">
        <w:t>Rocío</w:t>
      </w:r>
      <w:proofErr w:type="spellEnd"/>
      <w:r w:rsidR="00B3659A" w:rsidRPr="0053335D">
        <w:t xml:space="preserve"> Figueroa, </w:t>
      </w:r>
      <w:proofErr w:type="spellStart"/>
      <w:r w:rsidR="00B3659A" w:rsidRPr="0053335D">
        <w:rPr>
          <w:i/>
          <w:iCs/>
        </w:rPr>
        <w:t>When</w:t>
      </w:r>
      <w:proofErr w:type="spellEnd"/>
      <w:r w:rsidR="00B3659A" w:rsidRPr="0053335D">
        <w:rPr>
          <w:i/>
          <w:iCs/>
        </w:rPr>
        <w:t xml:space="preserve"> </w:t>
      </w:r>
      <w:proofErr w:type="spellStart"/>
      <w:r w:rsidR="00B3659A" w:rsidRPr="0053335D">
        <w:rPr>
          <w:i/>
          <w:iCs/>
        </w:rPr>
        <w:t>Did</w:t>
      </w:r>
      <w:proofErr w:type="spellEnd"/>
      <w:r w:rsidR="00B3659A" w:rsidRPr="0053335D">
        <w:rPr>
          <w:i/>
          <w:iCs/>
        </w:rPr>
        <w:t xml:space="preserve"> </w:t>
      </w:r>
      <w:proofErr w:type="spellStart"/>
      <w:r w:rsidR="00B3659A" w:rsidRPr="0053335D">
        <w:rPr>
          <w:i/>
          <w:iCs/>
        </w:rPr>
        <w:t>We</w:t>
      </w:r>
      <w:proofErr w:type="spellEnd"/>
      <w:r w:rsidR="00B3659A" w:rsidRPr="0053335D">
        <w:rPr>
          <w:i/>
          <w:iCs/>
        </w:rPr>
        <w:t xml:space="preserve"> </w:t>
      </w:r>
      <w:proofErr w:type="spellStart"/>
      <w:r w:rsidR="00B3659A" w:rsidRPr="0053335D">
        <w:rPr>
          <w:i/>
          <w:iCs/>
        </w:rPr>
        <w:t>See</w:t>
      </w:r>
      <w:proofErr w:type="spellEnd"/>
      <w:r w:rsidR="00B3659A" w:rsidRPr="0053335D">
        <w:rPr>
          <w:i/>
          <w:iCs/>
        </w:rPr>
        <w:t xml:space="preserve"> You </w:t>
      </w:r>
      <w:proofErr w:type="spellStart"/>
      <w:r w:rsidR="00B3659A" w:rsidRPr="0053335D">
        <w:rPr>
          <w:i/>
          <w:iCs/>
        </w:rPr>
        <w:t>Naked</w:t>
      </w:r>
      <w:proofErr w:type="spellEnd"/>
      <w:r w:rsidR="00B3659A" w:rsidRPr="0053335D">
        <w:rPr>
          <w:i/>
          <w:iCs/>
        </w:rPr>
        <w:t xml:space="preserve">? </w:t>
      </w:r>
      <w:proofErr w:type="spellStart"/>
      <w:r w:rsidR="00B3659A" w:rsidRPr="0053335D">
        <w:rPr>
          <w:i/>
          <w:iCs/>
        </w:rPr>
        <w:t>Jesus</w:t>
      </w:r>
      <w:proofErr w:type="spellEnd"/>
      <w:r w:rsidR="00B3659A" w:rsidRPr="0053335D">
        <w:rPr>
          <w:i/>
          <w:iCs/>
        </w:rPr>
        <w:t xml:space="preserve"> a as </w:t>
      </w:r>
      <w:proofErr w:type="spellStart"/>
      <w:r w:rsidR="00B3659A" w:rsidRPr="0053335D">
        <w:rPr>
          <w:i/>
          <w:iCs/>
        </w:rPr>
        <w:t>Victim</w:t>
      </w:r>
      <w:proofErr w:type="spellEnd"/>
      <w:r w:rsidR="00B3659A" w:rsidRPr="0053335D">
        <w:rPr>
          <w:i/>
          <w:iCs/>
        </w:rPr>
        <w:t xml:space="preserve"> of </w:t>
      </w:r>
      <w:proofErr w:type="spellStart"/>
      <w:r w:rsidR="00B3659A" w:rsidRPr="0053335D">
        <w:rPr>
          <w:i/>
          <w:iCs/>
        </w:rPr>
        <w:t>Sexual</w:t>
      </w:r>
      <w:proofErr w:type="spellEnd"/>
      <w:r w:rsidR="00B3659A" w:rsidRPr="0053335D">
        <w:rPr>
          <w:i/>
          <w:iCs/>
        </w:rPr>
        <w:t xml:space="preserve"> Abuse</w:t>
      </w:r>
      <w:r w:rsidR="00B3659A" w:rsidRPr="0053335D">
        <w:t xml:space="preserve">, Londres, SCM </w:t>
      </w:r>
      <w:proofErr w:type="spellStart"/>
      <w:r w:rsidR="00B3659A" w:rsidRPr="0053335D">
        <w:t>Press</w:t>
      </w:r>
      <w:proofErr w:type="spellEnd"/>
      <w:r w:rsidR="00B3659A" w:rsidRPr="0053335D">
        <w:t>, 2021.</w:t>
      </w:r>
    </w:p>
  </w:footnote>
  <w:footnote w:id="163">
    <w:p w14:paraId="6E02346F" w14:textId="73B0BE28" w:rsidR="00BB6968" w:rsidRPr="0053335D" w:rsidRDefault="00BB6968" w:rsidP="0053335D">
      <w:pPr>
        <w:pStyle w:val="Notedebasdepage"/>
        <w:jc w:val="both"/>
      </w:pPr>
      <w:r w:rsidRPr="0053335D">
        <w:rPr>
          <w:rStyle w:val="Appelnotedebasdep"/>
        </w:rPr>
        <w:footnoteRef/>
      </w:r>
      <w:r w:rsidRPr="0053335D">
        <w:t xml:space="preserve"> </w:t>
      </w:r>
      <w:r w:rsidRPr="0053335D">
        <w:t xml:space="preserve">David </w:t>
      </w:r>
      <w:proofErr w:type="spellStart"/>
      <w:r w:rsidRPr="0053335D">
        <w:t>Thombs</w:t>
      </w:r>
      <w:proofErr w:type="spellEnd"/>
      <w:r w:rsidRPr="0053335D">
        <w:t xml:space="preserve"> rapproche notamment </w:t>
      </w:r>
      <w:r w:rsidRPr="0053335D">
        <w:rPr>
          <w:i/>
          <w:iCs/>
        </w:rPr>
        <w:t xml:space="preserve">Évangile selon Matthieu </w:t>
      </w:r>
      <w:r w:rsidRPr="0053335D">
        <w:t xml:space="preserve">27, 31 et </w:t>
      </w:r>
      <w:r w:rsidRPr="0053335D">
        <w:rPr>
          <w:i/>
          <w:iCs/>
        </w:rPr>
        <w:t>Juges</w:t>
      </w:r>
      <w:r w:rsidRPr="0053335D">
        <w:t xml:space="preserve"> 19, 25 (David </w:t>
      </w:r>
      <w:proofErr w:type="spellStart"/>
      <w:r w:rsidRPr="0053335D">
        <w:t>Tombs</w:t>
      </w:r>
      <w:proofErr w:type="spellEnd"/>
      <w:r w:rsidRPr="0053335D">
        <w:t xml:space="preserve">, </w:t>
      </w:r>
      <w:r w:rsidRPr="0053335D">
        <w:rPr>
          <w:i/>
          <w:iCs/>
        </w:rPr>
        <w:t xml:space="preserve">The Crucifixion of </w:t>
      </w:r>
      <w:proofErr w:type="spellStart"/>
      <w:r w:rsidRPr="0053335D">
        <w:rPr>
          <w:i/>
          <w:iCs/>
        </w:rPr>
        <w:t>Jesus</w:t>
      </w:r>
      <w:proofErr w:type="spellEnd"/>
      <w:r w:rsidRPr="0053335D">
        <w:t xml:space="preserve">, </w:t>
      </w:r>
      <w:r w:rsidRPr="0053335D">
        <w:rPr>
          <w:i/>
          <w:iCs/>
        </w:rPr>
        <w:t xml:space="preserve">op. </w:t>
      </w:r>
      <w:proofErr w:type="spellStart"/>
      <w:r w:rsidRPr="0053335D">
        <w:rPr>
          <w:i/>
          <w:iCs/>
        </w:rPr>
        <w:t>cit</w:t>
      </w:r>
      <w:proofErr w:type="spellEnd"/>
      <w:r w:rsidRPr="0053335D">
        <w:rPr>
          <w:i/>
          <w:iCs/>
        </w:rPr>
        <w:t>.</w:t>
      </w:r>
      <w:r w:rsidRPr="0053335D">
        <w:t>, chapitre 2.</w:t>
      </w:r>
    </w:p>
  </w:footnote>
  <w:footnote w:id="164">
    <w:p w14:paraId="421E01CF" w14:textId="52BBD935" w:rsidR="0053661D" w:rsidRPr="0053335D" w:rsidRDefault="0053661D" w:rsidP="0053335D">
      <w:pPr>
        <w:pStyle w:val="Notedebasdepage"/>
        <w:jc w:val="both"/>
      </w:pPr>
      <w:r w:rsidRPr="0053335D">
        <w:rPr>
          <w:rStyle w:val="Appelnotedebasdep"/>
        </w:rPr>
        <w:footnoteRef/>
      </w:r>
      <w:r w:rsidRPr="0053335D">
        <w:t xml:space="preserve"> </w:t>
      </w:r>
      <w:r w:rsidRPr="0053335D">
        <w:t xml:space="preserve">Judith Butler, </w:t>
      </w:r>
      <w:r w:rsidRPr="0053335D">
        <w:rPr>
          <w:i/>
          <w:iCs/>
        </w:rPr>
        <w:t>Trouble dans le genre</w:t>
      </w:r>
      <w:r w:rsidRPr="0053335D">
        <w:t xml:space="preserve">, </w:t>
      </w:r>
      <w:r w:rsidRPr="0053335D">
        <w:rPr>
          <w:i/>
          <w:iCs/>
        </w:rPr>
        <w:t xml:space="preserve">op. </w:t>
      </w:r>
      <w:proofErr w:type="spellStart"/>
      <w:r w:rsidRPr="0053335D">
        <w:rPr>
          <w:i/>
          <w:iCs/>
        </w:rPr>
        <w:t>cit</w:t>
      </w:r>
      <w:proofErr w:type="spellEnd"/>
      <w:r w:rsidRPr="0053335D">
        <w:rPr>
          <w:i/>
          <w:iCs/>
        </w:rPr>
        <w:t>.</w:t>
      </w:r>
      <w:r w:rsidRPr="0053335D">
        <w:t>, p. 46.</w:t>
      </w:r>
    </w:p>
  </w:footnote>
  <w:footnote w:id="165">
    <w:p w14:paraId="393718F0" w14:textId="080282C1" w:rsidR="0053661D" w:rsidRPr="0053335D" w:rsidRDefault="0053661D" w:rsidP="0053335D">
      <w:pPr>
        <w:pStyle w:val="Notedebasdepage"/>
        <w:jc w:val="both"/>
      </w:pPr>
      <w:r w:rsidRPr="0053335D">
        <w:rPr>
          <w:rStyle w:val="Appelnotedebasdep"/>
        </w:rPr>
        <w:footnoteRef/>
      </w:r>
      <w:r w:rsidRPr="0053335D">
        <w:t xml:space="preserve"> </w:t>
      </w:r>
      <w:r w:rsidRPr="0053335D">
        <w:t xml:space="preserve">Judith Butler, </w:t>
      </w:r>
      <w:r w:rsidRPr="0053335D">
        <w:rPr>
          <w:i/>
          <w:iCs/>
        </w:rPr>
        <w:t>Trouble dans le genre</w:t>
      </w:r>
      <w:r w:rsidRPr="0053335D">
        <w:t xml:space="preserve">, </w:t>
      </w:r>
      <w:r w:rsidRPr="0053335D">
        <w:rPr>
          <w:i/>
          <w:iCs/>
        </w:rPr>
        <w:t xml:space="preserve">op. </w:t>
      </w:r>
      <w:proofErr w:type="spellStart"/>
      <w:r w:rsidRPr="0053335D">
        <w:rPr>
          <w:i/>
          <w:iCs/>
        </w:rPr>
        <w:t>cit</w:t>
      </w:r>
      <w:proofErr w:type="spellEnd"/>
      <w:r w:rsidRPr="0053335D">
        <w:rPr>
          <w:i/>
          <w:iCs/>
        </w:rPr>
        <w:t>.</w:t>
      </w:r>
      <w:r w:rsidRPr="0053335D">
        <w:t>, p. 49.</w:t>
      </w:r>
    </w:p>
  </w:footnote>
  <w:footnote w:id="166">
    <w:p w14:paraId="1448F41D" w14:textId="20B3127F" w:rsidR="0053661D" w:rsidRPr="0053335D" w:rsidRDefault="0053661D" w:rsidP="0053335D">
      <w:pPr>
        <w:pStyle w:val="Notedebasdepage"/>
        <w:jc w:val="both"/>
      </w:pPr>
      <w:r w:rsidRPr="0053335D">
        <w:rPr>
          <w:rStyle w:val="Appelnotedebasdep"/>
        </w:rPr>
        <w:footnoteRef/>
      </w:r>
      <w:r w:rsidRPr="0053335D">
        <w:t xml:space="preserve"> </w:t>
      </w:r>
      <w:r w:rsidRPr="0053335D">
        <w:t xml:space="preserve">Judith Butler, </w:t>
      </w:r>
      <w:r w:rsidRPr="0053335D">
        <w:rPr>
          <w:i/>
          <w:iCs/>
        </w:rPr>
        <w:t>Trouble dans le genre</w:t>
      </w:r>
      <w:r w:rsidRPr="0053335D">
        <w:t xml:space="preserve">, </w:t>
      </w:r>
      <w:r w:rsidRPr="0053335D">
        <w:rPr>
          <w:i/>
          <w:iCs/>
        </w:rPr>
        <w:t xml:space="preserve">op. </w:t>
      </w:r>
      <w:proofErr w:type="spellStart"/>
      <w:r w:rsidRPr="0053335D">
        <w:rPr>
          <w:i/>
          <w:iCs/>
        </w:rPr>
        <w:t>cit</w:t>
      </w:r>
      <w:proofErr w:type="spellEnd"/>
      <w:r w:rsidRPr="0053335D">
        <w:rPr>
          <w:i/>
          <w:iCs/>
        </w:rPr>
        <w:t>.</w:t>
      </w:r>
      <w:r w:rsidRPr="0053335D">
        <w:t>, p. 233.</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A1C6BAD"/>
    <w:multiLevelType w:val="hybridMultilevel"/>
    <w:tmpl w:val="0FB6264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16cid:durableId="10883859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4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3358"/>
    <w:rsid w:val="0000308D"/>
    <w:rsid w:val="00011DDF"/>
    <w:rsid w:val="00014EDE"/>
    <w:rsid w:val="000155BA"/>
    <w:rsid w:val="00022545"/>
    <w:rsid w:val="00023D6E"/>
    <w:rsid w:val="00033C5D"/>
    <w:rsid w:val="000453BB"/>
    <w:rsid w:val="00061AEB"/>
    <w:rsid w:val="00067608"/>
    <w:rsid w:val="00084206"/>
    <w:rsid w:val="0008627B"/>
    <w:rsid w:val="000874AB"/>
    <w:rsid w:val="00087E1E"/>
    <w:rsid w:val="000A694B"/>
    <w:rsid w:val="000A77A7"/>
    <w:rsid w:val="000B6B8D"/>
    <w:rsid w:val="000B7999"/>
    <w:rsid w:val="000D373F"/>
    <w:rsid w:val="000D5A88"/>
    <w:rsid w:val="000E19A3"/>
    <w:rsid w:val="000E2611"/>
    <w:rsid w:val="0010759A"/>
    <w:rsid w:val="001152FA"/>
    <w:rsid w:val="00116C39"/>
    <w:rsid w:val="001237FC"/>
    <w:rsid w:val="00123CB9"/>
    <w:rsid w:val="00132F9C"/>
    <w:rsid w:val="0015077B"/>
    <w:rsid w:val="00151014"/>
    <w:rsid w:val="00163C23"/>
    <w:rsid w:val="00166CB2"/>
    <w:rsid w:val="00175F77"/>
    <w:rsid w:val="00182595"/>
    <w:rsid w:val="00190688"/>
    <w:rsid w:val="00197CC3"/>
    <w:rsid w:val="001E3D43"/>
    <w:rsid w:val="001E3F4B"/>
    <w:rsid w:val="001F7F79"/>
    <w:rsid w:val="00206580"/>
    <w:rsid w:val="00210E2E"/>
    <w:rsid w:val="0022596F"/>
    <w:rsid w:val="00227A4D"/>
    <w:rsid w:val="00252DBC"/>
    <w:rsid w:val="00270B47"/>
    <w:rsid w:val="002761F4"/>
    <w:rsid w:val="00285658"/>
    <w:rsid w:val="0028672E"/>
    <w:rsid w:val="00286C1F"/>
    <w:rsid w:val="00292B9A"/>
    <w:rsid w:val="00295C40"/>
    <w:rsid w:val="002A04ED"/>
    <w:rsid w:val="002A1493"/>
    <w:rsid w:val="002A292D"/>
    <w:rsid w:val="002A3F75"/>
    <w:rsid w:val="002A6EF1"/>
    <w:rsid w:val="002E41A8"/>
    <w:rsid w:val="002F1C78"/>
    <w:rsid w:val="002F2434"/>
    <w:rsid w:val="002F33C4"/>
    <w:rsid w:val="003079B8"/>
    <w:rsid w:val="00316FFA"/>
    <w:rsid w:val="0032053A"/>
    <w:rsid w:val="003244DB"/>
    <w:rsid w:val="00340D7F"/>
    <w:rsid w:val="00351C4A"/>
    <w:rsid w:val="00357330"/>
    <w:rsid w:val="00372CDE"/>
    <w:rsid w:val="00383358"/>
    <w:rsid w:val="0038460E"/>
    <w:rsid w:val="00384DF9"/>
    <w:rsid w:val="003A2D0C"/>
    <w:rsid w:val="003A4F77"/>
    <w:rsid w:val="003A6E15"/>
    <w:rsid w:val="003E4E85"/>
    <w:rsid w:val="003F0499"/>
    <w:rsid w:val="00402F0A"/>
    <w:rsid w:val="00412FEF"/>
    <w:rsid w:val="00421355"/>
    <w:rsid w:val="004261BB"/>
    <w:rsid w:val="0042620E"/>
    <w:rsid w:val="004305AC"/>
    <w:rsid w:val="00434C41"/>
    <w:rsid w:val="00434D29"/>
    <w:rsid w:val="00451FE3"/>
    <w:rsid w:val="00470845"/>
    <w:rsid w:val="00473B6A"/>
    <w:rsid w:val="00477501"/>
    <w:rsid w:val="00477677"/>
    <w:rsid w:val="00477A6C"/>
    <w:rsid w:val="00480387"/>
    <w:rsid w:val="004810E2"/>
    <w:rsid w:val="00484900"/>
    <w:rsid w:val="0049402D"/>
    <w:rsid w:val="004A423E"/>
    <w:rsid w:val="004B00E2"/>
    <w:rsid w:val="004C2395"/>
    <w:rsid w:val="004C44DF"/>
    <w:rsid w:val="004D1BD1"/>
    <w:rsid w:val="004D5953"/>
    <w:rsid w:val="004D612C"/>
    <w:rsid w:val="004E2D65"/>
    <w:rsid w:val="004E632B"/>
    <w:rsid w:val="004F3C88"/>
    <w:rsid w:val="00506D72"/>
    <w:rsid w:val="005073E7"/>
    <w:rsid w:val="005204ED"/>
    <w:rsid w:val="0053335D"/>
    <w:rsid w:val="0053661D"/>
    <w:rsid w:val="005432EF"/>
    <w:rsid w:val="00561A14"/>
    <w:rsid w:val="00567414"/>
    <w:rsid w:val="00580F74"/>
    <w:rsid w:val="00592325"/>
    <w:rsid w:val="00593DC8"/>
    <w:rsid w:val="00595157"/>
    <w:rsid w:val="00595C8C"/>
    <w:rsid w:val="005B316A"/>
    <w:rsid w:val="005B54FA"/>
    <w:rsid w:val="005D1F5D"/>
    <w:rsid w:val="005E1D0D"/>
    <w:rsid w:val="005E4B83"/>
    <w:rsid w:val="005E5758"/>
    <w:rsid w:val="005F136A"/>
    <w:rsid w:val="005F6B34"/>
    <w:rsid w:val="006060B0"/>
    <w:rsid w:val="00621DCA"/>
    <w:rsid w:val="00626567"/>
    <w:rsid w:val="0063151D"/>
    <w:rsid w:val="0063398A"/>
    <w:rsid w:val="0065030C"/>
    <w:rsid w:val="006531DD"/>
    <w:rsid w:val="00655918"/>
    <w:rsid w:val="006601F7"/>
    <w:rsid w:val="00671DF4"/>
    <w:rsid w:val="00681C57"/>
    <w:rsid w:val="00692BEE"/>
    <w:rsid w:val="006A4FDC"/>
    <w:rsid w:val="006A70F1"/>
    <w:rsid w:val="006A7278"/>
    <w:rsid w:val="006B4D4D"/>
    <w:rsid w:val="006B542D"/>
    <w:rsid w:val="006B72CF"/>
    <w:rsid w:val="006B7942"/>
    <w:rsid w:val="006E491E"/>
    <w:rsid w:val="00705BEC"/>
    <w:rsid w:val="007202B8"/>
    <w:rsid w:val="007342E7"/>
    <w:rsid w:val="00735B1E"/>
    <w:rsid w:val="0073624B"/>
    <w:rsid w:val="0073793F"/>
    <w:rsid w:val="00745E92"/>
    <w:rsid w:val="007609B9"/>
    <w:rsid w:val="007927D3"/>
    <w:rsid w:val="007A0A69"/>
    <w:rsid w:val="007B07AC"/>
    <w:rsid w:val="007B3F3D"/>
    <w:rsid w:val="007C1C93"/>
    <w:rsid w:val="007C2BE0"/>
    <w:rsid w:val="007C43EE"/>
    <w:rsid w:val="007E7924"/>
    <w:rsid w:val="007E7D1A"/>
    <w:rsid w:val="007F07AA"/>
    <w:rsid w:val="008157B3"/>
    <w:rsid w:val="00817F3C"/>
    <w:rsid w:val="00841A66"/>
    <w:rsid w:val="0085289F"/>
    <w:rsid w:val="008571EF"/>
    <w:rsid w:val="00866D40"/>
    <w:rsid w:val="00871ABB"/>
    <w:rsid w:val="00887297"/>
    <w:rsid w:val="008961B8"/>
    <w:rsid w:val="0089701C"/>
    <w:rsid w:val="008A6252"/>
    <w:rsid w:val="008A6331"/>
    <w:rsid w:val="008D118A"/>
    <w:rsid w:val="008E0661"/>
    <w:rsid w:val="0090333B"/>
    <w:rsid w:val="00924093"/>
    <w:rsid w:val="00946796"/>
    <w:rsid w:val="00961F16"/>
    <w:rsid w:val="00962A6C"/>
    <w:rsid w:val="009775F3"/>
    <w:rsid w:val="009C2D3A"/>
    <w:rsid w:val="009F18DA"/>
    <w:rsid w:val="00A0049B"/>
    <w:rsid w:val="00A12A8E"/>
    <w:rsid w:val="00A13DEA"/>
    <w:rsid w:val="00A13FED"/>
    <w:rsid w:val="00A16399"/>
    <w:rsid w:val="00A21EBC"/>
    <w:rsid w:val="00A30045"/>
    <w:rsid w:val="00A30858"/>
    <w:rsid w:val="00A337EF"/>
    <w:rsid w:val="00A402DD"/>
    <w:rsid w:val="00A406AD"/>
    <w:rsid w:val="00A406FF"/>
    <w:rsid w:val="00A40CF2"/>
    <w:rsid w:val="00A442C4"/>
    <w:rsid w:val="00A508B7"/>
    <w:rsid w:val="00A55BB5"/>
    <w:rsid w:val="00A62DBA"/>
    <w:rsid w:val="00A635B4"/>
    <w:rsid w:val="00A7042D"/>
    <w:rsid w:val="00A81A57"/>
    <w:rsid w:val="00A83473"/>
    <w:rsid w:val="00A94191"/>
    <w:rsid w:val="00A94FD9"/>
    <w:rsid w:val="00AA0AA0"/>
    <w:rsid w:val="00AB325B"/>
    <w:rsid w:val="00AB4C59"/>
    <w:rsid w:val="00AC0978"/>
    <w:rsid w:val="00AC40BB"/>
    <w:rsid w:val="00AC7C96"/>
    <w:rsid w:val="00AD4AE4"/>
    <w:rsid w:val="00B03AC5"/>
    <w:rsid w:val="00B15446"/>
    <w:rsid w:val="00B165D1"/>
    <w:rsid w:val="00B20698"/>
    <w:rsid w:val="00B21F62"/>
    <w:rsid w:val="00B3659A"/>
    <w:rsid w:val="00B4219B"/>
    <w:rsid w:val="00B477DA"/>
    <w:rsid w:val="00B5247F"/>
    <w:rsid w:val="00B57C98"/>
    <w:rsid w:val="00B70AB8"/>
    <w:rsid w:val="00BA5F60"/>
    <w:rsid w:val="00BB6968"/>
    <w:rsid w:val="00BD548B"/>
    <w:rsid w:val="00BD5A11"/>
    <w:rsid w:val="00BF2261"/>
    <w:rsid w:val="00BF5C90"/>
    <w:rsid w:val="00C14714"/>
    <w:rsid w:val="00C23088"/>
    <w:rsid w:val="00C634D2"/>
    <w:rsid w:val="00C66760"/>
    <w:rsid w:val="00C70541"/>
    <w:rsid w:val="00C708D1"/>
    <w:rsid w:val="00C76A93"/>
    <w:rsid w:val="00C80CCB"/>
    <w:rsid w:val="00C819D6"/>
    <w:rsid w:val="00C84B32"/>
    <w:rsid w:val="00C94327"/>
    <w:rsid w:val="00C97609"/>
    <w:rsid w:val="00CA3B24"/>
    <w:rsid w:val="00CA4F9C"/>
    <w:rsid w:val="00CA75E8"/>
    <w:rsid w:val="00CB100D"/>
    <w:rsid w:val="00CC69AC"/>
    <w:rsid w:val="00CD748F"/>
    <w:rsid w:val="00CE0580"/>
    <w:rsid w:val="00CF4469"/>
    <w:rsid w:val="00D058A7"/>
    <w:rsid w:val="00D203E2"/>
    <w:rsid w:val="00D3263D"/>
    <w:rsid w:val="00D32D1C"/>
    <w:rsid w:val="00D330CF"/>
    <w:rsid w:val="00D40EDA"/>
    <w:rsid w:val="00D52C35"/>
    <w:rsid w:val="00D554A8"/>
    <w:rsid w:val="00D61981"/>
    <w:rsid w:val="00D659EF"/>
    <w:rsid w:val="00D66A68"/>
    <w:rsid w:val="00D936D5"/>
    <w:rsid w:val="00DA01E5"/>
    <w:rsid w:val="00DA4BF7"/>
    <w:rsid w:val="00DD40B6"/>
    <w:rsid w:val="00DF23D1"/>
    <w:rsid w:val="00DF29E1"/>
    <w:rsid w:val="00DF39C5"/>
    <w:rsid w:val="00DF5CBD"/>
    <w:rsid w:val="00DF5E8D"/>
    <w:rsid w:val="00E17952"/>
    <w:rsid w:val="00E202BF"/>
    <w:rsid w:val="00E20ABB"/>
    <w:rsid w:val="00E2668B"/>
    <w:rsid w:val="00E30952"/>
    <w:rsid w:val="00E345AE"/>
    <w:rsid w:val="00E35730"/>
    <w:rsid w:val="00E448BF"/>
    <w:rsid w:val="00E453DF"/>
    <w:rsid w:val="00E50D04"/>
    <w:rsid w:val="00E579BF"/>
    <w:rsid w:val="00E60003"/>
    <w:rsid w:val="00E67CF6"/>
    <w:rsid w:val="00E73671"/>
    <w:rsid w:val="00E947D3"/>
    <w:rsid w:val="00EA1AAF"/>
    <w:rsid w:val="00EB60BA"/>
    <w:rsid w:val="00EC2B7B"/>
    <w:rsid w:val="00EE0B1D"/>
    <w:rsid w:val="00EF5605"/>
    <w:rsid w:val="00F07F34"/>
    <w:rsid w:val="00F10CE6"/>
    <w:rsid w:val="00F242B8"/>
    <w:rsid w:val="00F26912"/>
    <w:rsid w:val="00F36C97"/>
    <w:rsid w:val="00F51580"/>
    <w:rsid w:val="00F571E6"/>
    <w:rsid w:val="00F74A84"/>
    <w:rsid w:val="00F95048"/>
    <w:rsid w:val="00FA5E7A"/>
    <w:rsid w:val="00FB696A"/>
    <w:rsid w:val="00FD4334"/>
    <w:rsid w:val="00FE648F"/>
    <w:rsid w:val="00FE6A42"/>
    <w:rsid w:val="00FF3DF8"/>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4:docId w14:val="08BFD7DA"/>
  <w15:chartTrackingRefBased/>
  <w15:docId w15:val="{96D42D01-FE1A-C646-BBEC-E0FE31C238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fr-BE"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D373F"/>
    <w:pPr>
      <w:spacing w:after="0" w:line="240" w:lineRule="auto"/>
    </w:pPr>
    <w:rPr>
      <w:rFonts w:ascii="Times New Roman" w:eastAsia="Times New Roman" w:hAnsi="Times New Roman" w:cs="Times New Roman"/>
      <w:kern w:val="0"/>
      <w:lang w:eastAsia="fr-FR"/>
      <w14:ligatures w14:val="none"/>
    </w:rPr>
  </w:style>
  <w:style w:type="paragraph" w:styleId="Titre1">
    <w:name w:val="heading 1"/>
    <w:basedOn w:val="Normal"/>
    <w:next w:val="Normal"/>
    <w:link w:val="Titre1Car"/>
    <w:uiPriority w:val="9"/>
    <w:qFormat/>
    <w:rsid w:val="0038335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re2">
    <w:name w:val="heading 2"/>
    <w:basedOn w:val="Normal"/>
    <w:next w:val="Normal"/>
    <w:link w:val="Titre2Car"/>
    <w:uiPriority w:val="9"/>
    <w:semiHidden/>
    <w:unhideWhenUsed/>
    <w:qFormat/>
    <w:rsid w:val="0038335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re3">
    <w:name w:val="heading 3"/>
    <w:basedOn w:val="Normal"/>
    <w:next w:val="Normal"/>
    <w:link w:val="Titre3Car"/>
    <w:uiPriority w:val="9"/>
    <w:semiHidden/>
    <w:unhideWhenUsed/>
    <w:qFormat/>
    <w:rsid w:val="00383358"/>
    <w:pPr>
      <w:keepNext/>
      <w:keepLines/>
      <w:spacing w:before="160" w:after="80"/>
      <w:outlineLvl w:val="2"/>
    </w:pPr>
    <w:rPr>
      <w:rFonts w:eastAsiaTheme="majorEastAsia" w:cstheme="majorBidi"/>
      <w:color w:val="0F4761" w:themeColor="accent1" w:themeShade="BF"/>
      <w:sz w:val="28"/>
      <w:szCs w:val="28"/>
    </w:rPr>
  </w:style>
  <w:style w:type="paragraph" w:styleId="Titre4">
    <w:name w:val="heading 4"/>
    <w:basedOn w:val="Normal"/>
    <w:next w:val="Normal"/>
    <w:link w:val="Titre4Car"/>
    <w:uiPriority w:val="9"/>
    <w:semiHidden/>
    <w:unhideWhenUsed/>
    <w:qFormat/>
    <w:rsid w:val="00383358"/>
    <w:pPr>
      <w:keepNext/>
      <w:keepLines/>
      <w:spacing w:before="80" w:after="40"/>
      <w:outlineLvl w:val="3"/>
    </w:pPr>
    <w:rPr>
      <w:rFonts w:eastAsiaTheme="majorEastAsia" w:cstheme="majorBidi"/>
      <w:i/>
      <w:iCs/>
      <w:color w:val="0F4761" w:themeColor="accent1" w:themeShade="BF"/>
    </w:rPr>
  </w:style>
  <w:style w:type="paragraph" w:styleId="Titre5">
    <w:name w:val="heading 5"/>
    <w:basedOn w:val="Normal"/>
    <w:next w:val="Normal"/>
    <w:link w:val="Titre5Car"/>
    <w:uiPriority w:val="9"/>
    <w:semiHidden/>
    <w:unhideWhenUsed/>
    <w:qFormat/>
    <w:rsid w:val="00383358"/>
    <w:pPr>
      <w:keepNext/>
      <w:keepLines/>
      <w:spacing w:before="80" w:after="40"/>
      <w:outlineLvl w:val="4"/>
    </w:pPr>
    <w:rPr>
      <w:rFonts w:eastAsiaTheme="majorEastAsia" w:cstheme="majorBidi"/>
      <w:color w:val="0F4761" w:themeColor="accent1" w:themeShade="BF"/>
    </w:rPr>
  </w:style>
  <w:style w:type="paragraph" w:styleId="Titre6">
    <w:name w:val="heading 6"/>
    <w:basedOn w:val="Normal"/>
    <w:next w:val="Normal"/>
    <w:link w:val="Titre6Car"/>
    <w:uiPriority w:val="9"/>
    <w:semiHidden/>
    <w:unhideWhenUsed/>
    <w:qFormat/>
    <w:rsid w:val="00383358"/>
    <w:pPr>
      <w:keepNext/>
      <w:keepLines/>
      <w:spacing w:before="4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383358"/>
    <w:pPr>
      <w:keepNext/>
      <w:keepLines/>
      <w:spacing w:before="4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383358"/>
    <w:pPr>
      <w:keepNext/>
      <w:keepLines/>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383358"/>
    <w:pPr>
      <w:keepNext/>
      <w:keepLines/>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383358"/>
    <w:rPr>
      <w:rFonts w:asciiTheme="majorHAnsi" w:eastAsiaTheme="majorEastAsia" w:hAnsiTheme="majorHAnsi" w:cstheme="majorBidi"/>
      <w:color w:val="0F4761" w:themeColor="accent1" w:themeShade="BF"/>
      <w:sz w:val="40"/>
      <w:szCs w:val="40"/>
    </w:rPr>
  </w:style>
  <w:style w:type="character" w:customStyle="1" w:styleId="Titre2Car">
    <w:name w:val="Titre 2 Car"/>
    <w:basedOn w:val="Policepardfaut"/>
    <w:link w:val="Titre2"/>
    <w:uiPriority w:val="9"/>
    <w:semiHidden/>
    <w:rsid w:val="00383358"/>
    <w:rPr>
      <w:rFonts w:asciiTheme="majorHAnsi" w:eastAsiaTheme="majorEastAsia" w:hAnsiTheme="majorHAnsi" w:cstheme="majorBidi"/>
      <w:color w:val="0F4761" w:themeColor="accent1" w:themeShade="BF"/>
      <w:sz w:val="32"/>
      <w:szCs w:val="32"/>
    </w:rPr>
  </w:style>
  <w:style w:type="character" w:customStyle="1" w:styleId="Titre3Car">
    <w:name w:val="Titre 3 Car"/>
    <w:basedOn w:val="Policepardfaut"/>
    <w:link w:val="Titre3"/>
    <w:uiPriority w:val="9"/>
    <w:semiHidden/>
    <w:rsid w:val="00383358"/>
    <w:rPr>
      <w:rFonts w:eastAsiaTheme="majorEastAsia" w:cstheme="majorBidi"/>
      <w:color w:val="0F4761" w:themeColor="accent1" w:themeShade="BF"/>
      <w:sz w:val="28"/>
      <w:szCs w:val="28"/>
    </w:rPr>
  </w:style>
  <w:style w:type="character" w:customStyle="1" w:styleId="Titre4Car">
    <w:name w:val="Titre 4 Car"/>
    <w:basedOn w:val="Policepardfaut"/>
    <w:link w:val="Titre4"/>
    <w:uiPriority w:val="9"/>
    <w:semiHidden/>
    <w:rsid w:val="00383358"/>
    <w:rPr>
      <w:rFonts w:eastAsiaTheme="majorEastAsia" w:cstheme="majorBidi"/>
      <w:i/>
      <w:iCs/>
      <w:color w:val="0F4761" w:themeColor="accent1" w:themeShade="BF"/>
    </w:rPr>
  </w:style>
  <w:style w:type="character" w:customStyle="1" w:styleId="Titre5Car">
    <w:name w:val="Titre 5 Car"/>
    <w:basedOn w:val="Policepardfaut"/>
    <w:link w:val="Titre5"/>
    <w:uiPriority w:val="9"/>
    <w:semiHidden/>
    <w:rsid w:val="00383358"/>
    <w:rPr>
      <w:rFonts w:eastAsiaTheme="majorEastAsia" w:cstheme="majorBidi"/>
      <w:color w:val="0F4761" w:themeColor="accent1" w:themeShade="BF"/>
    </w:rPr>
  </w:style>
  <w:style w:type="character" w:customStyle="1" w:styleId="Titre6Car">
    <w:name w:val="Titre 6 Car"/>
    <w:basedOn w:val="Policepardfaut"/>
    <w:link w:val="Titre6"/>
    <w:uiPriority w:val="9"/>
    <w:semiHidden/>
    <w:rsid w:val="00383358"/>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383358"/>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383358"/>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383358"/>
    <w:rPr>
      <w:rFonts w:eastAsiaTheme="majorEastAsia" w:cstheme="majorBidi"/>
      <w:color w:val="272727" w:themeColor="text1" w:themeTint="D8"/>
    </w:rPr>
  </w:style>
  <w:style w:type="paragraph" w:styleId="Titre">
    <w:name w:val="Title"/>
    <w:basedOn w:val="Normal"/>
    <w:next w:val="Normal"/>
    <w:link w:val="TitreCar"/>
    <w:uiPriority w:val="10"/>
    <w:qFormat/>
    <w:rsid w:val="00383358"/>
    <w:pPr>
      <w:spacing w:after="80"/>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383358"/>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383358"/>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383358"/>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383358"/>
    <w:pPr>
      <w:spacing w:before="160"/>
      <w:jc w:val="center"/>
    </w:pPr>
    <w:rPr>
      <w:i/>
      <w:iCs/>
      <w:color w:val="404040" w:themeColor="text1" w:themeTint="BF"/>
    </w:rPr>
  </w:style>
  <w:style w:type="character" w:customStyle="1" w:styleId="CitationCar">
    <w:name w:val="Citation Car"/>
    <w:basedOn w:val="Policepardfaut"/>
    <w:link w:val="Citation"/>
    <w:uiPriority w:val="29"/>
    <w:rsid w:val="00383358"/>
    <w:rPr>
      <w:i/>
      <w:iCs/>
      <w:color w:val="404040" w:themeColor="text1" w:themeTint="BF"/>
    </w:rPr>
  </w:style>
  <w:style w:type="paragraph" w:styleId="Paragraphedeliste">
    <w:name w:val="List Paragraph"/>
    <w:basedOn w:val="Normal"/>
    <w:uiPriority w:val="34"/>
    <w:qFormat/>
    <w:rsid w:val="00383358"/>
    <w:pPr>
      <w:ind w:left="720"/>
      <w:contextualSpacing/>
    </w:pPr>
  </w:style>
  <w:style w:type="character" w:styleId="Accentuationintense">
    <w:name w:val="Intense Emphasis"/>
    <w:basedOn w:val="Policepardfaut"/>
    <w:uiPriority w:val="21"/>
    <w:qFormat/>
    <w:rsid w:val="00383358"/>
    <w:rPr>
      <w:i/>
      <w:iCs/>
      <w:color w:val="0F4761" w:themeColor="accent1" w:themeShade="BF"/>
    </w:rPr>
  </w:style>
  <w:style w:type="paragraph" w:styleId="Citationintense">
    <w:name w:val="Intense Quote"/>
    <w:basedOn w:val="Normal"/>
    <w:next w:val="Normal"/>
    <w:link w:val="CitationintenseCar"/>
    <w:uiPriority w:val="30"/>
    <w:qFormat/>
    <w:rsid w:val="0038335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383358"/>
    <w:rPr>
      <w:i/>
      <w:iCs/>
      <w:color w:val="0F4761" w:themeColor="accent1" w:themeShade="BF"/>
    </w:rPr>
  </w:style>
  <w:style w:type="character" w:styleId="Rfrenceintense">
    <w:name w:val="Intense Reference"/>
    <w:basedOn w:val="Policepardfaut"/>
    <w:uiPriority w:val="32"/>
    <w:qFormat/>
    <w:rsid w:val="00383358"/>
    <w:rPr>
      <w:b/>
      <w:bCs/>
      <w:smallCaps/>
      <w:color w:val="0F4761" w:themeColor="accent1" w:themeShade="BF"/>
      <w:spacing w:val="5"/>
    </w:rPr>
  </w:style>
  <w:style w:type="paragraph" w:styleId="Notedebasdepage">
    <w:name w:val="footnote text"/>
    <w:aliases w:val="Note de bas de page Car Car Car"/>
    <w:basedOn w:val="Normal"/>
    <w:link w:val="NotedebasdepageCar"/>
    <w:uiPriority w:val="99"/>
    <w:unhideWhenUsed/>
    <w:qFormat/>
    <w:rsid w:val="00383358"/>
    <w:rPr>
      <w:sz w:val="20"/>
      <w:szCs w:val="20"/>
    </w:rPr>
  </w:style>
  <w:style w:type="character" w:customStyle="1" w:styleId="NotedebasdepageCar">
    <w:name w:val="Note de bas de page Car"/>
    <w:aliases w:val="Note de bas de page Car Car Car Car"/>
    <w:basedOn w:val="Policepardfaut"/>
    <w:link w:val="Notedebasdepage"/>
    <w:uiPriority w:val="99"/>
    <w:rsid w:val="00383358"/>
    <w:rPr>
      <w:sz w:val="20"/>
      <w:szCs w:val="20"/>
    </w:rPr>
  </w:style>
  <w:style w:type="character" w:styleId="Appelnotedebasdep">
    <w:name w:val="footnote reference"/>
    <w:aliases w:val="Marque note bas de page-RdA"/>
    <w:basedOn w:val="Policepardfaut"/>
    <w:uiPriority w:val="99"/>
    <w:unhideWhenUsed/>
    <w:rsid w:val="00383358"/>
    <w:rPr>
      <w:vertAlign w:val="superscript"/>
    </w:rPr>
  </w:style>
  <w:style w:type="character" w:styleId="Lienhypertexte">
    <w:name w:val="Hyperlink"/>
    <w:basedOn w:val="Policepardfaut"/>
    <w:uiPriority w:val="99"/>
    <w:unhideWhenUsed/>
    <w:rsid w:val="00383358"/>
    <w:rPr>
      <w:color w:val="467886" w:themeColor="hyperlink"/>
      <w:u w:val="single"/>
    </w:rPr>
  </w:style>
  <w:style w:type="character" w:styleId="Mentionnonrsolue">
    <w:name w:val="Unresolved Mention"/>
    <w:basedOn w:val="Policepardfaut"/>
    <w:uiPriority w:val="99"/>
    <w:semiHidden/>
    <w:unhideWhenUsed/>
    <w:rsid w:val="00383358"/>
    <w:rPr>
      <w:color w:val="605E5C"/>
      <w:shd w:val="clear" w:color="auto" w:fill="E1DFDD"/>
    </w:rPr>
  </w:style>
  <w:style w:type="paragraph" w:styleId="NormalWeb">
    <w:name w:val="Normal (Web)"/>
    <w:basedOn w:val="Normal"/>
    <w:uiPriority w:val="99"/>
    <w:semiHidden/>
    <w:unhideWhenUsed/>
    <w:rsid w:val="00E2668B"/>
    <w:pPr>
      <w:spacing w:before="100" w:beforeAutospacing="1" w:after="100" w:afterAutospacing="1"/>
    </w:pPr>
  </w:style>
  <w:style w:type="character" w:styleId="lev">
    <w:name w:val="Strong"/>
    <w:basedOn w:val="Policepardfaut"/>
    <w:uiPriority w:val="22"/>
    <w:qFormat/>
    <w:rsid w:val="00FF3DF8"/>
    <w:rPr>
      <w:b/>
      <w:bCs/>
    </w:rPr>
  </w:style>
  <w:style w:type="character" w:customStyle="1" w:styleId="apple-converted-space">
    <w:name w:val="apple-converted-space"/>
    <w:basedOn w:val="Policepardfaut"/>
    <w:rsid w:val="00FF3DF8"/>
  </w:style>
  <w:style w:type="character" w:styleId="Marquedecommentaire">
    <w:name w:val="annotation reference"/>
    <w:basedOn w:val="Policepardfaut"/>
    <w:uiPriority w:val="99"/>
    <w:semiHidden/>
    <w:unhideWhenUsed/>
    <w:rsid w:val="002F1C78"/>
    <w:rPr>
      <w:sz w:val="16"/>
      <w:szCs w:val="16"/>
    </w:rPr>
  </w:style>
  <w:style w:type="paragraph" w:styleId="Commentaire">
    <w:name w:val="annotation text"/>
    <w:basedOn w:val="Normal"/>
    <w:link w:val="CommentaireCar"/>
    <w:uiPriority w:val="99"/>
    <w:unhideWhenUsed/>
    <w:rsid w:val="002F1C78"/>
    <w:pPr>
      <w:spacing w:after="160"/>
    </w:pPr>
    <w:rPr>
      <w:rFonts w:asciiTheme="minorHAnsi" w:eastAsiaTheme="minorHAnsi" w:hAnsiTheme="minorHAnsi" w:cstheme="minorBidi"/>
      <w:kern w:val="2"/>
      <w:sz w:val="20"/>
      <w:szCs w:val="20"/>
      <w:lang w:eastAsia="en-US"/>
      <w14:ligatures w14:val="standardContextual"/>
    </w:rPr>
  </w:style>
  <w:style w:type="character" w:customStyle="1" w:styleId="CommentaireCar">
    <w:name w:val="Commentaire Car"/>
    <w:basedOn w:val="Policepardfaut"/>
    <w:link w:val="Commentaire"/>
    <w:uiPriority w:val="99"/>
    <w:rsid w:val="002F1C78"/>
    <w:rPr>
      <w:sz w:val="20"/>
      <w:szCs w:val="20"/>
    </w:rPr>
  </w:style>
  <w:style w:type="paragraph" w:customStyle="1" w:styleId="Titredeloeuvre">
    <w:name w:val="Titre de l'oeuvre"/>
    <w:basedOn w:val="Normal"/>
    <w:link w:val="TitredeloeuvreCar"/>
    <w:autoRedefine/>
    <w:qFormat/>
    <w:rsid w:val="00E30952"/>
    <w:pPr>
      <w:spacing w:line="360" w:lineRule="auto"/>
      <w:ind w:firstLine="284"/>
      <w:jc w:val="both"/>
    </w:pPr>
    <w:rPr>
      <w:i/>
      <w:lang w:val="fr-FR"/>
    </w:rPr>
  </w:style>
  <w:style w:type="character" w:customStyle="1" w:styleId="TitredeloeuvreCar">
    <w:name w:val="Titre de l'oeuvre Car"/>
    <w:basedOn w:val="Policepardfaut"/>
    <w:link w:val="Titredeloeuvre"/>
    <w:rsid w:val="00E30952"/>
    <w:rPr>
      <w:rFonts w:ascii="Times New Roman" w:eastAsia="Times New Roman" w:hAnsi="Times New Roman" w:cs="Times New Roman"/>
      <w:i/>
      <w:kern w:val="0"/>
      <w:lang w:val="fr-FR" w:eastAsia="fr-FR"/>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_rels/footnotes.xml.rels><?xml version="1.0" encoding="UTF-8" standalone="yes"?>
<Relationships xmlns="http://schemas.openxmlformats.org/package/2006/relationships"><Relationship Id="rId8" Type="http://schemas.openxmlformats.org/officeDocument/2006/relationships/hyperlink" Target="https://www.sefaria.org/Bereshit_Rabbah.8.2?lang=bi" TargetMode="External"/><Relationship Id="rId3" Type="http://schemas.openxmlformats.org/officeDocument/2006/relationships/hyperlink" Target="https://www.vatican.va/roman_curia/pontifical_councils/justpeace/documents/rc_pc_justpeace_doc_20060526_compendio-dott-soc_fr.html" TargetMode="External"/><Relationship Id="rId7" Type="http://schemas.openxmlformats.org/officeDocument/2006/relationships/hyperlink" Target="https://faculty.georgetown.edu/jod/latinconf/8.html" TargetMode="External"/><Relationship Id="rId2" Type="http://schemas.openxmlformats.org/officeDocument/2006/relationships/hyperlink" Target="https://www.vatican.va/roman_curia/congregations/cfaith/documents/rc_con_cfaith_doc_20040731_collaboration_fr.html" TargetMode="External"/><Relationship Id="rId1" Type="http://schemas.openxmlformats.org/officeDocument/2006/relationships/hyperlink" Target="https://www.lepoint.fr/societe/paris-l-eglise-catholique-desapprouve-une-messe-donnee-par-des-femmes-07-04-2022-2471333_23.php" TargetMode="External"/><Relationship Id="rId6" Type="http://schemas.openxmlformats.org/officeDocument/2006/relationships/hyperlink" Target="https://books.openedition.org/enseditions/4006?lang=fr" TargetMode="External"/><Relationship Id="rId5" Type="http://schemas.openxmlformats.org/officeDocument/2006/relationships/hyperlink" Target="https://www.vousnousils.fr/casden/pdf/id00255.pdf" TargetMode="External"/><Relationship Id="rId4" Type="http://schemas.openxmlformats.org/officeDocument/2006/relationships/hyperlink" Target="http://stella.atilf.fr/Dendien/scripts/tlfiv5/visusel.exe?11;s=3609752715;r=1;nat=;sol=0" TargetMode="External"/><Relationship Id="rId9" Type="http://schemas.openxmlformats.org/officeDocument/2006/relationships/hyperlink" Target="https://dgemc.web.ac-grenoble.fr/sites/default/files/Media/document/quest_ce_quun_auteur_par_michel_foucault.pdf"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19</Pages>
  <Words>7632</Words>
  <Characters>41981</Characters>
  <Application>Microsoft Office Word</Application>
  <DocSecurity>0</DocSecurity>
  <Lines>349</Lines>
  <Paragraphs>99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49514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Antoine Paris</dc:creator>
  <cp:keywords/>
  <dc:description/>
  <cp:lastModifiedBy>Antoine Paris</cp:lastModifiedBy>
  <cp:revision>2</cp:revision>
  <dcterms:created xsi:type="dcterms:W3CDTF">2025-12-30T05:58:00Z</dcterms:created>
  <dcterms:modified xsi:type="dcterms:W3CDTF">2025-12-30T05:58:00Z</dcterms:modified>
</cp:coreProperties>
</file>