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1B11C9" w14:textId="77777777" w:rsidR="0026354F" w:rsidRPr="0026354F" w:rsidRDefault="0026354F" w:rsidP="0026354F">
      <w:pPr>
        <w:shd w:val="clear" w:color="auto" w:fill="FFFFFF"/>
        <w:spacing w:after="150" w:line="480" w:lineRule="atLeast"/>
        <w:jc w:val="both"/>
        <w:textAlignment w:val="baseline"/>
        <w:outlineLvl w:val="0"/>
        <w:rPr>
          <w:rFonts w:ascii="Georgia" w:eastAsia="Times New Roman" w:hAnsi="Georgia" w:cs="Times New Roman"/>
          <w:color w:val="3E3D40"/>
          <w:kern w:val="36"/>
          <w:sz w:val="45"/>
          <w:szCs w:val="45"/>
          <w:lang w:val="en-US" w:eastAsia="fr-BE"/>
        </w:rPr>
      </w:pPr>
      <w:r w:rsidRPr="0026354F">
        <w:rPr>
          <w:rFonts w:ascii="Georgia" w:eastAsia="Times New Roman" w:hAnsi="Georgia" w:cs="Times New Roman"/>
          <w:color w:val="3E3D40"/>
          <w:kern w:val="36"/>
          <w:sz w:val="45"/>
          <w:szCs w:val="45"/>
          <w:lang w:val="en-US" w:eastAsia="fr-BE"/>
        </w:rPr>
        <w:t>The role of Dopamine in Preparatory Inhibition: What can we learn from Parkinson’s disease?</w:t>
      </w:r>
      <w:bookmarkStart w:id="0" w:name="_GoBack"/>
      <w:bookmarkEnd w:id="0"/>
    </w:p>
    <w:p w14:paraId="56861945" w14:textId="77777777" w:rsidR="0026354F" w:rsidRPr="0026354F" w:rsidRDefault="0026354F" w:rsidP="0026354F">
      <w:pPr>
        <w:shd w:val="clear" w:color="auto" w:fill="FFFFFF"/>
        <w:spacing w:after="150" w:line="270" w:lineRule="atLeast"/>
        <w:jc w:val="both"/>
        <w:textAlignment w:val="baseline"/>
        <w:rPr>
          <w:rFonts w:ascii="Trebuchet MS" w:eastAsia="Times New Roman" w:hAnsi="Trebuchet MS" w:cs="Times New Roman"/>
          <w:color w:val="707173"/>
          <w:sz w:val="27"/>
          <w:szCs w:val="27"/>
          <w:lang w:eastAsia="fr-BE"/>
        </w:rPr>
      </w:pPr>
      <w:hyperlink r:id="rId8" w:history="1">
        <w:r w:rsidRPr="0026354F">
          <w:rPr>
            <w:rFonts w:ascii="Trebuchet MS" w:eastAsia="Times New Roman" w:hAnsi="Trebuchet MS" w:cs="Times New Roman"/>
            <w:color w:val="707173"/>
            <w:sz w:val="27"/>
            <w:szCs w:val="27"/>
            <w:u w:val="single"/>
            <w:bdr w:val="none" w:sz="0" w:space="0" w:color="auto" w:frame="1"/>
            <w:lang w:eastAsia="fr-BE"/>
          </w:rPr>
          <w:t>Emmanuelle Wilhelm</w:t>
        </w:r>
      </w:hyperlink>
      <w:r w:rsidRPr="0026354F">
        <w:rPr>
          <w:rFonts w:ascii="Trebuchet MS" w:eastAsia="Times New Roman" w:hAnsi="Trebuchet MS" w:cs="Times New Roman"/>
          <w:color w:val="707173"/>
          <w:sz w:val="18"/>
          <w:szCs w:val="18"/>
          <w:vertAlign w:val="superscript"/>
          <w:lang w:eastAsia="fr-BE"/>
        </w:rPr>
        <w:t>1, 2*</w:t>
      </w:r>
      <w:r w:rsidRPr="0026354F">
        <w:rPr>
          <w:rFonts w:ascii="Trebuchet MS" w:eastAsia="Times New Roman" w:hAnsi="Trebuchet MS" w:cs="Times New Roman"/>
          <w:color w:val="707173"/>
          <w:sz w:val="27"/>
          <w:szCs w:val="27"/>
          <w:lang w:eastAsia="fr-BE"/>
        </w:rPr>
        <w:t>, </w:t>
      </w:r>
      <w:hyperlink r:id="rId9" w:history="1">
        <w:r w:rsidRPr="0026354F">
          <w:rPr>
            <w:rFonts w:ascii="Trebuchet MS" w:eastAsia="Times New Roman" w:hAnsi="Trebuchet MS" w:cs="Times New Roman"/>
            <w:color w:val="707173"/>
            <w:sz w:val="27"/>
            <w:szCs w:val="27"/>
            <w:u w:val="single"/>
            <w:bdr w:val="none" w:sz="0" w:space="0" w:color="auto" w:frame="1"/>
            <w:lang w:eastAsia="fr-BE"/>
          </w:rPr>
          <w:t>Caroline Quoilin</w:t>
        </w:r>
      </w:hyperlink>
      <w:r w:rsidRPr="0026354F">
        <w:rPr>
          <w:rFonts w:ascii="Trebuchet MS" w:eastAsia="Times New Roman" w:hAnsi="Trebuchet MS" w:cs="Times New Roman"/>
          <w:color w:val="707173"/>
          <w:sz w:val="18"/>
          <w:szCs w:val="18"/>
          <w:vertAlign w:val="superscript"/>
          <w:lang w:eastAsia="fr-BE"/>
        </w:rPr>
        <w:t>1</w:t>
      </w:r>
      <w:r w:rsidRPr="0026354F">
        <w:rPr>
          <w:rFonts w:ascii="Trebuchet MS" w:eastAsia="Times New Roman" w:hAnsi="Trebuchet MS" w:cs="Times New Roman"/>
          <w:color w:val="707173"/>
          <w:sz w:val="27"/>
          <w:szCs w:val="27"/>
          <w:lang w:eastAsia="fr-BE"/>
        </w:rPr>
        <w:t>, </w:t>
      </w:r>
      <w:proofErr w:type="spellStart"/>
      <w:r w:rsidRPr="0026354F">
        <w:rPr>
          <w:rFonts w:ascii="Trebuchet MS" w:eastAsia="Times New Roman" w:hAnsi="Trebuchet MS" w:cs="Times New Roman"/>
          <w:color w:val="707173"/>
          <w:sz w:val="27"/>
          <w:szCs w:val="27"/>
          <w:lang w:eastAsia="fr-BE"/>
        </w:rPr>
        <w:fldChar w:fldCharType="begin"/>
      </w:r>
      <w:r w:rsidRPr="0026354F">
        <w:rPr>
          <w:rFonts w:ascii="Trebuchet MS" w:eastAsia="Times New Roman" w:hAnsi="Trebuchet MS" w:cs="Times New Roman"/>
          <w:color w:val="707173"/>
          <w:sz w:val="27"/>
          <w:szCs w:val="27"/>
          <w:lang w:eastAsia="fr-BE"/>
        </w:rPr>
        <w:instrText xml:space="preserve"> HYPERLINK "https://www.frontiersin.org/Community/WhosWhoActivity.aspx?sname=&amp;UID=0" </w:instrText>
      </w:r>
      <w:r w:rsidRPr="0026354F">
        <w:rPr>
          <w:rFonts w:ascii="Trebuchet MS" w:eastAsia="Times New Roman" w:hAnsi="Trebuchet MS" w:cs="Times New Roman"/>
          <w:color w:val="707173"/>
          <w:sz w:val="27"/>
          <w:szCs w:val="27"/>
          <w:lang w:eastAsia="fr-BE"/>
        </w:rPr>
        <w:fldChar w:fldCharType="separate"/>
      </w:r>
      <w:r w:rsidRPr="0026354F">
        <w:rPr>
          <w:rFonts w:ascii="Trebuchet MS" w:eastAsia="Times New Roman" w:hAnsi="Trebuchet MS" w:cs="Times New Roman"/>
          <w:color w:val="707173"/>
          <w:sz w:val="27"/>
          <w:szCs w:val="27"/>
          <w:u w:val="single"/>
          <w:bdr w:val="none" w:sz="0" w:space="0" w:color="auto" w:frame="1"/>
          <w:lang w:eastAsia="fr-BE"/>
        </w:rPr>
        <w:t>Gerard</w:t>
      </w:r>
      <w:proofErr w:type="spellEnd"/>
      <w:r w:rsidRPr="0026354F">
        <w:rPr>
          <w:rFonts w:ascii="Trebuchet MS" w:eastAsia="Times New Roman" w:hAnsi="Trebuchet MS" w:cs="Times New Roman"/>
          <w:color w:val="707173"/>
          <w:sz w:val="27"/>
          <w:szCs w:val="27"/>
          <w:u w:val="single"/>
          <w:bdr w:val="none" w:sz="0" w:space="0" w:color="auto" w:frame="1"/>
          <w:lang w:eastAsia="fr-BE"/>
        </w:rPr>
        <w:t xml:space="preserve"> Derosiere</w:t>
      </w:r>
      <w:r w:rsidRPr="0026354F">
        <w:rPr>
          <w:rFonts w:ascii="Trebuchet MS" w:eastAsia="Times New Roman" w:hAnsi="Trebuchet MS" w:cs="Times New Roman"/>
          <w:color w:val="707173"/>
          <w:sz w:val="27"/>
          <w:szCs w:val="27"/>
          <w:lang w:eastAsia="fr-BE"/>
        </w:rPr>
        <w:fldChar w:fldCharType="end"/>
      </w:r>
      <w:r w:rsidRPr="0026354F">
        <w:rPr>
          <w:rFonts w:ascii="Trebuchet MS" w:eastAsia="Times New Roman" w:hAnsi="Trebuchet MS" w:cs="Times New Roman"/>
          <w:color w:val="707173"/>
          <w:sz w:val="18"/>
          <w:szCs w:val="18"/>
          <w:vertAlign w:val="superscript"/>
          <w:lang w:eastAsia="fr-BE"/>
        </w:rPr>
        <w:t>1</w:t>
      </w:r>
      <w:r w:rsidRPr="0026354F">
        <w:rPr>
          <w:rFonts w:ascii="Trebuchet MS" w:eastAsia="Times New Roman" w:hAnsi="Trebuchet MS" w:cs="Times New Roman"/>
          <w:color w:val="707173"/>
          <w:sz w:val="27"/>
          <w:szCs w:val="27"/>
          <w:lang w:eastAsia="fr-BE"/>
        </w:rPr>
        <w:t>, </w:t>
      </w:r>
      <w:hyperlink r:id="rId10" w:history="1">
        <w:r w:rsidRPr="0026354F">
          <w:rPr>
            <w:rFonts w:ascii="Trebuchet MS" w:eastAsia="Times New Roman" w:hAnsi="Trebuchet MS" w:cs="Times New Roman"/>
            <w:color w:val="707173"/>
            <w:sz w:val="27"/>
            <w:szCs w:val="27"/>
            <w:u w:val="single"/>
            <w:bdr w:val="none" w:sz="0" w:space="0" w:color="auto" w:frame="1"/>
            <w:lang w:eastAsia="fr-BE"/>
          </w:rPr>
          <w:t>Anne Jeanjean</w:t>
        </w:r>
      </w:hyperlink>
      <w:r w:rsidRPr="0026354F">
        <w:rPr>
          <w:rFonts w:ascii="Trebuchet MS" w:eastAsia="Times New Roman" w:hAnsi="Trebuchet MS" w:cs="Times New Roman"/>
          <w:color w:val="707173"/>
          <w:sz w:val="18"/>
          <w:szCs w:val="18"/>
          <w:vertAlign w:val="superscript"/>
          <w:lang w:eastAsia="fr-BE"/>
        </w:rPr>
        <w:t>2, 3</w:t>
      </w:r>
      <w:r w:rsidRPr="0026354F">
        <w:rPr>
          <w:rFonts w:ascii="Trebuchet MS" w:eastAsia="Times New Roman" w:hAnsi="Trebuchet MS" w:cs="Times New Roman"/>
          <w:color w:val="707173"/>
          <w:sz w:val="27"/>
          <w:szCs w:val="27"/>
          <w:lang w:eastAsia="fr-BE"/>
        </w:rPr>
        <w:t> and </w:t>
      </w:r>
      <w:hyperlink r:id="rId11" w:history="1">
        <w:r w:rsidRPr="0026354F">
          <w:rPr>
            <w:rFonts w:ascii="Trebuchet MS" w:eastAsia="Times New Roman" w:hAnsi="Trebuchet MS" w:cs="Times New Roman"/>
            <w:color w:val="707173"/>
            <w:sz w:val="27"/>
            <w:szCs w:val="27"/>
            <w:u w:val="single"/>
            <w:bdr w:val="none" w:sz="0" w:space="0" w:color="auto" w:frame="1"/>
            <w:lang w:eastAsia="fr-BE"/>
          </w:rPr>
          <w:t>Julie Duque</w:t>
        </w:r>
      </w:hyperlink>
      <w:r w:rsidRPr="0026354F">
        <w:rPr>
          <w:rFonts w:ascii="Trebuchet MS" w:eastAsia="Times New Roman" w:hAnsi="Trebuchet MS" w:cs="Times New Roman"/>
          <w:color w:val="707173"/>
          <w:sz w:val="18"/>
          <w:szCs w:val="18"/>
          <w:vertAlign w:val="superscript"/>
          <w:lang w:eastAsia="fr-BE"/>
        </w:rPr>
        <w:t>1</w:t>
      </w:r>
    </w:p>
    <w:p w14:paraId="71845051" w14:textId="77777777" w:rsidR="0026354F" w:rsidRPr="0026354F" w:rsidRDefault="0026354F" w:rsidP="0026354F">
      <w:pPr>
        <w:numPr>
          <w:ilvl w:val="0"/>
          <w:numId w:val="1"/>
        </w:numPr>
        <w:pBdr>
          <w:bottom w:val="single" w:sz="2" w:space="0" w:color="FFFFFF"/>
        </w:pBdr>
        <w:shd w:val="clear" w:color="auto" w:fill="FFFFFF"/>
        <w:spacing w:after="0" w:line="240" w:lineRule="atLeast"/>
        <w:ind w:left="0"/>
        <w:jc w:val="both"/>
        <w:textAlignment w:val="baseline"/>
        <w:rPr>
          <w:rFonts w:ascii="Trebuchet MS" w:eastAsia="Times New Roman" w:hAnsi="Trebuchet MS" w:cs="Times New Roman"/>
          <w:color w:val="707173"/>
          <w:sz w:val="18"/>
          <w:szCs w:val="18"/>
          <w:lang w:eastAsia="fr-BE"/>
        </w:rPr>
      </w:pPr>
      <w:r w:rsidRPr="0026354F">
        <w:rPr>
          <w:rFonts w:ascii="Trebuchet MS" w:eastAsia="Times New Roman" w:hAnsi="Trebuchet MS" w:cs="Times New Roman"/>
          <w:color w:val="707173"/>
          <w:sz w:val="15"/>
          <w:szCs w:val="15"/>
          <w:bdr w:val="none" w:sz="0" w:space="0" w:color="auto" w:frame="1"/>
          <w:vertAlign w:val="superscript"/>
          <w:lang w:eastAsia="fr-BE"/>
        </w:rPr>
        <w:t>1</w:t>
      </w:r>
      <w:r w:rsidRPr="0026354F">
        <w:rPr>
          <w:rFonts w:ascii="Trebuchet MS" w:eastAsia="Times New Roman" w:hAnsi="Trebuchet MS" w:cs="Times New Roman"/>
          <w:color w:val="707173"/>
          <w:sz w:val="18"/>
          <w:szCs w:val="18"/>
          <w:lang w:eastAsia="fr-BE"/>
        </w:rPr>
        <w:t xml:space="preserve"> Institut de Neuroscience, Université Catholique de Louvain, </w:t>
      </w:r>
      <w:proofErr w:type="spellStart"/>
      <w:r w:rsidRPr="0026354F">
        <w:rPr>
          <w:rFonts w:ascii="Trebuchet MS" w:eastAsia="Times New Roman" w:hAnsi="Trebuchet MS" w:cs="Times New Roman"/>
          <w:color w:val="707173"/>
          <w:sz w:val="18"/>
          <w:szCs w:val="18"/>
          <w:lang w:eastAsia="fr-BE"/>
        </w:rPr>
        <w:t>Belgium</w:t>
      </w:r>
      <w:proofErr w:type="spellEnd"/>
    </w:p>
    <w:p w14:paraId="7C0A34F9" w14:textId="77777777" w:rsidR="0026354F" w:rsidRPr="0026354F" w:rsidRDefault="0026354F" w:rsidP="0026354F">
      <w:pPr>
        <w:numPr>
          <w:ilvl w:val="0"/>
          <w:numId w:val="1"/>
        </w:numPr>
        <w:pBdr>
          <w:bottom w:val="single" w:sz="2" w:space="0" w:color="FFFFFF"/>
        </w:pBdr>
        <w:shd w:val="clear" w:color="auto" w:fill="FFFFFF"/>
        <w:spacing w:after="0" w:line="240" w:lineRule="atLeast"/>
        <w:ind w:left="0"/>
        <w:jc w:val="both"/>
        <w:textAlignment w:val="baseline"/>
        <w:rPr>
          <w:rFonts w:ascii="Trebuchet MS" w:eastAsia="Times New Roman" w:hAnsi="Trebuchet MS" w:cs="Times New Roman"/>
          <w:color w:val="707173"/>
          <w:sz w:val="18"/>
          <w:szCs w:val="18"/>
          <w:lang w:eastAsia="fr-BE"/>
        </w:rPr>
      </w:pPr>
      <w:r w:rsidRPr="0026354F">
        <w:rPr>
          <w:rFonts w:ascii="Trebuchet MS" w:eastAsia="Times New Roman" w:hAnsi="Trebuchet MS" w:cs="Times New Roman"/>
          <w:color w:val="707173"/>
          <w:sz w:val="15"/>
          <w:szCs w:val="15"/>
          <w:bdr w:val="none" w:sz="0" w:space="0" w:color="auto" w:frame="1"/>
          <w:vertAlign w:val="superscript"/>
          <w:lang w:eastAsia="fr-BE"/>
        </w:rPr>
        <w:t>2</w:t>
      </w:r>
      <w:r w:rsidRPr="0026354F">
        <w:rPr>
          <w:rFonts w:ascii="Trebuchet MS" w:eastAsia="Times New Roman" w:hAnsi="Trebuchet MS" w:cs="Times New Roman"/>
          <w:color w:val="707173"/>
          <w:sz w:val="18"/>
          <w:szCs w:val="18"/>
          <w:lang w:eastAsia="fr-BE"/>
        </w:rPr>
        <w:t xml:space="preserve"> Cliniques Universitaires Saint-Luc, </w:t>
      </w:r>
      <w:proofErr w:type="spellStart"/>
      <w:r w:rsidRPr="0026354F">
        <w:rPr>
          <w:rFonts w:ascii="Trebuchet MS" w:eastAsia="Times New Roman" w:hAnsi="Trebuchet MS" w:cs="Times New Roman"/>
          <w:color w:val="707173"/>
          <w:sz w:val="18"/>
          <w:szCs w:val="18"/>
          <w:lang w:eastAsia="fr-BE"/>
        </w:rPr>
        <w:t>Belgium</w:t>
      </w:r>
      <w:proofErr w:type="spellEnd"/>
    </w:p>
    <w:p w14:paraId="2E9F36E9" w14:textId="77777777" w:rsidR="0026354F" w:rsidRDefault="0026354F" w:rsidP="0026354F">
      <w:pPr>
        <w:numPr>
          <w:ilvl w:val="0"/>
          <w:numId w:val="1"/>
        </w:numPr>
        <w:pBdr>
          <w:bottom w:val="single" w:sz="2" w:space="0" w:color="FFFFFF"/>
        </w:pBdr>
        <w:shd w:val="clear" w:color="auto" w:fill="FFFFFF"/>
        <w:spacing w:after="0" w:line="240" w:lineRule="atLeast"/>
        <w:ind w:left="0"/>
        <w:jc w:val="both"/>
        <w:textAlignment w:val="baseline"/>
        <w:rPr>
          <w:rFonts w:ascii="Trebuchet MS" w:eastAsia="Times New Roman" w:hAnsi="Trebuchet MS" w:cs="Times New Roman"/>
          <w:color w:val="707173"/>
          <w:sz w:val="18"/>
          <w:szCs w:val="18"/>
          <w:lang w:eastAsia="fr-BE"/>
        </w:rPr>
      </w:pPr>
      <w:r w:rsidRPr="0026354F">
        <w:rPr>
          <w:rFonts w:ascii="Trebuchet MS" w:eastAsia="Times New Roman" w:hAnsi="Trebuchet MS" w:cs="Times New Roman"/>
          <w:color w:val="707173"/>
          <w:sz w:val="15"/>
          <w:szCs w:val="15"/>
          <w:bdr w:val="none" w:sz="0" w:space="0" w:color="auto" w:frame="1"/>
          <w:vertAlign w:val="superscript"/>
          <w:lang w:eastAsia="fr-BE"/>
        </w:rPr>
        <w:t>3</w:t>
      </w:r>
      <w:r w:rsidRPr="0026354F">
        <w:rPr>
          <w:rFonts w:ascii="Trebuchet MS" w:eastAsia="Times New Roman" w:hAnsi="Trebuchet MS" w:cs="Times New Roman"/>
          <w:color w:val="707173"/>
          <w:sz w:val="18"/>
          <w:szCs w:val="18"/>
          <w:lang w:eastAsia="fr-BE"/>
        </w:rPr>
        <w:t xml:space="preserve"> Université Catholique de Louvain, </w:t>
      </w:r>
      <w:proofErr w:type="spellStart"/>
      <w:r w:rsidRPr="0026354F">
        <w:rPr>
          <w:rFonts w:ascii="Trebuchet MS" w:eastAsia="Times New Roman" w:hAnsi="Trebuchet MS" w:cs="Times New Roman"/>
          <w:color w:val="707173"/>
          <w:sz w:val="18"/>
          <w:szCs w:val="18"/>
          <w:lang w:eastAsia="fr-BE"/>
        </w:rPr>
        <w:t>Belgium</w:t>
      </w:r>
      <w:proofErr w:type="spellEnd"/>
    </w:p>
    <w:p w14:paraId="2D0A4543" w14:textId="77777777" w:rsidR="0026354F" w:rsidRPr="0026354F" w:rsidRDefault="0026354F" w:rsidP="0026354F">
      <w:pPr>
        <w:pBdr>
          <w:bottom w:val="single" w:sz="2" w:space="0" w:color="FFFFFF"/>
        </w:pBdr>
        <w:shd w:val="clear" w:color="auto" w:fill="FFFFFF"/>
        <w:spacing w:after="0" w:line="240" w:lineRule="atLeast"/>
        <w:jc w:val="both"/>
        <w:textAlignment w:val="baseline"/>
        <w:rPr>
          <w:rFonts w:ascii="Trebuchet MS" w:eastAsia="Times New Roman" w:hAnsi="Trebuchet MS" w:cs="Times New Roman"/>
          <w:color w:val="707173"/>
          <w:sz w:val="18"/>
          <w:szCs w:val="18"/>
          <w:lang w:eastAsia="fr-BE"/>
        </w:rPr>
      </w:pPr>
    </w:p>
    <w:p w14:paraId="7E0FF327" w14:textId="77777777" w:rsidR="0026354F" w:rsidRPr="0026354F" w:rsidRDefault="0026354F" w:rsidP="0026354F">
      <w:pPr>
        <w:shd w:val="clear" w:color="auto" w:fill="FFFFFF"/>
        <w:spacing w:after="0" w:line="330" w:lineRule="atLeast"/>
        <w:jc w:val="both"/>
        <w:textAlignment w:val="baseline"/>
        <w:rPr>
          <w:rFonts w:ascii="Georgia" w:eastAsia="Times New Roman" w:hAnsi="Georgia" w:cs="Times New Roman"/>
          <w:color w:val="3E3D40"/>
          <w:sz w:val="24"/>
          <w:szCs w:val="24"/>
          <w:lang w:val="en-US" w:eastAsia="fr-BE"/>
        </w:rPr>
      </w:pPr>
      <w:r w:rsidRPr="0026354F">
        <w:rPr>
          <w:rFonts w:ascii="Georgia" w:eastAsia="Times New Roman" w:hAnsi="Georgia" w:cs="Times New Roman"/>
          <w:color w:val="3E3D40"/>
          <w:sz w:val="24"/>
          <w:szCs w:val="24"/>
          <w:bdr w:val="none" w:sz="0" w:space="0" w:color="auto" w:frame="1"/>
          <w:lang w:val="en-US" w:eastAsia="fr-BE"/>
        </w:rPr>
        <w:t xml:space="preserve">Planning, initiating and executing movements correctly is one of the most important requirements to assure a smooth course within our daily lives. To do so, we depend on intact anatomical and functional connections, starting in the frontal cortex and ending in our muscles. This corticospinal tract – also called the “motor output pathway” – allows muscle activity to </w:t>
      </w:r>
      <w:proofErr w:type="gramStart"/>
      <w:r w:rsidRPr="0026354F">
        <w:rPr>
          <w:rFonts w:ascii="Georgia" w:eastAsia="Times New Roman" w:hAnsi="Georgia" w:cs="Times New Roman"/>
          <w:color w:val="3E3D40"/>
          <w:sz w:val="24"/>
          <w:szCs w:val="24"/>
          <w:bdr w:val="none" w:sz="0" w:space="0" w:color="auto" w:frame="1"/>
          <w:lang w:val="en-US" w:eastAsia="fr-BE"/>
        </w:rPr>
        <w:t>be regulated</w:t>
      </w:r>
      <w:proofErr w:type="gramEnd"/>
      <w:r w:rsidRPr="0026354F">
        <w:rPr>
          <w:rFonts w:ascii="Georgia" w:eastAsia="Times New Roman" w:hAnsi="Georgia" w:cs="Times New Roman"/>
          <w:color w:val="3E3D40"/>
          <w:sz w:val="24"/>
          <w:szCs w:val="24"/>
          <w:bdr w:val="none" w:sz="0" w:space="0" w:color="auto" w:frame="1"/>
          <w:lang w:val="en-US" w:eastAsia="fr-BE"/>
        </w:rPr>
        <w:t xml:space="preserve"> in an effective way by central neural structures. This pathway may thus lie at the basis of goal-oriented </w:t>
      </w:r>
      <w:proofErr w:type="spellStart"/>
      <w:r w:rsidRPr="0026354F">
        <w:rPr>
          <w:rFonts w:ascii="Georgia" w:eastAsia="Times New Roman" w:hAnsi="Georgia" w:cs="Times New Roman"/>
          <w:color w:val="3E3D40"/>
          <w:sz w:val="24"/>
          <w:szCs w:val="24"/>
          <w:bdr w:val="none" w:sz="0" w:space="0" w:color="auto" w:frame="1"/>
          <w:lang w:val="en-US" w:eastAsia="fr-BE"/>
        </w:rPr>
        <w:t>behaviour</w:t>
      </w:r>
      <w:proofErr w:type="spellEnd"/>
      <w:r w:rsidRPr="0026354F">
        <w:rPr>
          <w:rFonts w:ascii="Georgia" w:eastAsia="Times New Roman" w:hAnsi="Georgia" w:cs="Times New Roman"/>
          <w:color w:val="3E3D40"/>
          <w:sz w:val="24"/>
          <w:szCs w:val="24"/>
          <w:bdr w:val="none" w:sz="0" w:space="0" w:color="auto" w:frame="1"/>
          <w:lang w:val="en-US" w:eastAsia="fr-BE"/>
        </w:rPr>
        <w:t xml:space="preserve"> by being subject to not only </w:t>
      </w:r>
      <w:proofErr w:type="spellStart"/>
      <w:r w:rsidRPr="0026354F">
        <w:rPr>
          <w:rFonts w:ascii="Georgia" w:eastAsia="Times New Roman" w:hAnsi="Georgia" w:cs="Times New Roman"/>
          <w:color w:val="3E3D40"/>
          <w:sz w:val="24"/>
          <w:szCs w:val="24"/>
          <w:bdr w:val="none" w:sz="0" w:space="0" w:color="auto" w:frame="1"/>
          <w:lang w:val="en-US" w:eastAsia="fr-BE"/>
        </w:rPr>
        <w:t>facilitatory</w:t>
      </w:r>
      <w:proofErr w:type="spellEnd"/>
      <w:r w:rsidRPr="0026354F">
        <w:rPr>
          <w:rFonts w:ascii="Georgia" w:eastAsia="Times New Roman" w:hAnsi="Georgia" w:cs="Times New Roman"/>
          <w:color w:val="3E3D40"/>
          <w:sz w:val="24"/>
          <w:szCs w:val="24"/>
          <w:bdr w:val="none" w:sz="0" w:space="0" w:color="auto" w:frame="1"/>
          <w:lang w:val="en-US" w:eastAsia="fr-BE"/>
        </w:rPr>
        <w:t xml:space="preserve"> but also inhibitory influences, the latter being highly necessary to suppress any tendency towards inappropriate movements. In humans, the excitability of the corticospinal pathway can be investigated non-invasively: By applying single-pulse transcranial magnetic stimulation (TMS) over the primary motor cortex (M1), one can elicit motor-evoked potentials (MEPs) measured by electromyography recorded in targeted contralateral muscles (</w:t>
      </w:r>
      <w:proofErr w:type="spellStart"/>
      <w:r w:rsidRPr="0026354F">
        <w:rPr>
          <w:rFonts w:ascii="Georgia" w:eastAsia="Times New Roman" w:hAnsi="Georgia" w:cs="Times New Roman"/>
          <w:color w:val="3E3D40"/>
          <w:sz w:val="24"/>
          <w:szCs w:val="24"/>
          <w:bdr w:val="none" w:sz="0" w:space="0" w:color="auto" w:frame="1"/>
          <w:lang w:val="en-US" w:eastAsia="fr-BE"/>
        </w:rPr>
        <w:t>Bestmann</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Duque, 2016; </w:t>
      </w:r>
      <w:proofErr w:type="spellStart"/>
      <w:r w:rsidRPr="0026354F">
        <w:rPr>
          <w:rFonts w:ascii="Georgia" w:eastAsia="Times New Roman" w:hAnsi="Georgia" w:cs="Times New Roman"/>
          <w:color w:val="3E3D40"/>
          <w:sz w:val="24"/>
          <w:szCs w:val="24"/>
          <w:bdr w:val="none" w:sz="0" w:space="0" w:color="auto" w:frame="1"/>
          <w:lang w:val="en-US" w:eastAsia="fr-BE"/>
        </w:rPr>
        <w:t>Bestmann</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w:t>
      </w:r>
      <w:proofErr w:type="spellStart"/>
      <w:r w:rsidRPr="0026354F">
        <w:rPr>
          <w:rFonts w:ascii="Georgia" w:eastAsia="Times New Roman" w:hAnsi="Georgia" w:cs="Times New Roman"/>
          <w:color w:val="3E3D40"/>
          <w:sz w:val="24"/>
          <w:szCs w:val="24"/>
          <w:bdr w:val="none" w:sz="0" w:space="0" w:color="auto" w:frame="1"/>
          <w:lang w:val="en-US" w:eastAsia="fr-BE"/>
        </w:rPr>
        <w:t>Krakauer</w:t>
      </w:r>
      <w:proofErr w:type="spellEnd"/>
      <w:r w:rsidRPr="0026354F">
        <w:rPr>
          <w:rFonts w:ascii="Georgia" w:eastAsia="Times New Roman" w:hAnsi="Georgia" w:cs="Times New Roman"/>
          <w:color w:val="3E3D40"/>
          <w:sz w:val="24"/>
          <w:szCs w:val="24"/>
          <w:bdr w:val="none" w:sz="0" w:space="0" w:color="auto" w:frame="1"/>
          <w:lang w:val="en-US" w:eastAsia="fr-BE"/>
        </w:rPr>
        <w:t xml:space="preserve">, 2015). The amplitude of elicited MEPs reflects the sum of all </w:t>
      </w:r>
      <w:proofErr w:type="spellStart"/>
      <w:r w:rsidRPr="0026354F">
        <w:rPr>
          <w:rFonts w:ascii="Georgia" w:eastAsia="Times New Roman" w:hAnsi="Georgia" w:cs="Times New Roman"/>
          <w:color w:val="3E3D40"/>
          <w:sz w:val="24"/>
          <w:szCs w:val="24"/>
          <w:bdr w:val="none" w:sz="0" w:space="0" w:color="auto" w:frame="1"/>
          <w:lang w:val="en-US" w:eastAsia="fr-BE"/>
        </w:rPr>
        <w:t>facilitatory</w:t>
      </w:r>
      <w:proofErr w:type="spellEnd"/>
      <w:r w:rsidRPr="0026354F">
        <w:rPr>
          <w:rFonts w:ascii="Georgia" w:eastAsia="Times New Roman" w:hAnsi="Georgia" w:cs="Times New Roman"/>
          <w:color w:val="3E3D40"/>
          <w:sz w:val="24"/>
          <w:szCs w:val="24"/>
          <w:bdr w:val="none" w:sz="0" w:space="0" w:color="auto" w:frame="1"/>
          <w:lang w:val="en-US" w:eastAsia="fr-BE"/>
        </w:rPr>
        <w:t xml:space="preserve"> and inhibitory inputs acting at the time of the TMS pulse and hence provides temporally precise and muscle-specific measures of the excitability of the motor output pathway (Hannah &amp; Rothwell, 2017; </w:t>
      </w:r>
      <w:proofErr w:type="spellStart"/>
      <w:r w:rsidRPr="0026354F">
        <w:rPr>
          <w:rFonts w:ascii="Georgia" w:eastAsia="Times New Roman" w:hAnsi="Georgia" w:cs="Times New Roman"/>
          <w:color w:val="3E3D40"/>
          <w:sz w:val="24"/>
          <w:szCs w:val="24"/>
          <w:bdr w:val="none" w:sz="0" w:space="0" w:color="auto" w:frame="1"/>
          <w:lang w:val="en-US" w:eastAsia="fr-BE"/>
        </w:rPr>
        <w:t>Niemann</w:t>
      </w:r>
      <w:proofErr w:type="spellEnd"/>
      <w:r w:rsidRPr="0026354F">
        <w:rPr>
          <w:rFonts w:ascii="Georgia" w:eastAsia="Times New Roman" w:hAnsi="Georgia" w:cs="Times New Roman"/>
          <w:color w:val="3E3D40"/>
          <w:sz w:val="24"/>
          <w:szCs w:val="24"/>
          <w:bdr w:val="none" w:sz="0" w:space="0" w:color="auto" w:frame="1"/>
          <w:lang w:val="en-US" w:eastAsia="fr-BE"/>
        </w:rPr>
        <w:t xml:space="preserve">, </w:t>
      </w:r>
      <w:proofErr w:type="spellStart"/>
      <w:r w:rsidRPr="0026354F">
        <w:rPr>
          <w:rFonts w:ascii="Georgia" w:eastAsia="Times New Roman" w:hAnsi="Georgia" w:cs="Times New Roman"/>
          <w:color w:val="3E3D40"/>
          <w:sz w:val="24"/>
          <w:szCs w:val="24"/>
          <w:bdr w:val="none" w:sz="0" w:space="0" w:color="auto" w:frame="1"/>
          <w:lang w:val="en-US" w:eastAsia="fr-BE"/>
        </w:rPr>
        <w:t>Wiegel</w:t>
      </w:r>
      <w:proofErr w:type="spellEnd"/>
      <w:r w:rsidRPr="0026354F">
        <w:rPr>
          <w:rFonts w:ascii="Georgia" w:eastAsia="Times New Roman" w:hAnsi="Georgia" w:cs="Times New Roman"/>
          <w:color w:val="3E3D40"/>
          <w:sz w:val="24"/>
          <w:szCs w:val="24"/>
          <w:bdr w:val="none" w:sz="0" w:space="0" w:color="auto" w:frame="1"/>
          <w:lang w:val="en-US" w:eastAsia="fr-BE"/>
        </w:rPr>
        <w:t xml:space="preserve">, </w:t>
      </w:r>
      <w:proofErr w:type="spellStart"/>
      <w:r w:rsidRPr="0026354F">
        <w:rPr>
          <w:rFonts w:ascii="Georgia" w:eastAsia="Times New Roman" w:hAnsi="Georgia" w:cs="Times New Roman"/>
          <w:color w:val="3E3D40"/>
          <w:sz w:val="24"/>
          <w:szCs w:val="24"/>
          <w:bdr w:val="none" w:sz="0" w:space="0" w:color="auto" w:frame="1"/>
          <w:lang w:val="en-US" w:eastAsia="fr-BE"/>
        </w:rPr>
        <w:t>Kurz</w:t>
      </w:r>
      <w:proofErr w:type="spellEnd"/>
      <w:r w:rsidRPr="0026354F">
        <w:rPr>
          <w:rFonts w:ascii="Georgia" w:eastAsia="Times New Roman" w:hAnsi="Georgia" w:cs="Times New Roman"/>
          <w:color w:val="3E3D40"/>
          <w:sz w:val="24"/>
          <w:szCs w:val="24"/>
          <w:bdr w:val="none" w:sz="0" w:space="0" w:color="auto" w:frame="1"/>
          <w:lang w:val="en-US" w:eastAsia="fr-BE"/>
        </w:rPr>
        <w:t xml:space="preserve">, Rothwell, &amp; </w:t>
      </w:r>
      <w:proofErr w:type="spellStart"/>
      <w:r w:rsidRPr="0026354F">
        <w:rPr>
          <w:rFonts w:ascii="Georgia" w:eastAsia="Times New Roman" w:hAnsi="Georgia" w:cs="Times New Roman"/>
          <w:color w:val="3E3D40"/>
          <w:sz w:val="24"/>
          <w:szCs w:val="24"/>
          <w:bdr w:val="none" w:sz="0" w:space="0" w:color="auto" w:frame="1"/>
          <w:lang w:val="en-US" w:eastAsia="fr-BE"/>
        </w:rPr>
        <w:t>Leukel</w:t>
      </w:r>
      <w:proofErr w:type="spellEnd"/>
      <w:r w:rsidRPr="0026354F">
        <w:rPr>
          <w:rFonts w:ascii="Georgia" w:eastAsia="Times New Roman" w:hAnsi="Georgia" w:cs="Times New Roman"/>
          <w:color w:val="3E3D40"/>
          <w:sz w:val="24"/>
          <w:szCs w:val="24"/>
          <w:bdr w:val="none" w:sz="0" w:space="0" w:color="auto" w:frame="1"/>
          <w:lang w:val="en-US" w:eastAsia="fr-BE"/>
        </w:rPr>
        <w:t xml:space="preserve">, 2018). Over the last years, TMS studies have revealed the existence of a profound suppression of corticospinal excitability when preparing a voluntary movement: when MEPs </w:t>
      </w:r>
      <w:proofErr w:type="gramStart"/>
      <w:r w:rsidRPr="0026354F">
        <w:rPr>
          <w:rFonts w:ascii="Georgia" w:eastAsia="Times New Roman" w:hAnsi="Georgia" w:cs="Times New Roman"/>
          <w:color w:val="3E3D40"/>
          <w:sz w:val="24"/>
          <w:szCs w:val="24"/>
          <w:bdr w:val="none" w:sz="0" w:space="0" w:color="auto" w:frame="1"/>
          <w:lang w:val="en-US" w:eastAsia="fr-BE"/>
        </w:rPr>
        <w:t>are elicited</w:t>
      </w:r>
      <w:proofErr w:type="gramEnd"/>
      <w:r w:rsidRPr="0026354F">
        <w:rPr>
          <w:rFonts w:ascii="Georgia" w:eastAsia="Times New Roman" w:hAnsi="Georgia" w:cs="Times New Roman"/>
          <w:color w:val="3E3D40"/>
          <w:sz w:val="24"/>
          <w:szCs w:val="24"/>
          <w:bdr w:val="none" w:sz="0" w:space="0" w:color="auto" w:frame="1"/>
          <w:lang w:val="en-US" w:eastAsia="fr-BE"/>
        </w:rPr>
        <w:t xml:space="preserve"> during action preparation, their amplitude is lower than when elicited at rest (</w:t>
      </w:r>
      <w:proofErr w:type="spellStart"/>
      <w:r w:rsidRPr="0026354F">
        <w:rPr>
          <w:rFonts w:ascii="Georgia" w:eastAsia="Times New Roman" w:hAnsi="Georgia" w:cs="Times New Roman"/>
          <w:color w:val="3E3D40"/>
          <w:sz w:val="24"/>
          <w:szCs w:val="24"/>
          <w:bdr w:val="none" w:sz="0" w:space="0" w:color="auto" w:frame="1"/>
          <w:lang w:val="en-US" w:eastAsia="fr-BE"/>
        </w:rPr>
        <w:t>Bestmann</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Duque, 2016; Duque, Greenhouse, </w:t>
      </w:r>
      <w:proofErr w:type="spellStart"/>
      <w:r w:rsidRPr="0026354F">
        <w:rPr>
          <w:rFonts w:ascii="Georgia" w:eastAsia="Times New Roman" w:hAnsi="Georgia" w:cs="Times New Roman"/>
          <w:color w:val="3E3D40"/>
          <w:sz w:val="24"/>
          <w:szCs w:val="24"/>
          <w:bdr w:val="none" w:sz="0" w:space="0" w:color="auto" w:frame="1"/>
          <w:lang w:val="en-US" w:eastAsia="fr-BE"/>
        </w:rPr>
        <w:t>Labruna</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w:t>
      </w:r>
      <w:proofErr w:type="spellStart"/>
      <w:r w:rsidRPr="0026354F">
        <w:rPr>
          <w:rFonts w:ascii="Georgia" w:eastAsia="Times New Roman" w:hAnsi="Georgia" w:cs="Times New Roman"/>
          <w:color w:val="3E3D40"/>
          <w:sz w:val="24"/>
          <w:szCs w:val="24"/>
          <w:bdr w:val="none" w:sz="0" w:space="0" w:color="auto" w:frame="1"/>
          <w:lang w:val="en-US" w:eastAsia="fr-BE"/>
        </w:rPr>
        <w:t>Ivry</w:t>
      </w:r>
      <w:proofErr w:type="spellEnd"/>
      <w:r w:rsidRPr="0026354F">
        <w:rPr>
          <w:rFonts w:ascii="Georgia" w:eastAsia="Times New Roman" w:hAnsi="Georgia" w:cs="Times New Roman"/>
          <w:color w:val="3E3D40"/>
          <w:sz w:val="24"/>
          <w:szCs w:val="24"/>
          <w:bdr w:val="none" w:sz="0" w:space="0" w:color="auto" w:frame="1"/>
          <w:lang w:val="en-US" w:eastAsia="fr-BE"/>
        </w:rPr>
        <w:t xml:space="preserve">, 2017; Duque, Lew, </w:t>
      </w:r>
      <w:proofErr w:type="spellStart"/>
      <w:r w:rsidRPr="0026354F">
        <w:rPr>
          <w:rFonts w:ascii="Georgia" w:eastAsia="Times New Roman" w:hAnsi="Georgia" w:cs="Times New Roman"/>
          <w:color w:val="3E3D40"/>
          <w:sz w:val="24"/>
          <w:szCs w:val="24"/>
          <w:bdr w:val="none" w:sz="0" w:space="0" w:color="auto" w:frame="1"/>
          <w:lang w:val="en-US" w:eastAsia="fr-BE"/>
        </w:rPr>
        <w:t>Mazzocchio</w:t>
      </w:r>
      <w:proofErr w:type="spellEnd"/>
      <w:r w:rsidRPr="0026354F">
        <w:rPr>
          <w:rFonts w:ascii="Georgia" w:eastAsia="Times New Roman" w:hAnsi="Georgia" w:cs="Times New Roman"/>
          <w:color w:val="3E3D40"/>
          <w:sz w:val="24"/>
          <w:szCs w:val="24"/>
          <w:bdr w:val="none" w:sz="0" w:space="0" w:color="auto" w:frame="1"/>
          <w:lang w:val="en-US" w:eastAsia="fr-BE"/>
        </w:rPr>
        <w:t xml:space="preserve">, Olivier, &amp; </w:t>
      </w:r>
      <w:proofErr w:type="spellStart"/>
      <w:r w:rsidRPr="0026354F">
        <w:rPr>
          <w:rFonts w:ascii="Georgia" w:eastAsia="Times New Roman" w:hAnsi="Georgia" w:cs="Times New Roman"/>
          <w:color w:val="3E3D40"/>
          <w:sz w:val="24"/>
          <w:szCs w:val="24"/>
          <w:bdr w:val="none" w:sz="0" w:space="0" w:color="auto" w:frame="1"/>
          <w:lang w:val="en-US" w:eastAsia="fr-BE"/>
        </w:rPr>
        <w:t>Ivry</w:t>
      </w:r>
      <w:proofErr w:type="spellEnd"/>
      <w:r w:rsidRPr="0026354F">
        <w:rPr>
          <w:rFonts w:ascii="Georgia" w:eastAsia="Times New Roman" w:hAnsi="Georgia" w:cs="Times New Roman"/>
          <w:color w:val="3E3D40"/>
          <w:sz w:val="24"/>
          <w:szCs w:val="24"/>
          <w:bdr w:val="none" w:sz="0" w:space="0" w:color="auto" w:frame="1"/>
          <w:lang w:val="en-US" w:eastAsia="fr-BE"/>
        </w:rPr>
        <w:t xml:space="preserve">, 2010). This phenomenon – called “preparatory inhibition” – still remains a matter of investigation and debate: neither its functional role as part of action preparation nor the neural structures at its basis </w:t>
      </w:r>
      <w:proofErr w:type="gramStart"/>
      <w:r w:rsidRPr="0026354F">
        <w:rPr>
          <w:rFonts w:ascii="Georgia" w:eastAsia="Times New Roman" w:hAnsi="Georgia" w:cs="Times New Roman"/>
          <w:color w:val="3E3D40"/>
          <w:sz w:val="24"/>
          <w:szCs w:val="24"/>
          <w:bdr w:val="none" w:sz="0" w:space="0" w:color="auto" w:frame="1"/>
          <w:lang w:val="en-US" w:eastAsia="fr-BE"/>
        </w:rPr>
        <w:t>have been clearly elucidated</w:t>
      </w:r>
      <w:proofErr w:type="gramEnd"/>
      <w:r w:rsidRPr="0026354F">
        <w:rPr>
          <w:rFonts w:ascii="Georgia" w:eastAsia="Times New Roman" w:hAnsi="Georgia" w:cs="Times New Roman"/>
          <w:color w:val="3E3D40"/>
          <w:sz w:val="24"/>
          <w:szCs w:val="24"/>
          <w:bdr w:val="none" w:sz="0" w:space="0" w:color="auto" w:frame="1"/>
          <w:lang w:val="en-US" w:eastAsia="fr-BE"/>
        </w:rPr>
        <w:t xml:space="preserve"> yet. Although some cortical regions have already been shown to play a role in preparatory inhibition (</w:t>
      </w:r>
      <w:proofErr w:type="spellStart"/>
      <w:r w:rsidRPr="0026354F">
        <w:rPr>
          <w:rFonts w:ascii="Georgia" w:eastAsia="Times New Roman" w:hAnsi="Georgia" w:cs="Times New Roman"/>
          <w:color w:val="3E3D40"/>
          <w:sz w:val="24"/>
          <w:szCs w:val="24"/>
          <w:bdr w:val="none" w:sz="0" w:space="0" w:color="auto" w:frame="1"/>
          <w:lang w:val="en-US" w:eastAsia="fr-BE"/>
        </w:rPr>
        <w:t>Badre</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w:t>
      </w:r>
      <w:proofErr w:type="spellStart"/>
      <w:r w:rsidRPr="0026354F">
        <w:rPr>
          <w:rFonts w:ascii="Georgia" w:eastAsia="Times New Roman" w:hAnsi="Georgia" w:cs="Times New Roman"/>
          <w:color w:val="3E3D40"/>
          <w:sz w:val="24"/>
          <w:szCs w:val="24"/>
          <w:bdr w:val="none" w:sz="0" w:space="0" w:color="auto" w:frame="1"/>
          <w:lang w:val="en-US" w:eastAsia="fr-BE"/>
        </w:rPr>
        <w:t>D'Esposito</w:t>
      </w:r>
      <w:proofErr w:type="spellEnd"/>
      <w:r w:rsidRPr="0026354F">
        <w:rPr>
          <w:rFonts w:ascii="Georgia" w:eastAsia="Times New Roman" w:hAnsi="Georgia" w:cs="Times New Roman"/>
          <w:color w:val="3E3D40"/>
          <w:sz w:val="24"/>
          <w:szCs w:val="24"/>
          <w:bdr w:val="none" w:sz="0" w:space="0" w:color="auto" w:frame="1"/>
          <w:lang w:val="en-US" w:eastAsia="fr-BE"/>
        </w:rPr>
        <w:t xml:space="preserve">, 2009; Duque, </w:t>
      </w:r>
      <w:proofErr w:type="spellStart"/>
      <w:r w:rsidRPr="0026354F">
        <w:rPr>
          <w:rFonts w:ascii="Georgia" w:eastAsia="Times New Roman" w:hAnsi="Georgia" w:cs="Times New Roman"/>
          <w:color w:val="3E3D40"/>
          <w:sz w:val="24"/>
          <w:szCs w:val="24"/>
          <w:bdr w:val="none" w:sz="0" w:space="0" w:color="auto" w:frame="1"/>
          <w:lang w:val="en-US" w:eastAsia="fr-BE"/>
        </w:rPr>
        <w:t>Labruna</w:t>
      </w:r>
      <w:proofErr w:type="spellEnd"/>
      <w:r w:rsidRPr="0026354F">
        <w:rPr>
          <w:rFonts w:ascii="Georgia" w:eastAsia="Times New Roman" w:hAnsi="Georgia" w:cs="Times New Roman"/>
          <w:color w:val="3E3D40"/>
          <w:sz w:val="24"/>
          <w:szCs w:val="24"/>
          <w:bdr w:val="none" w:sz="0" w:space="0" w:color="auto" w:frame="1"/>
          <w:lang w:val="en-US" w:eastAsia="fr-BE"/>
        </w:rPr>
        <w:t xml:space="preserve">, </w:t>
      </w:r>
      <w:proofErr w:type="spellStart"/>
      <w:r w:rsidRPr="0026354F">
        <w:rPr>
          <w:rFonts w:ascii="Georgia" w:eastAsia="Times New Roman" w:hAnsi="Georgia" w:cs="Times New Roman"/>
          <w:color w:val="3E3D40"/>
          <w:sz w:val="24"/>
          <w:szCs w:val="24"/>
          <w:bdr w:val="none" w:sz="0" w:space="0" w:color="auto" w:frame="1"/>
          <w:lang w:val="en-US" w:eastAsia="fr-BE"/>
        </w:rPr>
        <w:t>Verset</w:t>
      </w:r>
      <w:proofErr w:type="spellEnd"/>
      <w:r w:rsidRPr="0026354F">
        <w:rPr>
          <w:rFonts w:ascii="Georgia" w:eastAsia="Times New Roman" w:hAnsi="Georgia" w:cs="Times New Roman"/>
          <w:color w:val="3E3D40"/>
          <w:sz w:val="24"/>
          <w:szCs w:val="24"/>
          <w:bdr w:val="none" w:sz="0" w:space="0" w:color="auto" w:frame="1"/>
          <w:lang w:val="en-US" w:eastAsia="fr-BE"/>
        </w:rPr>
        <w:t xml:space="preserve">, Olivier, &amp; </w:t>
      </w:r>
      <w:proofErr w:type="spellStart"/>
      <w:r w:rsidRPr="0026354F">
        <w:rPr>
          <w:rFonts w:ascii="Georgia" w:eastAsia="Times New Roman" w:hAnsi="Georgia" w:cs="Times New Roman"/>
          <w:color w:val="3E3D40"/>
          <w:sz w:val="24"/>
          <w:szCs w:val="24"/>
          <w:bdr w:val="none" w:sz="0" w:space="0" w:color="auto" w:frame="1"/>
          <w:lang w:val="en-US" w:eastAsia="fr-BE"/>
        </w:rPr>
        <w:t>Ivry</w:t>
      </w:r>
      <w:proofErr w:type="spellEnd"/>
      <w:r w:rsidRPr="0026354F">
        <w:rPr>
          <w:rFonts w:ascii="Georgia" w:eastAsia="Times New Roman" w:hAnsi="Georgia" w:cs="Times New Roman"/>
          <w:color w:val="3E3D40"/>
          <w:sz w:val="24"/>
          <w:szCs w:val="24"/>
          <w:bdr w:val="none" w:sz="0" w:space="0" w:color="auto" w:frame="1"/>
          <w:lang w:val="en-US" w:eastAsia="fr-BE"/>
        </w:rPr>
        <w:t xml:space="preserve">, 2012; Duque, Olivier, &amp; Rushworth, 2013; </w:t>
      </w:r>
      <w:proofErr w:type="spellStart"/>
      <w:r w:rsidRPr="0026354F">
        <w:rPr>
          <w:rFonts w:ascii="Georgia" w:eastAsia="Times New Roman" w:hAnsi="Georgia" w:cs="Times New Roman"/>
          <w:color w:val="3E3D40"/>
          <w:sz w:val="24"/>
          <w:szCs w:val="24"/>
          <w:bdr w:val="none" w:sz="0" w:space="0" w:color="auto" w:frame="1"/>
          <w:lang w:val="en-US" w:eastAsia="fr-BE"/>
        </w:rPr>
        <w:t>Ebbesen</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Brecht, 2017; </w:t>
      </w:r>
      <w:proofErr w:type="spellStart"/>
      <w:r w:rsidRPr="0026354F">
        <w:rPr>
          <w:rFonts w:ascii="Georgia" w:eastAsia="Times New Roman" w:hAnsi="Georgia" w:cs="Times New Roman"/>
          <w:color w:val="3E3D40"/>
          <w:sz w:val="24"/>
          <w:szCs w:val="24"/>
          <w:bdr w:val="none" w:sz="0" w:space="0" w:color="auto" w:frame="1"/>
          <w:lang w:val="en-US" w:eastAsia="fr-BE"/>
        </w:rPr>
        <w:t>Filevich</w:t>
      </w:r>
      <w:proofErr w:type="spellEnd"/>
      <w:r w:rsidRPr="0026354F">
        <w:rPr>
          <w:rFonts w:ascii="Georgia" w:eastAsia="Times New Roman" w:hAnsi="Georgia" w:cs="Times New Roman"/>
          <w:color w:val="3E3D40"/>
          <w:sz w:val="24"/>
          <w:szCs w:val="24"/>
          <w:bdr w:val="none" w:sz="0" w:space="0" w:color="auto" w:frame="1"/>
          <w:lang w:val="en-US" w:eastAsia="fr-BE"/>
        </w:rPr>
        <w:t xml:space="preserve">, Kuhn, &amp; Haggard, 2012; Mars et al., 2009; </w:t>
      </w:r>
      <w:proofErr w:type="spellStart"/>
      <w:r w:rsidRPr="0026354F">
        <w:rPr>
          <w:rFonts w:ascii="Georgia" w:eastAsia="Times New Roman" w:hAnsi="Georgia" w:cs="Times New Roman"/>
          <w:color w:val="3E3D40"/>
          <w:sz w:val="24"/>
          <w:szCs w:val="24"/>
          <w:bdr w:val="none" w:sz="0" w:space="0" w:color="auto" w:frame="1"/>
          <w:lang w:val="en-US" w:eastAsia="fr-BE"/>
        </w:rPr>
        <w:t>Tanji</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Hoshi, 2008), the knowledge about the brain regions implicated in this phenomenon remains quite limited. Among other potential structures contributing to corticospinal inhibition during action preparation, interesting candidates are the basal ganglia (BG). Indeed, these subcortical structures </w:t>
      </w:r>
      <w:proofErr w:type="gramStart"/>
      <w:r w:rsidRPr="0026354F">
        <w:rPr>
          <w:rFonts w:ascii="Georgia" w:eastAsia="Times New Roman" w:hAnsi="Georgia" w:cs="Times New Roman"/>
          <w:color w:val="3E3D40"/>
          <w:sz w:val="24"/>
          <w:szCs w:val="24"/>
          <w:bdr w:val="none" w:sz="0" w:space="0" w:color="auto" w:frame="1"/>
          <w:lang w:val="en-US" w:eastAsia="fr-BE"/>
        </w:rPr>
        <w:t>are known</w:t>
      </w:r>
      <w:proofErr w:type="gramEnd"/>
      <w:r w:rsidRPr="0026354F">
        <w:rPr>
          <w:rFonts w:ascii="Georgia" w:eastAsia="Times New Roman" w:hAnsi="Georgia" w:cs="Times New Roman"/>
          <w:color w:val="3E3D40"/>
          <w:sz w:val="24"/>
          <w:szCs w:val="24"/>
          <w:bdr w:val="none" w:sz="0" w:space="0" w:color="auto" w:frame="1"/>
          <w:lang w:val="en-US" w:eastAsia="fr-BE"/>
        </w:rPr>
        <w:t xml:space="preserve"> to be able to inhibit the motor system via their action on the motor part of the thalamus (Parent &amp; </w:t>
      </w:r>
      <w:proofErr w:type="spellStart"/>
      <w:r w:rsidRPr="0026354F">
        <w:rPr>
          <w:rFonts w:ascii="Georgia" w:eastAsia="Times New Roman" w:hAnsi="Georgia" w:cs="Times New Roman"/>
          <w:color w:val="3E3D40"/>
          <w:sz w:val="24"/>
          <w:szCs w:val="24"/>
          <w:bdr w:val="none" w:sz="0" w:space="0" w:color="auto" w:frame="1"/>
          <w:lang w:val="en-US" w:eastAsia="fr-BE"/>
        </w:rPr>
        <w:t>Hazrati</w:t>
      </w:r>
      <w:proofErr w:type="spellEnd"/>
      <w:r w:rsidRPr="0026354F">
        <w:rPr>
          <w:rFonts w:ascii="Georgia" w:eastAsia="Times New Roman" w:hAnsi="Georgia" w:cs="Times New Roman"/>
          <w:color w:val="3E3D40"/>
          <w:sz w:val="24"/>
          <w:szCs w:val="24"/>
          <w:bdr w:val="none" w:sz="0" w:space="0" w:color="auto" w:frame="1"/>
          <w:lang w:val="en-US" w:eastAsia="fr-BE"/>
        </w:rPr>
        <w:t xml:space="preserve">, 1995a, 1995b; Wessel &amp; Aron, 2017). Furthermore, </w:t>
      </w:r>
      <w:r w:rsidRPr="0026354F">
        <w:rPr>
          <w:rFonts w:ascii="Georgia" w:eastAsia="Times New Roman" w:hAnsi="Georgia" w:cs="Times New Roman"/>
          <w:color w:val="3E3D40"/>
          <w:sz w:val="24"/>
          <w:szCs w:val="24"/>
          <w:bdr w:val="none" w:sz="0" w:space="0" w:color="auto" w:frame="1"/>
          <w:lang w:val="en-US" w:eastAsia="fr-BE"/>
        </w:rPr>
        <w:lastRenderedPageBreak/>
        <w:t>they are known to be dysfunctional in hypokinetic disorders (</w:t>
      </w:r>
      <w:proofErr w:type="spellStart"/>
      <w:r w:rsidRPr="0026354F">
        <w:rPr>
          <w:rFonts w:ascii="Georgia" w:eastAsia="Times New Roman" w:hAnsi="Georgia" w:cs="Times New Roman"/>
          <w:color w:val="3E3D40"/>
          <w:sz w:val="24"/>
          <w:szCs w:val="24"/>
          <w:bdr w:val="none" w:sz="0" w:space="0" w:color="auto" w:frame="1"/>
          <w:lang w:val="en-US" w:eastAsia="fr-BE"/>
        </w:rPr>
        <w:t>characterised</w:t>
      </w:r>
      <w:proofErr w:type="spellEnd"/>
      <w:r w:rsidRPr="0026354F">
        <w:rPr>
          <w:rFonts w:ascii="Georgia" w:eastAsia="Times New Roman" w:hAnsi="Georgia" w:cs="Times New Roman"/>
          <w:color w:val="3E3D40"/>
          <w:sz w:val="24"/>
          <w:szCs w:val="24"/>
          <w:bdr w:val="none" w:sz="0" w:space="0" w:color="auto" w:frame="1"/>
          <w:lang w:val="en-US" w:eastAsia="fr-BE"/>
        </w:rPr>
        <w:t xml:space="preserve"> by insufficient movement) (</w:t>
      </w:r>
      <w:proofErr w:type="spellStart"/>
      <w:r w:rsidRPr="0026354F">
        <w:rPr>
          <w:rFonts w:ascii="Georgia" w:eastAsia="Times New Roman" w:hAnsi="Georgia" w:cs="Times New Roman"/>
          <w:color w:val="3E3D40"/>
          <w:sz w:val="24"/>
          <w:szCs w:val="24"/>
          <w:bdr w:val="none" w:sz="0" w:space="0" w:color="auto" w:frame="1"/>
          <w:lang w:val="en-US" w:eastAsia="fr-BE"/>
        </w:rPr>
        <w:t>Jahanshahi</w:t>
      </w:r>
      <w:proofErr w:type="spellEnd"/>
      <w:r w:rsidRPr="0026354F">
        <w:rPr>
          <w:rFonts w:ascii="Georgia" w:eastAsia="Times New Roman" w:hAnsi="Georgia" w:cs="Times New Roman"/>
          <w:color w:val="3E3D40"/>
          <w:sz w:val="24"/>
          <w:szCs w:val="24"/>
          <w:bdr w:val="none" w:sz="0" w:space="0" w:color="auto" w:frame="1"/>
          <w:lang w:val="en-US" w:eastAsia="fr-BE"/>
        </w:rPr>
        <w:t xml:space="preserve">, </w:t>
      </w:r>
      <w:proofErr w:type="spellStart"/>
      <w:r w:rsidRPr="0026354F">
        <w:rPr>
          <w:rFonts w:ascii="Georgia" w:eastAsia="Times New Roman" w:hAnsi="Georgia" w:cs="Times New Roman"/>
          <w:color w:val="3E3D40"/>
          <w:sz w:val="24"/>
          <w:szCs w:val="24"/>
          <w:bdr w:val="none" w:sz="0" w:space="0" w:color="auto" w:frame="1"/>
          <w:lang w:val="en-US" w:eastAsia="fr-BE"/>
        </w:rPr>
        <w:t>Obeso</w:t>
      </w:r>
      <w:proofErr w:type="spellEnd"/>
      <w:r w:rsidRPr="0026354F">
        <w:rPr>
          <w:rFonts w:ascii="Georgia" w:eastAsia="Times New Roman" w:hAnsi="Georgia" w:cs="Times New Roman"/>
          <w:color w:val="3E3D40"/>
          <w:sz w:val="24"/>
          <w:szCs w:val="24"/>
          <w:bdr w:val="none" w:sz="0" w:space="0" w:color="auto" w:frame="1"/>
          <w:lang w:val="en-US" w:eastAsia="fr-BE"/>
        </w:rPr>
        <w:t xml:space="preserve">, </w:t>
      </w:r>
      <w:proofErr w:type="spellStart"/>
      <w:r w:rsidRPr="0026354F">
        <w:rPr>
          <w:rFonts w:ascii="Georgia" w:eastAsia="Times New Roman" w:hAnsi="Georgia" w:cs="Times New Roman"/>
          <w:color w:val="3E3D40"/>
          <w:sz w:val="24"/>
          <w:szCs w:val="24"/>
          <w:bdr w:val="none" w:sz="0" w:space="0" w:color="auto" w:frame="1"/>
          <w:lang w:val="en-US" w:eastAsia="fr-BE"/>
        </w:rPr>
        <w:t>Baunez</w:t>
      </w:r>
      <w:proofErr w:type="spellEnd"/>
      <w:r w:rsidRPr="0026354F">
        <w:rPr>
          <w:rFonts w:ascii="Georgia" w:eastAsia="Times New Roman" w:hAnsi="Georgia" w:cs="Times New Roman"/>
          <w:color w:val="3E3D40"/>
          <w:sz w:val="24"/>
          <w:szCs w:val="24"/>
          <w:bdr w:val="none" w:sz="0" w:space="0" w:color="auto" w:frame="1"/>
          <w:lang w:val="en-US" w:eastAsia="fr-BE"/>
        </w:rPr>
        <w:t xml:space="preserve">, Alegre, &amp; </w:t>
      </w:r>
      <w:proofErr w:type="spellStart"/>
      <w:r w:rsidRPr="0026354F">
        <w:rPr>
          <w:rFonts w:ascii="Georgia" w:eastAsia="Times New Roman" w:hAnsi="Georgia" w:cs="Times New Roman"/>
          <w:color w:val="3E3D40"/>
          <w:sz w:val="24"/>
          <w:szCs w:val="24"/>
          <w:bdr w:val="none" w:sz="0" w:space="0" w:color="auto" w:frame="1"/>
          <w:lang w:val="en-US" w:eastAsia="fr-BE"/>
        </w:rPr>
        <w:t>Krack</w:t>
      </w:r>
      <w:proofErr w:type="spellEnd"/>
      <w:r w:rsidRPr="0026354F">
        <w:rPr>
          <w:rFonts w:ascii="Georgia" w:eastAsia="Times New Roman" w:hAnsi="Georgia" w:cs="Times New Roman"/>
          <w:color w:val="3E3D40"/>
          <w:sz w:val="24"/>
          <w:szCs w:val="24"/>
          <w:bdr w:val="none" w:sz="0" w:space="0" w:color="auto" w:frame="1"/>
          <w:lang w:val="en-US" w:eastAsia="fr-BE"/>
        </w:rPr>
        <w:t xml:space="preserve">, 2015; </w:t>
      </w:r>
      <w:proofErr w:type="spellStart"/>
      <w:r w:rsidRPr="0026354F">
        <w:rPr>
          <w:rFonts w:ascii="Georgia" w:eastAsia="Times New Roman" w:hAnsi="Georgia" w:cs="Times New Roman"/>
          <w:color w:val="3E3D40"/>
          <w:sz w:val="24"/>
          <w:szCs w:val="24"/>
          <w:bdr w:val="none" w:sz="0" w:space="0" w:color="auto" w:frame="1"/>
          <w:lang w:val="en-US" w:eastAsia="fr-BE"/>
        </w:rPr>
        <w:t>Obeso</w:t>
      </w:r>
      <w:proofErr w:type="spellEnd"/>
      <w:r w:rsidRPr="0026354F">
        <w:rPr>
          <w:rFonts w:ascii="Georgia" w:eastAsia="Times New Roman" w:hAnsi="Georgia" w:cs="Times New Roman"/>
          <w:color w:val="3E3D40"/>
          <w:sz w:val="24"/>
          <w:szCs w:val="24"/>
          <w:bdr w:val="none" w:sz="0" w:space="0" w:color="auto" w:frame="1"/>
          <w:lang w:val="en-US" w:eastAsia="fr-BE"/>
        </w:rPr>
        <w:t xml:space="preserve"> et al., 2014; Wessel et al., 2016) like Parkinson’s disease (PD). This disease results from an alteration in the functioning of BG mainly due to a degeneration of dopaminergic neurons projecting to the dorsal striatum, the main input structure of the BG (</w:t>
      </w:r>
      <w:proofErr w:type="spellStart"/>
      <w:r w:rsidRPr="0026354F">
        <w:rPr>
          <w:rFonts w:ascii="Georgia" w:eastAsia="Times New Roman" w:hAnsi="Georgia" w:cs="Times New Roman"/>
          <w:color w:val="3E3D40"/>
          <w:sz w:val="24"/>
          <w:szCs w:val="24"/>
          <w:bdr w:val="none" w:sz="0" w:space="0" w:color="auto" w:frame="1"/>
          <w:lang w:val="en-US" w:eastAsia="fr-BE"/>
        </w:rPr>
        <w:t>Kalia</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Lang, 2015; </w:t>
      </w:r>
      <w:proofErr w:type="spellStart"/>
      <w:r w:rsidRPr="0026354F">
        <w:rPr>
          <w:rFonts w:ascii="Georgia" w:eastAsia="Times New Roman" w:hAnsi="Georgia" w:cs="Times New Roman"/>
          <w:color w:val="3E3D40"/>
          <w:sz w:val="24"/>
          <w:szCs w:val="24"/>
          <w:bdr w:val="none" w:sz="0" w:space="0" w:color="auto" w:frame="1"/>
          <w:lang w:val="en-US" w:eastAsia="fr-BE"/>
        </w:rPr>
        <w:t>Poewe</w:t>
      </w:r>
      <w:proofErr w:type="spellEnd"/>
      <w:r w:rsidRPr="0026354F">
        <w:rPr>
          <w:rFonts w:ascii="Georgia" w:eastAsia="Times New Roman" w:hAnsi="Georgia" w:cs="Times New Roman"/>
          <w:color w:val="3E3D40"/>
          <w:sz w:val="24"/>
          <w:szCs w:val="24"/>
          <w:bdr w:val="none" w:sz="0" w:space="0" w:color="auto" w:frame="1"/>
          <w:lang w:val="en-US" w:eastAsia="fr-BE"/>
        </w:rPr>
        <w:t xml:space="preserve"> et al., 2017), which leads to the typical motor symptoms of PD. PD hence is classically treated by dopamine replacement therapy (Fox et al., 2018). Investigating preparatory inhibition in PD patients therefore represents a unique opportunity to study the role of BG and dopamine levels (within the BG) in the generation of motor inhibition during action preparation. In the present study, preparatory inhibition was assessed on two consecutive days in </w:t>
      </w:r>
      <w:proofErr w:type="gramStart"/>
      <w:r w:rsidRPr="0026354F">
        <w:rPr>
          <w:rFonts w:ascii="Georgia" w:eastAsia="Times New Roman" w:hAnsi="Georgia" w:cs="Times New Roman"/>
          <w:color w:val="3E3D40"/>
          <w:sz w:val="24"/>
          <w:szCs w:val="24"/>
          <w:bdr w:val="none" w:sz="0" w:space="0" w:color="auto" w:frame="1"/>
          <w:lang w:val="en-US" w:eastAsia="fr-BE"/>
        </w:rPr>
        <w:t>8</w:t>
      </w:r>
      <w:proofErr w:type="gramEnd"/>
      <w:r w:rsidRPr="0026354F">
        <w:rPr>
          <w:rFonts w:ascii="Georgia" w:eastAsia="Times New Roman" w:hAnsi="Georgia" w:cs="Times New Roman"/>
          <w:color w:val="3E3D40"/>
          <w:sz w:val="24"/>
          <w:szCs w:val="24"/>
          <w:bdr w:val="none" w:sz="0" w:space="0" w:color="auto" w:frame="1"/>
          <w:lang w:val="en-US" w:eastAsia="fr-BE"/>
        </w:rPr>
        <w:t xml:space="preserve"> PD patients (ON and OFF dopamine medication [L-DOPA]; randomized order) and 8 healthy control subjects. Participants had to perform an instructed-delay choice reaction-time task, in which a cue provided advance information about which index finger response to make (left or right). Importantly, they had to wait until the occurrence of an imperative signal to release their movement (Wilhelm, </w:t>
      </w:r>
      <w:proofErr w:type="spellStart"/>
      <w:r w:rsidRPr="0026354F">
        <w:rPr>
          <w:rFonts w:ascii="Georgia" w:eastAsia="Times New Roman" w:hAnsi="Georgia" w:cs="Times New Roman"/>
          <w:color w:val="3E3D40"/>
          <w:sz w:val="24"/>
          <w:szCs w:val="24"/>
          <w:bdr w:val="none" w:sz="0" w:space="0" w:color="auto" w:frame="1"/>
          <w:lang w:val="en-US" w:eastAsia="fr-BE"/>
        </w:rPr>
        <w:t>Grandjean</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Duque, 2017; </w:t>
      </w:r>
      <w:proofErr w:type="spellStart"/>
      <w:r w:rsidRPr="0026354F">
        <w:rPr>
          <w:rFonts w:ascii="Georgia" w:eastAsia="Times New Roman" w:hAnsi="Georgia" w:cs="Times New Roman"/>
          <w:color w:val="3E3D40"/>
          <w:sz w:val="24"/>
          <w:szCs w:val="24"/>
          <w:bdr w:val="none" w:sz="0" w:space="0" w:color="auto" w:frame="1"/>
          <w:lang w:val="en-US" w:eastAsia="fr-BE"/>
        </w:rPr>
        <w:t>Quoilin</w:t>
      </w:r>
      <w:proofErr w:type="spellEnd"/>
      <w:r w:rsidRPr="0026354F">
        <w:rPr>
          <w:rFonts w:ascii="Georgia" w:eastAsia="Times New Roman" w:hAnsi="Georgia" w:cs="Times New Roman"/>
          <w:color w:val="3E3D40"/>
          <w:sz w:val="24"/>
          <w:szCs w:val="24"/>
          <w:bdr w:val="none" w:sz="0" w:space="0" w:color="auto" w:frame="1"/>
          <w:lang w:val="en-US" w:eastAsia="fr-BE"/>
        </w:rPr>
        <w:t>, Lambert, Jacob, Klein, &amp; Duque, 2016). Single-pulse TMS was applied over both M1 while participants were performing the task, either during the inter-trial interval (</w:t>
      </w:r>
      <w:proofErr w:type="spellStart"/>
      <w:r w:rsidRPr="0026354F">
        <w:rPr>
          <w:rFonts w:ascii="Georgia" w:eastAsia="Times New Roman" w:hAnsi="Georgia" w:cs="Times New Roman"/>
          <w:color w:val="3E3D40"/>
          <w:sz w:val="24"/>
          <w:szCs w:val="24"/>
          <w:bdr w:val="none" w:sz="0" w:space="0" w:color="auto" w:frame="1"/>
          <w:lang w:val="en-US" w:eastAsia="fr-BE"/>
        </w:rPr>
        <w:t>TMSbaseline</w:t>
      </w:r>
      <w:proofErr w:type="spellEnd"/>
      <w:r w:rsidRPr="0026354F">
        <w:rPr>
          <w:rFonts w:ascii="Georgia" w:eastAsia="Times New Roman" w:hAnsi="Georgia" w:cs="Times New Roman"/>
          <w:color w:val="3E3D40"/>
          <w:sz w:val="24"/>
          <w:szCs w:val="24"/>
          <w:bdr w:val="none" w:sz="0" w:space="0" w:color="auto" w:frame="1"/>
          <w:lang w:val="en-US" w:eastAsia="fr-BE"/>
        </w:rPr>
        <w:t>) or before the onset of the imperative signal, when they were preparing their response (</w:t>
      </w:r>
      <w:proofErr w:type="spellStart"/>
      <w:r w:rsidRPr="0026354F">
        <w:rPr>
          <w:rFonts w:ascii="Georgia" w:eastAsia="Times New Roman" w:hAnsi="Georgia" w:cs="Times New Roman"/>
          <w:color w:val="3E3D40"/>
          <w:sz w:val="24"/>
          <w:szCs w:val="24"/>
          <w:bdr w:val="none" w:sz="0" w:space="0" w:color="auto" w:frame="1"/>
          <w:lang w:val="en-US" w:eastAsia="fr-BE"/>
        </w:rPr>
        <w:t>TMSdelay</w:t>
      </w:r>
      <w:proofErr w:type="spellEnd"/>
      <w:r w:rsidRPr="0026354F">
        <w:rPr>
          <w:rFonts w:ascii="Georgia" w:eastAsia="Times New Roman" w:hAnsi="Georgia" w:cs="Times New Roman"/>
          <w:color w:val="3E3D40"/>
          <w:sz w:val="24"/>
          <w:szCs w:val="24"/>
          <w:bdr w:val="none" w:sz="0" w:space="0" w:color="auto" w:frame="1"/>
          <w:lang w:val="en-US" w:eastAsia="fr-BE"/>
        </w:rPr>
        <w:t xml:space="preserve">). Preparatory inhibition was then assessed by expressing MEP amplitudes obtained at </w:t>
      </w:r>
      <w:proofErr w:type="spellStart"/>
      <w:r w:rsidRPr="0026354F">
        <w:rPr>
          <w:rFonts w:ascii="Georgia" w:eastAsia="Times New Roman" w:hAnsi="Georgia" w:cs="Times New Roman"/>
          <w:color w:val="3E3D40"/>
          <w:sz w:val="24"/>
          <w:szCs w:val="24"/>
          <w:bdr w:val="none" w:sz="0" w:space="0" w:color="auto" w:frame="1"/>
          <w:lang w:val="en-US" w:eastAsia="fr-BE"/>
        </w:rPr>
        <w:t>TMSdelay</w:t>
      </w:r>
      <w:proofErr w:type="spellEnd"/>
      <w:r w:rsidRPr="0026354F">
        <w:rPr>
          <w:rFonts w:ascii="Georgia" w:eastAsia="Times New Roman" w:hAnsi="Georgia" w:cs="Times New Roman"/>
          <w:color w:val="3E3D40"/>
          <w:sz w:val="24"/>
          <w:szCs w:val="24"/>
          <w:bdr w:val="none" w:sz="0" w:space="0" w:color="auto" w:frame="1"/>
          <w:lang w:val="en-US" w:eastAsia="fr-BE"/>
        </w:rPr>
        <w:t xml:space="preserve"> relatively to those obtained at </w:t>
      </w:r>
      <w:proofErr w:type="spellStart"/>
      <w:r w:rsidRPr="0026354F">
        <w:rPr>
          <w:rFonts w:ascii="Georgia" w:eastAsia="Times New Roman" w:hAnsi="Georgia" w:cs="Times New Roman"/>
          <w:color w:val="3E3D40"/>
          <w:sz w:val="24"/>
          <w:szCs w:val="24"/>
          <w:bdr w:val="none" w:sz="0" w:space="0" w:color="auto" w:frame="1"/>
          <w:lang w:val="en-US" w:eastAsia="fr-BE"/>
        </w:rPr>
        <w:t>TMSbaseline</w:t>
      </w:r>
      <w:proofErr w:type="spellEnd"/>
      <w:r w:rsidRPr="0026354F">
        <w:rPr>
          <w:rFonts w:ascii="Georgia" w:eastAsia="Times New Roman" w:hAnsi="Georgia" w:cs="Times New Roman"/>
          <w:color w:val="3E3D40"/>
          <w:sz w:val="24"/>
          <w:szCs w:val="24"/>
          <w:bdr w:val="none" w:sz="0" w:space="0" w:color="auto" w:frame="1"/>
          <w:lang w:val="en-US" w:eastAsia="fr-BE"/>
        </w:rPr>
        <w:t xml:space="preserve">; motor inhibition was evident when the MEP amplitude probed at </w:t>
      </w:r>
      <w:proofErr w:type="spellStart"/>
      <w:r w:rsidRPr="0026354F">
        <w:rPr>
          <w:rFonts w:ascii="Georgia" w:eastAsia="Times New Roman" w:hAnsi="Georgia" w:cs="Times New Roman"/>
          <w:color w:val="3E3D40"/>
          <w:sz w:val="24"/>
          <w:szCs w:val="24"/>
          <w:bdr w:val="none" w:sz="0" w:space="0" w:color="auto" w:frame="1"/>
          <w:lang w:val="en-US" w:eastAsia="fr-BE"/>
        </w:rPr>
        <w:t>TMSdelay</w:t>
      </w:r>
      <w:proofErr w:type="spellEnd"/>
      <w:r w:rsidRPr="0026354F">
        <w:rPr>
          <w:rFonts w:ascii="Georgia" w:eastAsia="Times New Roman" w:hAnsi="Georgia" w:cs="Times New Roman"/>
          <w:color w:val="3E3D40"/>
          <w:sz w:val="24"/>
          <w:szCs w:val="24"/>
          <w:bdr w:val="none" w:sz="0" w:space="0" w:color="auto" w:frame="1"/>
          <w:lang w:val="en-US" w:eastAsia="fr-BE"/>
        </w:rPr>
        <w:t xml:space="preserve"> was lower compared to the one probed at </w:t>
      </w:r>
      <w:proofErr w:type="spellStart"/>
      <w:r w:rsidRPr="0026354F">
        <w:rPr>
          <w:rFonts w:ascii="Georgia" w:eastAsia="Times New Roman" w:hAnsi="Georgia" w:cs="Times New Roman"/>
          <w:color w:val="3E3D40"/>
          <w:sz w:val="24"/>
          <w:szCs w:val="24"/>
          <w:bdr w:val="none" w:sz="0" w:space="0" w:color="auto" w:frame="1"/>
          <w:lang w:val="en-US" w:eastAsia="fr-BE"/>
        </w:rPr>
        <w:t>TMSbaseline</w:t>
      </w:r>
      <w:proofErr w:type="spellEnd"/>
      <w:r w:rsidRPr="0026354F">
        <w:rPr>
          <w:rFonts w:ascii="Georgia" w:eastAsia="Times New Roman" w:hAnsi="Georgia" w:cs="Times New Roman"/>
          <w:color w:val="3E3D40"/>
          <w:sz w:val="24"/>
          <w:szCs w:val="24"/>
          <w:bdr w:val="none" w:sz="0" w:space="0" w:color="auto" w:frame="1"/>
          <w:lang w:val="en-US" w:eastAsia="fr-BE"/>
        </w:rPr>
        <w:t xml:space="preserve">. Interestingly, since TMS </w:t>
      </w:r>
      <w:proofErr w:type="gramStart"/>
      <w:r w:rsidRPr="0026354F">
        <w:rPr>
          <w:rFonts w:ascii="Georgia" w:eastAsia="Times New Roman" w:hAnsi="Georgia" w:cs="Times New Roman"/>
          <w:color w:val="3E3D40"/>
          <w:sz w:val="24"/>
          <w:szCs w:val="24"/>
          <w:bdr w:val="none" w:sz="0" w:space="0" w:color="auto" w:frame="1"/>
          <w:lang w:val="en-US" w:eastAsia="fr-BE"/>
        </w:rPr>
        <w:t>was applied</w:t>
      </w:r>
      <w:proofErr w:type="gramEnd"/>
      <w:r w:rsidRPr="0026354F">
        <w:rPr>
          <w:rFonts w:ascii="Georgia" w:eastAsia="Times New Roman" w:hAnsi="Georgia" w:cs="Times New Roman"/>
          <w:color w:val="3E3D40"/>
          <w:sz w:val="24"/>
          <w:szCs w:val="24"/>
          <w:bdr w:val="none" w:sz="0" w:space="0" w:color="auto" w:frame="1"/>
          <w:lang w:val="en-US" w:eastAsia="fr-BE"/>
        </w:rPr>
        <w:t xml:space="preserve"> over the left and right M1 at a nearly simultaneous time (interval of 1 </w:t>
      </w:r>
      <w:proofErr w:type="spellStart"/>
      <w:r w:rsidRPr="0026354F">
        <w:rPr>
          <w:rFonts w:ascii="Georgia" w:eastAsia="Times New Roman" w:hAnsi="Georgia" w:cs="Times New Roman"/>
          <w:color w:val="3E3D40"/>
          <w:sz w:val="24"/>
          <w:szCs w:val="24"/>
          <w:bdr w:val="none" w:sz="0" w:space="0" w:color="auto" w:frame="1"/>
          <w:lang w:val="en-US" w:eastAsia="fr-BE"/>
        </w:rPr>
        <w:t>ms</w:t>
      </w:r>
      <w:proofErr w:type="spellEnd"/>
      <w:r w:rsidRPr="0026354F">
        <w:rPr>
          <w:rFonts w:ascii="Georgia" w:eastAsia="Times New Roman" w:hAnsi="Georgia" w:cs="Times New Roman"/>
          <w:color w:val="3E3D40"/>
          <w:sz w:val="24"/>
          <w:szCs w:val="24"/>
          <w:bdr w:val="none" w:sz="0" w:space="0" w:color="auto" w:frame="1"/>
          <w:lang w:val="en-US" w:eastAsia="fr-BE"/>
        </w:rPr>
        <w:t xml:space="preserve"> between the two impulses), MEPs could be obtained in both hands for each trial; this was done using a double-coil technique recently developed in our laboratory (</w:t>
      </w:r>
      <w:proofErr w:type="spellStart"/>
      <w:r w:rsidRPr="0026354F">
        <w:rPr>
          <w:rFonts w:ascii="Georgia" w:eastAsia="Times New Roman" w:hAnsi="Georgia" w:cs="Times New Roman"/>
          <w:color w:val="3E3D40"/>
          <w:sz w:val="24"/>
          <w:szCs w:val="24"/>
          <w:bdr w:val="none" w:sz="0" w:space="0" w:color="auto" w:frame="1"/>
          <w:lang w:val="en-US" w:eastAsia="fr-BE"/>
        </w:rPr>
        <w:t>Grandjean</w:t>
      </w:r>
      <w:proofErr w:type="spellEnd"/>
      <w:r w:rsidRPr="0026354F">
        <w:rPr>
          <w:rFonts w:ascii="Georgia" w:eastAsia="Times New Roman" w:hAnsi="Georgia" w:cs="Times New Roman"/>
          <w:color w:val="3E3D40"/>
          <w:sz w:val="24"/>
          <w:szCs w:val="24"/>
          <w:bdr w:val="none" w:sz="0" w:space="0" w:color="auto" w:frame="1"/>
          <w:lang w:val="en-US" w:eastAsia="fr-BE"/>
        </w:rPr>
        <w:t xml:space="preserve"> et al., 2018; </w:t>
      </w:r>
      <w:proofErr w:type="spellStart"/>
      <w:r w:rsidRPr="0026354F">
        <w:rPr>
          <w:rFonts w:ascii="Georgia" w:eastAsia="Times New Roman" w:hAnsi="Georgia" w:cs="Times New Roman"/>
          <w:color w:val="3E3D40"/>
          <w:sz w:val="24"/>
          <w:szCs w:val="24"/>
          <w:bdr w:val="none" w:sz="0" w:space="0" w:color="auto" w:frame="1"/>
          <w:lang w:val="en-US" w:eastAsia="fr-BE"/>
        </w:rPr>
        <w:t>Vassiliadis</w:t>
      </w:r>
      <w:proofErr w:type="spellEnd"/>
      <w:r w:rsidRPr="0026354F">
        <w:rPr>
          <w:rFonts w:ascii="Georgia" w:eastAsia="Times New Roman" w:hAnsi="Georgia" w:cs="Times New Roman"/>
          <w:color w:val="3E3D40"/>
          <w:sz w:val="24"/>
          <w:szCs w:val="24"/>
          <w:bdr w:val="none" w:sz="0" w:space="0" w:color="auto" w:frame="1"/>
          <w:lang w:val="en-US" w:eastAsia="fr-BE"/>
        </w:rPr>
        <w:t xml:space="preserve"> et al., 2018; Wilhelm, </w:t>
      </w:r>
      <w:proofErr w:type="spellStart"/>
      <w:r w:rsidRPr="0026354F">
        <w:rPr>
          <w:rFonts w:ascii="Georgia" w:eastAsia="Times New Roman" w:hAnsi="Georgia" w:cs="Times New Roman"/>
          <w:color w:val="3E3D40"/>
          <w:sz w:val="24"/>
          <w:szCs w:val="24"/>
          <w:bdr w:val="none" w:sz="0" w:space="0" w:color="auto" w:frame="1"/>
          <w:lang w:val="en-US" w:eastAsia="fr-BE"/>
        </w:rPr>
        <w:t>Quoilin</w:t>
      </w:r>
      <w:proofErr w:type="spellEnd"/>
      <w:r w:rsidRPr="0026354F">
        <w:rPr>
          <w:rFonts w:ascii="Georgia" w:eastAsia="Times New Roman" w:hAnsi="Georgia" w:cs="Times New Roman"/>
          <w:color w:val="3E3D40"/>
          <w:sz w:val="24"/>
          <w:szCs w:val="24"/>
          <w:bdr w:val="none" w:sz="0" w:space="0" w:color="auto" w:frame="1"/>
          <w:lang w:val="en-US" w:eastAsia="fr-BE"/>
        </w:rPr>
        <w:t xml:space="preserve">, </w:t>
      </w:r>
      <w:proofErr w:type="spellStart"/>
      <w:r w:rsidRPr="0026354F">
        <w:rPr>
          <w:rFonts w:ascii="Georgia" w:eastAsia="Times New Roman" w:hAnsi="Georgia" w:cs="Times New Roman"/>
          <w:color w:val="3E3D40"/>
          <w:sz w:val="24"/>
          <w:szCs w:val="24"/>
          <w:bdr w:val="none" w:sz="0" w:space="0" w:color="auto" w:frame="1"/>
          <w:lang w:val="en-US" w:eastAsia="fr-BE"/>
        </w:rPr>
        <w:t>Petitjean</w:t>
      </w:r>
      <w:proofErr w:type="spellEnd"/>
      <w:r w:rsidRPr="0026354F">
        <w:rPr>
          <w:rFonts w:ascii="Georgia" w:eastAsia="Times New Roman" w:hAnsi="Georgia" w:cs="Times New Roman"/>
          <w:color w:val="3E3D40"/>
          <w:sz w:val="24"/>
          <w:szCs w:val="24"/>
          <w:bdr w:val="none" w:sz="0" w:space="0" w:color="auto" w:frame="1"/>
          <w:lang w:val="en-US" w:eastAsia="fr-BE"/>
        </w:rPr>
        <w:t xml:space="preserve">, &amp; Duque, 2016). Our preliminary results show a suppression of MEP amplitudes at </w:t>
      </w:r>
      <w:proofErr w:type="spellStart"/>
      <w:r w:rsidRPr="0026354F">
        <w:rPr>
          <w:rFonts w:ascii="Georgia" w:eastAsia="Times New Roman" w:hAnsi="Georgia" w:cs="Times New Roman"/>
          <w:color w:val="3E3D40"/>
          <w:sz w:val="24"/>
          <w:szCs w:val="24"/>
          <w:bdr w:val="none" w:sz="0" w:space="0" w:color="auto" w:frame="1"/>
          <w:lang w:val="en-US" w:eastAsia="fr-BE"/>
        </w:rPr>
        <w:t>TMSdelay</w:t>
      </w:r>
      <w:proofErr w:type="spellEnd"/>
      <w:r w:rsidRPr="0026354F">
        <w:rPr>
          <w:rFonts w:ascii="Georgia" w:eastAsia="Times New Roman" w:hAnsi="Georgia" w:cs="Times New Roman"/>
          <w:color w:val="3E3D40"/>
          <w:sz w:val="24"/>
          <w:szCs w:val="24"/>
          <w:bdr w:val="none" w:sz="0" w:space="0" w:color="auto" w:frame="1"/>
          <w:lang w:val="en-US" w:eastAsia="fr-BE"/>
        </w:rPr>
        <w:t xml:space="preserve"> compared to </w:t>
      </w:r>
      <w:proofErr w:type="spellStart"/>
      <w:r w:rsidRPr="0026354F">
        <w:rPr>
          <w:rFonts w:ascii="Georgia" w:eastAsia="Times New Roman" w:hAnsi="Georgia" w:cs="Times New Roman"/>
          <w:color w:val="3E3D40"/>
          <w:sz w:val="24"/>
          <w:szCs w:val="24"/>
          <w:bdr w:val="none" w:sz="0" w:space="0" w:color="auto" w:frame="1"/>
          <w:lang w:val="en-US" w:eastAsia="fr-BE"/>
        </w:rPr>
        <w:t>TMSbaseline</w:t>
      </w:r>
      <w:proofErr w:type="spellEnd"/>
      <w:r w:rsidRPr="0026354F">
        <w:rPr>
          <w:rFonts w:ascii="Georgia" w:eastAsia="Times New Roman" w:hAnsi="Georgia" w:cs="Times New Roman"/>
          <w:color w:val="3E3D40"/>
          <w:sz w:val="24"/>
          <w:szCs w:val="24"/>
          <w:bdr w:val="none" w:sz="0" w:space="0" w:color="auto" w:frame="1"/>
          <w:lang w:val="en-US" w:eastAsia="fr-BE"/>
        </w:rPr>
        <w:t xml:space="preserve">, both in healthy control subjects and in PD patients. This confirms the presence of preparatory inhibition in healthy subjects and suggests the existence of a similar process in PD patients. Most importantly, L-DOPA medication appears to decrease both the strength of preparatory inhibition and its stability during action preparation, suggesting a central role of dopamine in the mechanisms at the very basis of preparatory inhibition. Data acquisition is still ongoing and additional analyses </w:t>
      </w:r>
      <w:proofErr w:type="gramStart"/>
      <w:r w:rsidRPr="0026354F">
        <w:rPr>
          <w:rFonts w:ascii="Georgia" w:eastAsia="Times New Roman" w:hAnsi="Georgia" w:cs="Times New Roman"/>
          <w:color w:val="3E3D40"/>
          <w:sz w:val="24"/>
          <w:szCs w:val="24"/>
          <w:bdr w:val="none" w:sz="0" w:space="0" w:color="auto" w:frame="1"/>
          <w:lang w:val="en-US" w:eastAsia="fr-BE"/>
        </w:rPr>
        <w:t>will be needed</w:t>
      </w:r>
      <w:proofErr w:type="gramEnd"/>
      <w:r w:rsidRPr="0026354F">
        <w:rPr>
          <w:rFonts w:ascii="Georgia" w:eastAsia="Times New Roman" w:hAnsi="Georgia" w:cs="Times New Roman"/>
          <w:color w:val="3E3D40"/>
          <w:sz w:val="24"/>
          <w:szCs w:val="24"/>
          <w:bdr w:val="none" w:sz="0" w:space="0" w:color="auto" w:frame="1"/>
          <w:lang w:val="en-US" w:eastAsia="fr-BE"/>
        </w:rPr>
        <w:t xml:space="preserve"> to shed more light on these preliminary results. LAY SUMMARY: Recent transcranial magnetic stimulation studies have shown that the motor output pathway shows a profound inhibition during the preparation of an action. This phenomenon, called “preparatory inhibition”, remains incompletely understood, as it is still unclear </w:t>
      </w:r>
      <w:proofErr w:type="gramStart"/>
      <w:r w:rsidRPr="0026354F">
        <w:rPr>
          <w:rFonts w:ascii="Georgia" w:eastAsia="Times New Roman" w:hAnsi="Georgia" w:cs="Times New Roman"/>
          <w:color w:val="3E3D40"/>
          <w:sz w:val="24"/>
          <w:szCs w:val="24"/>
          <w:bdr w:val="none" w:sz="0" w:space="0" w:color="auto" w:frame="1"/>
          <w:lang w:val="en-US" w:eastAsia="fr-BE"/>
        </w:rPr>
        <w:t>which neural structures support it and what function it exactly serves during action preparation</w:t>
      </w:r>
      <w:proofErr w:type="gramEnd"/>
      <w:r w:rsidRPr="0026354F">
        <w:rPr>
          <w:rFonts w:ascii="Georgia" w:eastAsia="Times New Roman" w:hAnsi="Georgia" w:cs="Times New Roman"/>
          <w:color w:val="3E3D40"/>
          <w:sz w:val="24"/>
          <w:szCs w:val="24"/>
          <w:bdr w:val="none" w:sz="0" w:space="0" w:color="auto" w:frame="1"/>
          <w:lang w:val="en-US" w:eastAsia="fr-BE"/>
        </w:rPr>
        <w:t xml:space="preserve">. In the current study, we tested this preparatory inhibition in Parkinson’s disease (PD) patients and matched healthy control subjects. The aim was </w:t>
      </w:r>
      <w:proofErr w:type="gramStart"/>
      <w:r w:rsidRPr="0026354F">
        <w:rPr>
          <w:rFonts w:ascii="Georgia" w:eastAsia="Times New Roman" w:hAnsi="Georgia" w:cs="Times New Roman"/>
          <w:color w:val="3E3D40"/>
          <w:sz w:val="24"/>
          <w:szCs w:val="24"/>
          <w:bdr w:val="none" w:sz="0" w:space="0" w:color="auto" w:frame="1"/>
          <w:lang w:val="en-US" w:eastAsia="fr-BE"/>
        </w:rPr>
        <w:t xml:space="preserve">to better </w:t>
      </w:r>
      <w:r w:rsidRPr="0026354F">
        <w:rPr>
          <w:rFonts w:ascii="Georgia" w:eastAsia="Times New Roman" w:hAnsi="Georgia" w:cs="Times New Roman"/>
          <w:color w:val="3E3D40"/>
          <w:sz w:val="24"/>
          <w:szCs w:val="24"/>
          <w:bdr w:val="none" w:sz="0" w:space="0" w:color="auto" w:frame="1"/>
          <w:lang w:val="en-US" w:eastAsia="fr-BE"/>
        </w:rPr>
        <w:lastRenderedPageBreak/>
        <w:t>understand</w:t>
      </w:r>
      <w:proofErr w:type="gramEnd"/>
      <w:r w:rsidRPr="0026354F">
        <w:rPr>
          <w:rFonts w:ascii="Georgia" w:eastAsia="Times New Roman" w:hAnsi="Georgia" w:cs="Times New Roman"/>
          <w:color w:val="3E3D40"/>
          <w:sz w:val="24"/>
          <w:szCs w:val="24"/>
          <w:bdr w:val="none" w:sz="0" w:space="0" w:color="auto" w:frame="1"/>
          <w:lang w:val="en-US" w:eastAsia="fr-BE"/>
        </w:rPr>
        <w:t xml:space="preserve"> the role of basal ganglia (which are dysfunctional in PD) and the influence of dopamine replacement therapy on motor inhibition during action preparation. </w:t>
      </w:r>
    </w:p>
    <w:p w14:paraId="44F01AE0" w14:textId="77777777" w:rsidR="004C6679" w:rsidRPr="0026354F" w:rsidRDefault="0026354F" w:rsidP="0026354F">
      <w:pPr>
        <w:jc w:val="both"/>
        <w:rPr>
          <w:lang w:val="en-US"/>
        </w:rPr>
      </w:pPr>
    </w:p>
    <w:sectPr w:rsidR="004C6679" w:rsidRPr="002635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68131B"/>
    <w:multiLevelType w:val="multilevel"/>
    <w:tmpl w:val="58226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54F"/>
    <w:rsid w:val="0024497C"/>
    <w:rsid w:val="0026354F"/>
    <w:rsid w:val="00F6164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DE303"/>
  <w15:chartTrackingRefBased/>
  <w15:docId w15:val="{D55E3F4E-A2F8-44F8-AB96-F804E0D69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26354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354F"/>
    <w:rPr>
      <w:rFonts w:ascii="Times New Roman" w:eastAsia="Times New Roman" w:hAnsi="Times New Roman" w:cs="Times New Roman"/>
      <w:b/>
      <w:bCs/>
      <w:kern w:val="36"/>
      <w:sz w:val="48"/>
      <w:szCs w:val="48"/>
      <w:lang w:eastAsia="fr-BE"/>
    </w:rPr>
  </w:style>
  <w:style w:type="character" w:styleId="Hyperlink">
    <w:name w:val="Hyperlink"/>
    <w:basedOn w:val="DefaultParagraphFont"/>
    <w:uiPriority w:val="99"/>
    <w:semiHidden/>
    <w:unhideWhenUsed/>
    <w:rsid w:val="0026354F"/>
    <w:rPr>
      <w:color w:val="0000FF"/>
      <w:u w:val="single"/>
    </w:rPr>
  </w:style>
  <w:style w:type="paragraph" w:customStyle="1" w:styleId="pb15">
    <w:name w:val="pb15"/>
    <w:basedOn w:val="Normal"/>
    <w:rsid w:val="0026354F"/>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customStyle="1" w:styleId="cont16">
    <w:name w:val="cont16"/>
    <w:basedOn w:val="DefaultParagraphFont"/>
    <w:rsid w:val="002635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0146357">
      <w:bodyDiv w:val="1"/>
      <w:marLeft w:val="0"/>
      <w:marRight w:val="0"/>
      <w:marTop w:val="0"/>
      <w:marBottom w:val="0"/>
      <w:divBdr>
        <w:top w:val="none" w:sz="0" w:space="0" w:color="auto"/>
        <w:left w:val="none" w:sz="0" w:space="0" w:color="auto"/>
        <w:bottom w:val="none" w:sz="0" w:space="0" w:color="auto"/>
        <w:right w:val="none" w:sz="0" w:space="0" w:color="auto"/>
      </w:divBdr>
      <w:divsChild>
        <w:div w:id="77870181">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rontiersin.org/people/EmmanuelleWilhelm/432653"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frontiersin.org/people/JulieDuque/245243" TargetMode="External"/><Relationship Id="rId5" Type="http://schemas.openxmlformats.org/officeDocument/2006/relationships/styles" Target="styles.xml"/><Relationship Id="rId10" Type="http://schemas.openxmlformats.org/officeDocument/2006/relationships/hyperlink" Target="https://www.frontiersin.org/people/AnneJeanjean/508510" TargetMode="External"/><Relationship Id="rId4" Type="http://schemas.openxmlformats.org/officeDocument/2006/relationships/numbering" Target="numbering.xml"/><Relationship Id="rId9" Type="http://schemas.openxmlformats.org/officeDocument/2006/relationships/hyperlink" Target="https://www.frontiersin.org/people/CarolineQuoilin/232883"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5D24CC472FBC45A8A995E16101B939" ma:contentTypeVersion="9" ma:contentTypeDescription="Crée un document." ma:contentTypeScope="" ma:versionID="1ae9a7287d4ee369a895c43ae34b8f6c">
  <xsd:schema xmlns:xsd="http://www.w3.org/2001/XMLSchema" xmlns:xs="http://www.w3.org/2001/XMLSchema" xmlns:p="http://schemas.microsoft.com/office/2006/metadata/properties" xmlns:ns3="ecaad299-8987-4a3c-a80e-09cee69feab2" targetNamespace="http://schemas.microsoft.com/office/2006/metadata/properties" ma:root="true" ma:fieldsID="b3a205083382559a6861d0a9d576b133" ns3:_="">
    <xsd:import namespace="ecaad299-8987-4a3c-a80e-09cee69feab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aad299-8987-4a3c-a80e-09cee69f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2D6BCC9-F0FE-45BE-B403-F84D52ECE5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aad299-8987-4a3c-a80e-09cee69fea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DEC151-F8DB-4C7C-A43E-AC83626728E9}">
  <ds:schemaRefs>
    <ds:schemaRef ds:uri="http://schemas.microsoft.com/sharepoint/v3/contenttype/forms"/>
  </ds:schemaRefs>
</ds:datastoreItem>
</file>

<file path=customXml/itemProps3.xml><?xml version="1.0" encoding="utf-8"?>
<ds:datastoreItem xmlns:ds="http://schemas.openxmlformats.org/officeDocument/2006/customXml" ds:itemID="{90CE3542-0BAE-4FF0-89DE-5903B374BD53}">
  <ds:schemaRefs>
    <ds:schemaRef ds:uri="http://schemas.microsoft.com/office/2006/documentManagement/types"/>
    <ds:schemaRef ds:uri="http://schemas.microsoft.com/office/infopath/2007/PartnerControls"/>
    <ds:schemaRef ds:uri="ecaad299-8987-4a3c-a80e-09cee69feab2"/>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1078</Words>
  <Characters>5933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Université Catholique de Louvain</Company>
  <LinksUpToDate>false</LinksUpToDate>
  <CharactersWithSpaces>6998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Gérard Derosiere</dc:creator>
  <cp:keywords/>
  <dc:description/>
  <cp:lastModifiedBy>Gérard Derosiere</cp:lastModifiedBy>
  <cp:revision>1</cp:revision>
  <dcterms:created xsi:type="dcterms:W3CDTF">2020-12-23T15:04:00Z</dcterms:created>
  <dcterms:modified xsi:type="dcterms:W3CDTF">2020-12-23T15:05:00Z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0x010100E65D24CC472FBC45A8A995E16101B939</vt:lpwstr>
  </property>
</Properties>
</file>