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3E6A05" w14:textId="77777777" w:rsidR="005065FB" w:rsidRPr="000A52E1" w:rsidRDefault="005065FB" w:rsidP="005065FB">
      <w:pPr>
        <w:pBdr>
          <w:top w:val="single" w:sz="8" w:space="1" w:color="auto"/>
          <w:left w:val="single" w:sz="8" w:space="4" w:color="auto"/>
          <w:bottom w:val="single" w:sz="8" w:space="1" w:color="auto"/>
          <w:right w:val="single" w:sz="8" w:space="4" w:color="auto"/>
        </w:pBdr>
        <w:spacing w:before="120" w:line="240" w:lineRule="auto"/>
        <w:jc w:val="center"/>
        <w:rPr>
          <w:rFonts w:eastAsia="Times New Roman" w:cs="FrutigerLTStd-Roman"/>
          <w:b/>
          <w:bCs/>
          <w:sz w:val="26"/>
          <w:szCs w:val="26"/>
        </w:rPr>
      </w:pPr>
      <w:r>
        <w:rPr>
          <w:rFonts w:eastAsia="Times New Roman" w:cs="FrutigerLTStd-Roman"/>
          <w:b/>
          <w:bCs/>
          <w:sz w:val="26"/>
          <w:szCs w:val="26"/>
        </w:rPr>
        <w:t>Euthanasie : l’absence de contrôle indépendant en Belgique viole le droit à la vie du patient</w:t>
      </w:r>
    </w:p>
    <w:p w14:paraId="6A7629F7" w14:textId="77777777" w:rsidR="005065FB" w:rsidRPr="005668C2" w:rsidRDefault="005065FB" w:rsidP="005065FB">
      <w:pPr>
        <w:pBdr>
          <w:top w:val="single" w:sz="8" w:space="1" w:color="auto"/>
          <w:left w:val="single" w:sz="8" w:space="4" w:color="auto"/>
          <w:bottom w:val="single" w:sz="8" w:space="1" w:color="auto"/>
          <w:right w:val="single" w:sz="8" w:space="4" w:color="auto"/>
        </w:pBdr>
        <w:spacing w:before="120" w:line="240" w:lineRule="auto"/>
        <w:jc w:val="center"/>
        <w:rPr>
          <w:rFonts w:eastAsia="Times New Roman" w:cs="FrutigerLTStd-Roman"/>
          <w:sz w:val="26"/>
          <w:szCs w:val="26"/>
          <w:u w:val="single"/>
        </w:rPr>
      </w:pPr>
      <w:r>
        <w:rPr>
          <w:rFonts w:eastAsia="Times New Roman" w:cs="FrutigerLTStd-Roman"/>
          <w:sz w:val="26"/>
          <w:szCs w:val="26"/>
          <w:u w:val="single"/>
        </w:rPr>
        <w:t xml:space="preserve">Cour </w:t>
      </w:r>
      <w:proofErr w:type="spellStart"/>
      <w:r>
        <w:rPr>
          <w:rFonts w:eastAsia="Times New Roman" w:cs="FrutigerLTStd-Roman"/>
          <w:sz w:val="26"/>
          <w:szCs w:val="26"/>
          <w:u w:val="single"/>
        </w:rPr>
        <w:t>eur</w:t>
      </w:r>
      <w:proofErr w:type="spellEnd"/>
      <w:r>
        <w:rPr>
          <w:rFonts w:eastAsia="Times New Roman" w:cs="FrutigerLTStd-Roman"/>
          <w:sz w:val="26"/>
          <w:szCs w:val="26"/>
          <w:u w:val="single"/>
        </w:rPr>
        <w:t xml:space="preserve">. </w:t>
      </w:r>
      <w:proofErr w:type="spellStart"/>
      <w:r w:rsidRPr="005668C2">
        <w:rPr>
          <w:rFonts w:eastAsia="Times New Roman" w:cs="FrutigerLTStd-Roman"/>
          <w:sz w:val="26"/>
          <w:szCs w:val="26"/>
          <w:u w:val="single"/>
        </w:rPr>
        <w:t>D.H</w:t>
      </w:r>
      <w:proofErr w:type="spellEnd"/>
      <w:r w:rsidRPr="005668C2">
        <w:rPr>
          <w:rFonts w:eastAsia="Times New Roman" w:cs="FrutigerLTStd-Roman"/>
          <w:sz w:val="26"/>
          <w:szCs w:val="26"/>
          <w:u w:val="single"/>
        </w:rPr>
        <w:t xml:space="preserve">., </w:t>
      </w:r>
      <w:r w:rsidRPr="005668C2">
        <w:rPr>
          <w:rFonts w:eastAsia="Times New Roman" w:cs="FrutigerLTStd-Roman"/>
          <w:i/>
          <w:iCs/>
          <w:sz w:val="26"/>
          <w:szCs w:val="26"/>
          <w:u w:val="single"/>
        </w:rPr>
        <w:t xml:space="preserve">Mortier c. </w:t>
      </w:r>
      <w:r>
        <w:rPr>
          <w:rFonts w:eastAsia="Times New Roman" w:cs="FrutigerLTStd-Roman"/>
          <w:i/>
          <w:iCs/>
          <w:sz w:val="26"/>
          <w:szCs w:val="26"/>
          <w:u w:val="single"/>
        </w:rPr>
        <w:t>Belgique</w:t>
      </w:r>
      <w:r>
        <w:rPr>
          <w:rFonts w:eastAsia="Times New Roman" w:cs="FrutigerLTStd-Roman"/>
          <w:sz w:val="26"/>
          <w:szCs w:val="26"/>
          <w:u w:val="single"/>
        </w:rPr>
        <w:t xml:space="preserve">, 4 octobre 2022, </w:t>
      </w:r>
      <w:proofErr w:type="spellStart"/>
      <w:r>
        <w:rPr>
          <w:rFonts w:eastAsia="Times New Roman" w:cs="FrutigerLTStd-Roman"/>
          <w:sz w:val="26"/>
          <w:szCs w:val="26"/>
          <w:u w:val="single"/>
        </w:rPr>
        <w:t>req</w:t>
      </w:r>
      <w:proofErr w:type="spellEnd"/>
      <w:r>
        <w:rPr>
          <w:rFonts w:eastAsia="Times New Roman" w:cs="FrutigerLTStd-Roman"/>
          <w:sz w:val="26"/>
          <w:szCs w:val="26"/>
          <w:u w:val="single"/>
        </w:rPr>
        <w:t xml:space="preserve">. n° </w:t>
      </w:r>
      <w:r w:rsidRPr="000A52E1">
        <w:rPr>
          <w:rFonts w:eastAsia="Times New Roman" w:cs="FrutigerLTStd-Roman"/>
          <w:sz w:val="26"/>
          <w:szCs w:val="26"/>
          <w:u w:val="single"/>
        </w:rPr>
        <w:t>78017/17</w:t>
      </w:r>
    </w:p>
    <w:p w14:paraId="5234D527" w14:textId="77777777" w:rsidR="005065FB" w:rsidRPr="005668C2" w:rsidRDefault="005065FB" w:rsidP="005065FB">
      <w:pPr>
        <w:widowControl w:val="0"/>
        <w:suppressAutoHyphens/>
        <w:rPr>
          <w:rFonts w:eastAsia="SimSun" w:cs="FrutigerLTStd-Roman"/>
          <w:szCs w:val="24"/>
          <w:lang w:eastAsia="ar-SA"/>
        </w:rPr>
      </w:pPr>
    </w:p>
    <w:p w14:paraId="4FE20CA3" w14:textId="77777777" w:rsidR="005065FB" w:rsidRDefault="005065FB" w:rsidP="005065FB">
      <w:pPr>
        <w:widowControl w:val="0"/>
        <w:suppressAutoHyphens/>
        <w:ind w:left="1440" w:hanging="1440"/>
        <w:rPr>
          <w:rFonts w:eastAsia="Calibri" w:cs="Times New Roman"/>
          <w:lang w:val="fr-FR"/>
        </w:rPr>
      </w:pPr>
      <w:r w:rsidRPr="1A8112F1">
        <w:rPr>
          <w:rFonts w:eastAsia="Calibri" w:cs="Times New Roman"/>
          <w:i/>
          <w:iCs/>
          <w:u w:val="single"/>
          <w:lang w:val="fr-FR"/>
        </w:rPr>
        <w:t>Auteur</w:t>
      </w:r>
      <w:r w:rsidRPr="1A8112F1">
        <w:rPr>
          <w:rFonts w:eastAsia="Calibri" w:cs="Times New Roman"/>
          <w:lang w:val="fr-FR"/>
        </w:rPr>
        <w:t xml:space="preserve"> </w:t>
      </w:r>
      <w:r>
        <w:tab/>
      </w:r>
      <w:r w:rsidRPr="1A8112F1">
        <w:rPr>
          <w:rFonts w:eastAsia="Calibri" w:cs="Times New Roman"/>
          <w:b/>
          <w:bCs/>
          <w:lang w:val="fr-FR"/>
        </w:rPr>
        <w:t>Léopold Vanbellingen</w:t>
      </w:r>
      <w:r w:rsidRPr="1A8112F1">
        <w:rPr>
          <w:rFonts w:eastAsia="Calibri" w:cs="Times New Roman"/>
          <w:lang w:val="fr-FR"/>
        </w:rPr>
        <w:t xml:space="preserve"> (Docteur en droit, Chercheur à la Chaire de droit des religions de l’Université catholique de Louvain)</w:t>
      </w:r>
    </w:p>
    <w:p w14:paraId="4677D040" w14:textId="3DFB5275" w:rsidR="001F2AC8" w:rsidRPr="005065FB" w:rsidRDefault="001F2AC8" w:rsidP="005065FB">
      <w:pPr>
        <w:rPr>
          <w:lang w:val="fr-FR"/>
        </w:rPr>
      </w:pPr>
    </w:p>
    <w:p w14:paraId="6D97285F" w14:textId="69D0B654" w:rsidR="0064075A" w:rsidRDefault="0064075A" w:rsidP="005065FB">
      <w:pPr>
        <w:pStyle w:val="Titre1"/>
        <w:numPr>
          <w:ilvl w:val="0"/>
          <w:numId w:val="0"/>
        </w:numPr>
        <w:ind w:left="360"/>
      </w:pPr>
      <w:r>
        <w:t>Introduction</w:t>
      </w:r>
    </w:p>
    <w:p w14:paraId="6017FD9A" w14:textId="4B80AA70" w:rsidR="001C6790" w:rsidRPr="00B263B5" w:rsidRDefault="001C6790" w:rsidP="005065FB">
      <w:r w:rsidRPr="00B263B5">
        <w:t xml:space="preserve">Dans un arrêt rendu </w:t>
      </w:r>
      <w:r w:rsidR="0023727E" w:rsidRPr="00B263B5">
        <w:t>le 4 octobre 2022</w:t>
      </w:r>
      <w:r w:rsidRPr="00B263B5">
        <w:t>, la Cour européenne des droits de l’homme</w:t>
      </w:r>
      <w:r w:rsidR="00B263B5">
        <w:t xml:space="preserve"> (CourEDH)</w:t>
      </w:r>
      <w:r w:rsidRPr="00B263B5">
        <w:t xml:space="preserve"> considère que la </w:t>
      </w:r>
      <w:r w:rsidRPr="005065FB">
        <w:t>Belgique</w:t>
      </w:r>
      <w:r w:rsidRPr="00B263B5">
        <w:t xml:space="preserve"> a </w:t>
      </w:r>
      <w:r w:rsidR="00B263B5" w:rsidRPr="00B263B5">
        <w:t>porté atteinte au</w:t>
      </w:r>
      <w:r w:rsidRPr="00B263B5">
        <w:t xml:space="preserve"> droit à la vie d’une patiente euthanasiée pour cause de dépression en 2012.</w:t>
      </w:r>
    </w:p>
    <w:p w14:paraId="319AF9CF" w14:textId="37972649" w:rsidR="00E6146A" w:rsidRDefault="001C6790" w:rsidP="005065FB">
      <w:r w:rsidRPr="00B263B5">
        <w:t>Cette </w:t>
      </w:r>
      <w:r w:rsidRPr="00B263B5">
        <w:rPr>
          <w:i/>
          <w:iCs/>
        </w:rPr>
        <w:t>affaire </w:t>
      </w:r>
      <w:hyperlink r:id="rId11" w:history="1">
        <w:r w:rsidRPr="00B263B5">
          <w:rPr>
            <w:rStyle w:val="Lienhypertexte"/>
            <w:i/>
            <w:iCs/>
            <w:color w:val="auto"/>
            <w:u w:val="none"/>
          </w:rPr>
          <w:t>Mortier c. Belgique</w:t>
        </w:r>
      </w:hyperlink>
      <w:r w:rsidRPr="00B263B5">
        <w:t xml:space="preserve"> – du nom du requérant, fils de la personne euthanasiée – </w:t>
      </w:r>
      <w:r w:rsidR="00784070">
        <w:t>constitue</w:t>
      </w:r>
      <w:r w:rsidRPr="00B263B5">
        <w:t xml:space="preserve"> la première affaire dans laquelle la Cour européenne des droits de l’homme </w:t>
      </w:r>
      <w:r w:rsidR="00784070">
        <w:t>est</w:t>
      </w:r>
      <w:r w:rsidRPr="00B263B5">
        <w:t xml:space="preserve"> amenée à apprécier la compatibilité d’une euthanasie</w:t>
      </w:r>
      <w:r w:rsidR="008A7F1C">
        <w:rPr>
          <w:rStyle w:val="Appelnotedebasdep"/>
        </w:rPr>
        <w:footnoteReference w:id="2"/>
      </w:r>
      <w:r w:rsidRPr="00B263B5">
        <w:t> déjà pratiquée avec la Convention européenne des droits de l’homme (CEDH).</w:t>
      </w:r>
    </w:p>
    <w:p w14:paraId="3CA48BEC" w14:textId="46D0CF9B" w:rsidR="00675AE8" w:rsidRDefault="00675AE8" w:rsidP="005065FB">
      <w:r>
        <w:t>Il convient de rappeler</w:t>
      </w:r>
      <w:r w:rsidRPr="00675AE8">
        <w:t xml:space="preserve"> que l’euthanasie est autorisée </w:t>
      </w:r>
      <w:r>
        <w:t xml:space="preserve">depuis 2002 </w:t>
      </w:r>
      <w:r w:rsidRPr="00675AE8">
        <w:t xml:space="preserve">en Belgique pour « souffrance physique </w:t>
      </w:r>
      <w:r>
        <w:t>et/</w:t>
      </w:r>
      <w:r w:rsidRPr="00675AE8">
        <w:t>ou psychique insupportable »</w:t>
      </w:r>
      <w:r>
        <w:t xml:space="preserve">, liée à une pathologie </w:t>
      </w:r>
      <w:r w:rsidRPr="00675AE8">
        <w:t>« incurable »</w:t>
      </w:r>
      <w:r>
        <w:t>. Lorsque le décès n’est pas attendu à brève échéance</w:t>
      </w:r>
      <w:r w:rsidR="00D55359">
        <w:t xml:space="preserve"> – par exemple en cas de maladie</w:t>
      </w:r>
      <w:r w:rsidRPr="00675AE8">
        <w:t xml:space="preserve"> psychiatrique</w:t>
      </w:r>
      <w:r w:rsidR="00D55359">
        <w:t xml:space="preserve">, comme c’est le cas en l’espèce –, le médecin </w:t>
      </w:r>
      <w:r w:rsidR="002A268E">
        <w:t xml:space="preserve">traitant </w:t>
      </w:r>
      <w:r w:rsidR="008A0987">
        <w:t xml:space="preserve">est tenu de solliciter </w:t>
      </w:r>
      <w:r w:rsidRPr="00675AE8">
        <w:t xml:space="preserve">deux avis </w:t>
      </w:r>
      <w:r w:rsidR="008A0987">
        <w:t>de médecins</w:t>
      </w:r>
      <w:r w:rsidR="002A268E">
        <w:t xml:space="preserve"> </w:t>
      </w:r>
      <w:r w:rsidR="008A0987">
        <w:t>« indépendants »</w:t>
      </w:r>
      <w:r w:rsidRPr="00675AE8">
        <w:t xml:space="preserve">. </w:t>
      </w:r>
      <w:r w:rsidR="002A268E">
        <w:t xml:space="preserve">Un contrôle est effectué </w:t>
      </w:r>
      <w:r w:rsidR="002A268E">
        <w:rPr>
          <w:i/>
          <w:iCs/>
        </w:rPr>
        <w:t>a posteriori</w:t>
      </w:r>
      <w:r w:rsidR="002A268E">
        <w:t xml:space="preserve"> – après le décès du patient –, par </w:t>
      </w:r>
      <w:r w:rsidRPr="00675AE8">
        <w:t xml:space="preserve">la </w:t>
      </w:r>
      <w:r w:rsidR="002A268E">
        <w:t xml:space="preserve">Commission fédérale de contrôle et d’évaluation de l’euthanasie, </w:t>
      </w:r>
      <w:r w:rsidR="002A268E" w:rsidRPr="002A268E">
        <w:t xml:space="preserve">sur la base </w:t>
      </w:r>
      <w:r w:rsidR="002A268E">
        <w:t>du formulaire de</w:t>
      </w:r>
      <w:r w:rsidR="002A268E" w:rsidRPr="002A268E">
        <w:t xml:space="preserve"> déclaration </w:t>
      </w:r>
      <w:r w:rsidR="002A268E">
        <w:t>complété par le</w:t>
      </w:r>
      <w:r w:rsidR="002A268E" w:rsidRPr="002A268E">
        <w:t xml:space="preserve"> médecin </w:t>
      </w:r>
      <w:r w:rsidR="002A268E">
        <w:t>ayant pratiqué l’acte</w:t>
      </w:r>
      <w:r w:rsidRPr="00675AE8">
        <w:t>.</w:t>
      </w:r>
    </w:p>
    <w:p w14:paraId="1FB5D225" w14:textId="584FC06B" w:rsidR="00E6146A" w:rsidRDefault="00E6146A" w:rsidP="005065FB">
      <w:r>
        <w:t xml:space="preserve">Godelieve De </w:t>
      </w:r>
      <w:proofErr w:type="spellStart"/>
      <w:r>
        <w:t>Troyer</w:t>
      </w:r>
      <w:proofErr w:type="spellEnd"/>
      <w:r>
        <w:t xml:space="preserve">, mère du requérant, </w:t>
      </w:r>
      <w:r w:rsidR="00784070">
        <w:t>est</w:t>
      </w:r>
      <w:r>
        <w:t xml:space="preserve"> décédée par euthanasie</w:t>
      </w:r>
      <w:r w:rsidR="00F41B89">
        <w:t xml:space="preserve"> le 19 avril 2012</w:t>
      </w:r>
      <w:r w:rsidR="002507F4">
        <w:t xml:space="preserve"> en Belgique.</w:t>
      </w:r>
      <w:r w:rsidR="00C96340">
        <w:t xml:space="preserve"> </w:t>
      </w:r>
      <w:r w:rsidR="005C5E67">
        <w:t>Sur le formulaire de déclaration, l</w:t>
      </w:r>
      <w:r w:rsidR="00C96340">
        <w:t xml:space="preserve">’euthanasie </w:t>
      </w:r>
      <w:r w:rsidR="00784070">
        <w:t>est</w:t>
      </w:r>
      <w:r w:rsidR="00C96340">
        <w:t xml:space="preserve"> justifiée pour cause de trouble psychique – en l’occurrence, une dépression </w:t>
      </w:r>
      <w:r w:rsidR="00014F63">
        <w:t xml:space="preserve">chronique mais variable, considérée comme incurable par </w:t>
      </w:r>
      <w:r w:rsidR="005C5E67">
        <w:t>les</w:t>
      </w:r>
      <w:r w:rsidR="00014F63">
        <w:t xml:space="preserve"> médecins </w:t>
      </w:r>
      <w:r w:rsidR="005C5E67">
        <w:t>impliqués</w:t>
      </w:r>
      <w:r w:rsidR="00014F63">
        <w:t>.</w:t>
      </w:r>
      <w:r w:rsidR="00C96340">
        <w:t xml:space="preserve"> Son fils Tom Mortier, averti dans</w:t>
      </w:r>
      <w:r w:rsidR="00307431">
        <w:t xml:space="preserve"> un premier temps de sa demande </w:t>
      </w:r>
      <w:r w:rsidR="00677829">
        <w:t>de mort</w:t>
      </w:r>
      <w:r w:rsidR="00307431">
        <w:t xml:space="preserve">, </w:t>
      </w:r>
      <w:r w:rsidR="00784070">
        <w:t>est</w:t>
      </w:r>
      <w:r w:rsidR="00307431">
        <w:t xml:space="preserve"> finalement </w:t>
      </w:r>
      <w:r w:rsidR="00677829">
        <w:t xml:space="preserve">été mis au courant de l’euthanasie de </w:t>
      </w:r>
      <w:r w:rsidR="00307431">
        <w:t>sa mère le lendemain</w:t>
      </w:r>
      <w:r w:rsidR="00677829">
        <w:t xml:space="preserve"> de son décès</w:t>
      </w:r>
      <w:r w:rsidR="003E5EB2">
        <w:t>.</w:t>
      </w:r>
      <w:r w:rsidR="00A34DB6">
        <w:rPr>
          <w:rStyle w:val="Appelnotedebasdep"/>
        </w:rPr>
        <w:footnoteReference w:id="3"/>
      </w:r>
      <w:r w:rsidR="00C4050F">
        <w:t xml:space="preserve"> </w:t>
      </w:r>
      <w:r w:rsidR="00CF5D3A">
        <w:t xml:space="preserve">Alors qu’il considérait jusqu’alors que les troubles psychiatriques dont souffrait sa mère ne pouvaient légitimer une euthanasie en droit belge, M. Mortier </w:t>
      </w:r>
      <w:r w:rsidR="00784070">
        <w:t>s’interroge sur le respect des conditions légales</w:t>
      </w:r>
      <w:r w:rsidR="00412D5E">
        <w:t xml:space="preserve"> en l’espèce. </w:t>
      </w:r>
      <w:r w:rsidR="002A268E">
        <w:t xml:space="preserve">La </w:t>
      </w:r>
      <w:r w:rsidR="003A0659" w:rsidRPr="003A0659">
        <w:t xml:space="preserve">Commission de contrôle </w:t>
      </w:r>
      <w:r w:rsidR="00783CA7">
        <w:t>estime</w:t>
      </w:r>
      <w:r w:rsidR="0044104C">
        <w:t xml:space="preserve"> néanmoins</w:t>
      </w:r>
      <w:r w:rsidR="003A0659">
        <w:t xml:space="preserve"> que les conditions </w:t>
      </w:r>
      <w:r w:rsidR="0044104C">
        <w:t>substantielles et procédurales prévues par la loi</w:t>
      </w:r>
      <w:r w:rsidR="003A0659">
        <w:t xml:space="preserve"> </w:t>
      </w:r>
      <w:r w:rsidR="00014D04">
        <w:t>ont</w:t>
      </w:r>
      <w:r w:rsidR="003A0659">
        <w:t xml:space="preserve"> été respectées.</w:t>
      </w:r>
      <w:r w:rsidR="00C80E5A">
        <w:t xml:space="preserve"> Deux enquêtes pénales</w:t>
      </w:r>
      <w:r w:rsidR="00476CFE">
        <w:t>,</w:t>
      </w:r>
      <w:r w:rsidR="00C80E5A">
        <w:t xml:space="preserve"> </w:t>
      </w:r>
      <w:r w:rsidR="00476CFE">
        <w:t xml:space="preserve">réalisées à la demande du requérant, </w:t>
      </w:r>
      <w:r w:rsidR="00805350">
        <w:t xml:space="preserve">concluent </w:t>
      </w:r>
      <w:r w:rsidR="00476CFE">
        <w:t xml:space="preserve">à </w:t>
      </w:r>
      <w:r w:rsidR="003E5EB2">
        <w:t>l’absence de poursuite.</w:t>
      </w:r>
    </w:p>
    <w:p w14:paraId="6F6D9FBB" w14:textId="490933AE" w:rsidR="005435EA" w:rsidRDefault="00677829" w:rsidP="005065FB">
      <w:r>
        <w:t xml:space="preserve">Devant la CourEDH, </w:t>
      </w:r>
      <w:r w:rsidR="001C6790" w:rsidRPr="00B263B5">
        <w:t>Tom Mortier invoqu</w:t>
      </w:r>
      <w:r w:rsidR="00014D04">
        <w:t>e</w:t>
      </w:r>
      <w:r w:rsidR="00B51F59">
        <w:t xml:space="preserve"> en premier lieu</w:t>
      </w:r>
      <w:r w:rsidR="001C6790" w:rsidRPr="00B263B5">
        <w:t xml:space="preserve"> la violation du droit à la vie de sa mère, protégé par l’article 2 de la Convention</w:t>
      </w:r>
      <w:r w:rsidR="003329AC">
        <w:t>. Le requérant consid</w:t>
      </w:r>
      <w:r w:rsidR="00014D04">
        <w:t>ère</w:t>
      </w:r>
      <w:r w:rsidR="003329AC">
        <w:t xml:space="preserve"> en effet </w:t>
      </w:r>
      <w:r w:rsidR="006A2EEB">
        <w:t xml:space="preserve">d’une part que </w:t>
      </w:r>
      <w:r w:rsidR="006A2EEB">
        <w:lastRenderedPageBreak/>
        <w:t xml:space="preserve">la loi </w:t>
      </w:r>
      <w:r w:rsidR="003A0B9B">
        <w:t xml:space="preserve">belge sur l’euthanasie </w:t>
      </w:r>
      <w:r w:rsidR="006A2EEB">
        <w:t>ne confère pas de garantie suffisante pour protéger le</w:t>
      </w:r>
      <w:r w:rsidR="003A0B9B">
        <w:t xml:space="preserve"> droit à la vie d’une </w:t>
      </w:r>
      <w:r w:rsidR="006A2EEB">
        <w:t>personne vulnér</w:t>
      </w:r>
      <w:r w:rsidR="003A0B9B">
        <w:t>able</w:t>
      </w:r>
      <w:r w:rsidR="006A2EEB">
        <w:t xml:space="preserve"> telle que sa mère</w:t>
      </w:r>
      <w:r w:rsidR="003A0B9B">
        <w:t xml:space="preserve">. </w:t>
      </w:r>
      <w:r w:rsidR="00014D04">
        <w:t>Est</w:t>
      </w:r>
      <w:r w:rsidR="003A0B9B">
        <w:t xml:space="preserve"> par ailleurs allégué</w:t>
      </w:r>
      <w:r w:rsidR="00805350">
        <w:t>e</w:t>
      </w:r>
      <w:r w:rsidR="003A0B9B">
        <w:t xml:space="preserve"> la violation de la loi belge à plusieurs égards, en particulier du point de vue de l’exigence d’indépendance des médecins impliqués dans l’acte d’euthanasie</w:t>
      </w:r>
      <w:r w:rsidR="00014D04">
        <w:t>.</w:t>
      </w:r>
      <w:r w:rsidR="00A94766">
        <w:t xml:space="preserve"> </w:t>
      </w:r>
      <w:r w:rsidR="003664FE">
        <w:t xml:space="preserve">Enfin, M. Mortier </w:t>
      </w:r>
      <w:r w:rsidR="005E3A5D">
        <w:t>insist</w:t>
      </w:r>
      <w:r w:rsidR="00014D04">
        <w:t>e</w:t>
      </w:r>
      <w:r w:rsidR="005E3A5D">
        <w:t xml:space="preserve"> sur </w:t>
      </w:r>
      <w:r w:rsidR="003664FE">
        <w:t>l’absence d’enquête effective</w:t>
      </w:r>
      <w:r w:rsidR="005E3A5D">
        <w:t xml:space="preserve"> au sujet des circonstances de l’euthanasie de sa mère,</w:t>
      </w:r>
      <w:r w:rsidR="003664FE">
        <w:t xml:space="preserve"> tant du point</w:t>
      </w:r>
      <w:r w:rsidR="005E3A5D">
        <w:t xml:space="preserve"> de vue de la</w:t>
      </w:r>
      <w:r w:rsidR="003A0659">
        <w:t xml:space="preserve"> </w:t>
      </w:r>
      <w:r w:rsidR="0052082F">
        <w:t>Commission de contrôle</w:t>
      </w:r>
      <w:r w:rsidR="00E6146A">
        <w:t xml:space="preserve"> que des autorités judiciaires belges.</w:t>
      </w:r>
    </w:p>
    <w:p w14:paraId="1368E6BF" w14:textId="3FDBD599" w:rsidR="001C6790" w:rsidRPr="00B263B5" w:rsidRDefault="005435EA" w:rsidP="005065FB">
      <w:r>
        <w:t xml:space="preserve">En outre, le requérant </w:t>
      </w:r>
      <w:r w:rsidR="00A94766">
        <w:t>soulève</w:t>
      </w:r>
      <w:r>
        <w:t xml:space="preserve"> un deuxième moyen, tiré de la violation</w:t>
      </w:r>
      <w:r w:rsidR="001C6790" w:rsidRPr="00B263B5">
        <w:t xml:space="preserve"> du droit au respect de sa vie privée et familiale, protégé par l’article 8 de la </w:t>
      </w:r>
      <w:r>
        <w:t>CEDH.</w:t>
      </w:r>
      <w:r w:rsidR="00BF7163">
        <w:t xml:space="preserve"> À son estime, </w:t>
      </w:r>
      <w:r w:rsidR="00E64DCA">
        <w:t>les manquements mentionnés plus haut ont également porté atteinte à</w:t>
      </w:r>
      <w:r w:rsidR="002E271F">
        <w:t xml:space="preserve"> sa propre intégrité psychologique et à sa vie familiale.</w:t>
      </w:r>
    </w:p>
    <w:p w14:paraId="0FE2C55A" w14:textId="3DAC3B53" w:rsidR="005065FB" w:rsidRDefault="001E5151" w:rsidP="005065FB">
      <w:r>
        <w:t>Dans son arrêt, tout</w:t>
      </w:r>
      <w:r w:rsidR="001C6790" w:rsidRPr="00B263B5">
        <w:t xml:space="preserve"> en </w:t>
      </w:r>
      <w:r w:rsidR="001C6790" w:rsidRPr="0064075A">
        <w:t xml:space="preserve">considérant que les conditions prévues par la loi belge sur l’euthanasie ne sont pas contraires à la Convention, </w:t>
      </w:r>
      <w:r w:rsidR="00B263B5" w:rsidRPr="0064075A">
        <w:t>et que le cadre légal a été respecté</w:t>
      </w:r>
      <w:r w:rsidR="0064075A" w:rsidRPr="0064075A">
        <w:t xml:space="preserve"> en l’espèce</w:t>
      </w:r>
      <w:r w:rsidR="00B263B5" w:rsidRPr="0064075A">
        <w:t xml:space="preserve">, </w:t>
      </w:r>
      <w:r w:rsidR="001C6790" w:rsidRPr="0064075A">
        <w:t>la Cour estime néanmoins que le contrôle </w:t>
      </w:r>
      <w:r w:rsidR="001C6790" w:rsidRPr="0064075A">
        <w:rPr>
          <w:i/>
          <w:iCs/>
        </w:rPr>
        <w:t>a posteriori</w:t>
      </w:r>
      <w:r w:rsidR="001C6790" w:rsidRPr="0064075A">
        <w:t> </w:t>
      </w:r>
      <w:r w:rsidR="0064075A" w:rsidRPr="0064075A">
        <w:t xml:space="preserve">prévu </w:t>
      </w:r>
      <w:r w:rsidR="0064075A">
        <w:t>en droit belge</w:t>
      </w:r>
      <w:r w:rsidR="0064075A" w:rsidRPr="0064075A">
        <w:t xml:space="preserve"> </w:t>
      </w:r>
      <w:r w:rsidR="001C6790" w:rsidRPr="0064075A">
        <w:t>était</w:t>
      </w:r>
      <w:r w:rsidR="0064075A" w:rsidRPr="0064075A">
        <w:t xml:space="preserve"> ici</w:t>
      </w:r>
      <w:r w:rsidR="001C6790" w:rsidRPr="0064075A">
        <w:t> inopérant. De ce fait, les juges concluent à l’unanimité à la violation du droit à la vie par la Belgique, dans la mesure où les autorités n’ont pas pris les mesures positives qui s’imposaient pour protéger ce droit</w:t>
      </w:r>
      <w:r w:rsidR="00534547">
        <w:t xml:space="preserve"> (I)</w:t>
      </w:r>
      <w:r w:rsidR="001C6790" w:rsidRPr="00B263B5">
        <w:t>.</w:t>
      </w:r>
      <w:r w:rsidR="00534547">
        <w:t xml:space="preserve"> </w:t>
      </w:r>
      <w:r w:rsidR="00ED4851" w:rsidRPr="00ED4851">
        <w:t>À</w:t>
      </w:r>
      <w:r w:rsidR="00ED4851">
        <w:t xml:space="preserve"> la quasi-unanimité, les juges concluent en revanche à l’absence de violation de l’article 8 de la CEDH (II).</w:t>
      </w:r>
    </w:p>
    <w:p w14:paraId="513030B7" w14:textId="77777777" w:rsidR="001C6790" w:rsidRPr="001C6790" w:rsidRDefault="001C6790" w:rsidP="005065FB">
      <w:pPr>
        <w:pStyle w:val="Titre1"/>
      </w:pPr>
      <w:r w:rsidRPr="001C6790">
        <w:t>La CEDH ne confère pas de droit à l’euthanasie, mais permet celle-ci sous conditions</w:t>
      </w:r>
    </w:p>
    <w:p w14:paraId="40C9B964" w14:textId="4E6FB334" w:rsidR="001C6790" w:rsidRPr="00145B70" w:rsidRDefault="004B73B4" w:rsidP="005065FB">
      <w:r>
        <w:t>Sur le plan de l’article 2 de la CEDH relatif au droit à la vie, l</w:t>
      </w:r>
      <w:r w:rsidR="001C6790" w:rsidRPr="00145B70">
        <w:t>a Cour rappelle</w:t>
      </w:r>
      <w:r w:rsidR="005065FB" w:rsidRPr="00145B70">
        <w:t xml:space="preserve"> en premier lieu</w:t>
      </w:r>
      <w:r w:rsidR="001C6790" w:rsidRPr="00145B70">
        <w:t xml:space="preserve"> sa jurisprudence antérieure</w:t>
      </w:r>
      <w:r w:rsidR="00ED4851">
        <w:rPr>
          <w:rStyle w:val="Appelnotedebasdep"/>
        </w:rPr>
        <w:footnoteReference w:id="4"/>
      </w:r>
      <w:r w:rsidR="001C6790" w:rsidRPr="00145B70">
        <w:t>, en vertu de laquelle il n’existe pas de droit à mourir avec l’assistance d’un tiers ou de l’État (§ 119</w:t>
      </w:r>
      <w:r w:rsidR="001C6790" w:rsidRPr="00B958A2">
        <w:t>)</w:t>
      </w:r>
      <w:r w:rsidR="001C6790" w:rsidRPr="00145B70">
        <w:t> au sens de la Convention. Réciproquement, aux yeux des juges majoritaires, le droit à la vie tel que consacré par la Convention n’interdit pas en soi la pratique de l’euthanasie (§ 138).</w:t>
      </w:r>
    </w:p>
    <w:p w14:paraId="6A4432C6" w14:textId="5152186A" w:rsidR="001C6790" w:rsidRPr="006665A8" w:rsidRDefault="004B73B4" w:rsidP="005065FB">
      <w:r>
        <w:t>D</w:t>
      </w:r>
      <w:r w:rsidR="001C6790" w:rsidRPr="001C6790">
        <w:t xml:space="preserve">ans son opinion partiellement dissidente, </w:t>
      </w:r>
      <w:r w:rsidR="006665A8">
        <w:t>l</w:t>
      </w:r>
      <w:r w:rsidR="006665A8" w:rsidRPr="001C6790">
        <w:t xml:space="preserve">e juge </w:t>
      </w:r>
      <w:proofErr w:type="spellStart"/>
      <w:r w:rsidR="006665A8" w:rsidRPr="001C6790">
        <w:t>Serghides</w:t>
      </w:r>
      <w:proofErr w:type="spellEnd"/>
      <w:r w:rsidR="006665A8" w:rsidRPr="001C6790">
        <w:t xml:space="preserve"> </w:t>
      </w:r>
      <w:r w:rsidR="001C6790" w:rsidRPr="001C6790">
        <w:t>se démarque de cette interprétation évolutive</w:t>
      </w:r>
      <w:r>
        <w:t xml:space="preserve"> </w:t>
      </w:r>
      <w:r w:rsidR="001C6790" w:rsidRPr="001C6790">
        <w:t xml:space="preserve">et considère que « si les rédacteurs de la Convention avaient voulu faire figurer l’euthanasie dans la liste des exceptions au droit à la vie, ils l’auraient incluse » dans la </w:t>
      </w:r>
      <w:r>
        <w:t>CEDH</w:t>
      </w:r>
      <w:r w:rsidR="001C6790" w:rsidRPr="001C6790">
        <w:t>, ce qui n’est pas le cas.</w:t>
      </w:r>
    </w:p>
    <w:p w14:paraId="555CB384" w14:textId="3D3DB5A8" w:rsidR="001C6790" w:rsidRPr="006665A8" w:rsidRDefault="001C6790" w:rsidP="005065FB">
      <w:r w:rsidRPr="006665A8">
        <w:t>En l’espèce, la Cour considère que la pratique de l’euthanasie telle que dépénalisée par la Belgique peut être considérée comme compatible avec l</w:t>
      </w:r>
      <w:r w:rsidR="004B73B4">
        <w:t>’article 2 de la CEDH</w:t>
      </w:r>
      <w:r w:rsidRPr="006665A8">
        <w:t>, sous réserve du respect de trois conditions, à vérifier dans chaque cas (§ 141) :</w:t>
      </w:r>
    </w:p>
    <w:p w14:paraId="605FA3C5" w14:textId="656EB5E0" w:rsidR="001C6790" w:rsidRPr="006665A8" w:rsidRDefault="001C6790" w:rsidP="00805350">
      <w:pPr>
        <w:pStyle w:val="Paragraphedeliste"/>
        <w:numPr>
          <w:ilvl w:val="0"/>
          <w:numId w:val="12"/>
        </w:numPr>
      </w:pPr>
      <w:r w:rsidRPr="006665A8">
        <w:t>« l’existence dans le droit et la pratique internes d’un cadre législatif relatif aux actes préalables à l’euthanasie conforme aux exigences de l’article 2 de la Convention »</w:t>
      </w:r>
    </w:p>
    <w:p w14:paraId="501AAE15" w14:textId="7BC18FC5" w:rsidR="001C6790" w:rsidRPr="006665A8" w:rsidRDefault="00805350" w:rsidP="00805350">
      <w:pPr>
        <w:pStyle w:val="Paragraphedeliste"/>
        <w:numPr>
          <w:ilvl w:val="0"/>
          <w:numId w:val="12"/>
        </w:numPr>
      </w:pPr>
      <w:r>
        <w:t>« </w:t>
      </w:r>
      <w:r w:rsidR="001C6790" w:rsidRPr="006665A8">
        <w:t>le respect du cadre législatif établi dans le cas d’espèce »</w:t>
      </w:r>
    </w:p>
    <w:p w14:paraId="3A4221FB" w14:textId="6AC38FDA" w:rsidR="001C6790" w:rsidRPr="001C6790" w:rsidRDefault="001C6790" w:rsidP="00805350">
      <w:pPr>
        <w:pStyle w:val="Paragraphedeliste"/>
        <w:numPr>
          <w:ilvl w:val="0"/>
          <w:numId w:val="12"/>
        </w:numPr>
      </w:pPr>
      <w:r w:rsidRPr="001C6790">
        <w:t>« l’existence d’un contrôle</w:t>
      </w:r>
      <w:r w:rsidRPr="00805350">
        <w:rPr>
          <w:i/>
          <w:iCs/>
        </w:rPr>
        <w:t> a posteriori </w:t>
      </w:r>
      <w:r w:rsidRPr="001C6790">
        <w:t>offrant toutes les garanties requises par l’article 2 de la Convention »</w:t>
      </w:r>
    </w:p>
    <w:p w14:paraId="161E6BB5" w14:textId="77777777" w:rsidR="001C6790" w:rsidRPr="001C6790" w:rsidRDefault="001C6790" w:rsidP="00B76464">
      <w:pPr>
        <w:pStyle w:val="Titre2"/>
      </w:pPr>
      <w:r w:rsidRPr="001C6790">
        <w:lastRenderedPageBreak/>
        <w:t>Le cadre législatif belge est jugé conforme à la CEDH, y compris pour l’euthanasie en cas de dépression</w:t>
      </w:r>
    </w:p>
    <w:p w14:paraId="0D5829B9" w14:textId="0B977021" w:rsidR="001C6790" w:rsidRPr="001C6790" w:rsidRDefault="001C6790" w:rsidP="005065FB">
      <w:r w:rsidRPr="001C6790">
        <w:t>En premier lieu, selon les juges majoritaire</w:t>
      </w:r>
      <w:r w:rsidRPr="004B73B4">
        <w:t>s, les conditions mentionnées dans la loi belge s’avèrent compatibles avec le droit à la</w:t>
      </w:r>
      <w:r w:rsidRPr="001C6790">
        <w:t xml:space="preserve"> vie. La Cour tient également compte des exigences supplémentaires prévues lorsqu’un patient demande l’euthanasie pour cause de souffrance psychique et non physique, alors que sa mort n’est pas attendue à brève échéance (§ 148-153). La Cour cite notamment le délai d’un mois requis entre la demande formelle d’euthanasie et l’acte d’euthanasie, ainsi que l’exigence relative à la consultation d’un médecin supplémentaire, indépendant tant à l’égard du patient qu’à l’égard du médecin traitant, et qui doit être compétent quant à la pathologie concernée (§ 151).</w:t>
      </w:r>
    </w:p>
    <w:p w14:paraId="0A456937" w14:textId="77777777" w:rsidR="001C6790" w:rsidRPr="001C6790" w:rsidRDefault="001C6790" w:rsidP="00B76464">
      <w:pPr>
        <w:pStyle w:val="Titre2"/>
      </w:pPr>
      <w:r w:rsidRPr="001C6790">
        <w:t>L’euthanasie litigieuse est jugée conforme au cadre légal</w:t>
      </w:r>
    </w:p>
    <w:p w14:paraId="23E20FA4" w14:textId="6BFD3A1C" w:rsidR="001C6790" w:rsidRPr="001C6790" w:rsidRDefault="001C6790" w:rsidP="005065FB">
      <w:r w:rsidRPr="001C6790">
        <w:t>Sur le deuxième critère</w:t>
      </w:r>
      <w:r w:rsidR="002B3968">
        <w:t>,</w:t>
      </w:r>
      <w:r w:rsidRPr="001C6790">
        <w:t xml:space="preserve"> la Cour conclut à </w:t>
      </w:r>
      <w:r w:rsidRPr="004B73B4">
        <w:t>l’absence de violation du cadre légal</w:t>
      </w:r>
      <w:r w:rsidRPr="001C6790">
        <w:t> dans le cas de l’euthanasie de la mère du requérant.</w:t>
      </w:r>
    </w:p>
    <w:p w14:paraId="327EC3F2" w14:textId="23F35797" w:rsidR="001C6790" w:rsidRPr="001C6790" w:rsidRDefault="001C6790" w:rsidP="005065FB">
      <w:r w:rsidRPr="001C6790">
        <w:t>Le requérant alléguait pourtant que </w:t>
      </w:r>
      <w:r w:rsidRPr="004B73B4">
        <w:t>sa mère avait effectué un don en faveur de l’association pro-euthanasie LEIF</w:t>
      </w:r>
      <w:r w:rsidR="004B73B4">
        <w:t xml:space="preserve"> (</w:t>
      </w:r>
      <w:proofErr w:type="spellStart"/>
      <w:r w:rsidR="004B73B4" w:rsidRPr="0052082F">
        <w:rPr>
          <w:i/>
          <w:iCs/>
        </w:rPr>
        <w:t>LevensEinde</w:t>
      </w:r>
      <w:proofErr w:type="spellEnd"/>
      <w:r w:rsidR="0052082F">
        <w:rPr>
          <w:i/>
          <w:iCs/>
        </w:rPr>
        <w:t xml:space="preserve"> </w:t>
      </w:r>
      <w:proofErr w:type="spellStart"/>
      <w:r w:rsidR="004B73B4" w:rsidRPr="0052082F">
        <w:rPr>
          <w:i/>
          <w:iCs/>
        </w:rPr>
        <w:t>Informati</w:t>
      </w:r>
      <w:r w:rsidR="0052082F">
        <w:rPr>
          <w:i/>
          <w:iCs/>
        </w:rPr>
        <w:t>e</w:t>
      </w:r>
      <w:proofErr w:type="spellEnd"/>
      <w:r w:rsidR="0052082F">
        <w:rPr>
          <w:i/>
          <w:iCs/>
        </w:rPr>
        <w:t xml:space="preserve"> </w:t>
      </w:r>
      <w:r w:rsidR="004B73B4" w:rsidRPr="0052082F">
        <w:rPr>
          <w:i/>
          <w:iCs/>
        </w:rPr>
        <w:t>Forum</w:t>
      </w:r>
      <w:r w:rsidR="0052082F">
        <w:t>)</w:t>
      </w:r>
      <w:r w:rsidRPr="001C6790">
        <w:t xml:space="preserve">, dont le président </w:t>
      </w:r>
      <w:r w:rsidR="004B73B4">
        <w:t>était</w:t>
      </w:r>
      <w:r w:rsidRPr="001C6790">
        <w:t xml:space="preserve"> Wim </w:t>
      </w:r>
      <w:proofErr w:type="spellStart"/>
      <w:r w:rsidRPr="001C6790">
        <w:t>Distelmans</w:t>
      </w:r>
      <w:proofErr w:type="spellEnd"/>
      <w:r w:rsidRPr="001C6790">
        <w:t>, le médecin qui l’euthanasiera quelques jours plus tard.</w:t>
      </w:r>
    </w:p>
    <w:p w14:paraId="442FEBB0" w14:textId="1F2360B9" w:rsidR="001C6790" w:rsidRPr="001C6790" w:rsidRDefault="001C6790" w:rsidP="005065FB">
      <w:r w:rsidRPr="001C6790">
        <w:t>Les juges majoritaires se contentent d’indiquer que </w:t>
      </w:r>
      <w:r w:rsidRPr="004B73B4">
        <w:t>2500€ ne constitue pas un montant susceptible de démonter un conflit d’intérêts</w:t>
      </w:r>
      <w:r w:rsidRPr="001C6790">
        <w:t xml:space="preserve">, et que le don est intervenu après la demande </w:t>
      </w:r>
      <w:r w:rsidR="0052082F">
        <w:t xml:space="preserve">formelle </w:t>
      </w:r>
      <w:r w:rsidRPr="001C6790">
        <w:t>d’euthanasie (§ 161), sans fournir davantage d’arguments sur ce plan.</w:t>
      </w:r>
    </w:p>
    <w:p w14:paraId="7D71916E" w14:textId="77777777" w:rsidR="001C6790" w:rsidRPr="001C6790" w:rsidRDefault="001C6790" w:rsidP="005065FB">
      <w:r w:rsidRPr="001C6790">
        <w:t>Quant au </w:t>
      </w:r>
      <w:r w:rsidRPr="004B73B4">
        <w:t>manque d’indépendance des deux médecins consultés</w:t>
      </w:r>
      <w:r w:rsidRPr="001C6790">
        <w:t xml:space="preserve">, la Cour ne voit aucun problème dans le fait que ceux-ci étaient, tout comme le Professeur </w:t>
      </w:r>
      <w:proofErr w:type="spellStart"/>
      <w:r w:rsidRPr="001C6790">
        <w:t>Distelmans</w:t>
      </w:r>
      <w:proofErr w:type="spellEnd"/>
      <w:r w:rsidRPr="001C6790">
        <w:t>, membres de l’association militante LEIF. En effet, selon la Cour, de nombreux médecins ont suivi une formation chez LEIF, « dont le but est d’assurer une fin de vie digne », aux termes de l’arrêt.</w:t>
      </w:r>
    </w:p>
    <w:p w14:paraId="5A54E2D5" w14:textId="1A0175DD" w:rsidR="001C6790" w:rsidRPr="001C6790" w:rsidRDefault="001C6790" w:rsidP="005065FB">
      <w:r w:rsidRPr="001C6790">
        <w:t>Il convient à cet égard de s’interroger sur la manière très orientée dont la CourEDH décrit en ces termes l’association LEIF, qui milite en réalité de façon continue pour l’extension de la loi belge sur l’euthanasie.</w:t>
      </w:r>
    </w:p>
    <w:p w14:paraId="058EFB9F" w14:textId="77777777" w:rsidR="001C6790" w:rsidRPr="001C6790" w:rsidRDefault="001C6790" w:rsidP="007905DE">
      <w:pPr>
        <w:pStyle w:val="Titre2"/>
      </w:pPr>
      <w:r w:rsidRPr="001C6790">
        <w:t>Le contrôle a posteriori est jugé non effectif et donc contraire au droit à la vie de la patiente</w:t>
      </w:r>
    </w:p>
    <w:p w14:paraId="5957A800" w14:textId="64643A60" w:rsidR="001C6790" w:rsidRPr="001C6790" w:rsidRDefault="001C6790" w:rsidP="005065FB">
      <w:r w:rsidRPr="001C6790">
        <w:t>Si la Cour valide le respect des deux premiers critères, tel n’est pas le cas pour le troisième critère relatif au contrôle </w:t>
      </w:r>
      <w:r w:rsidRPr="001C6790">
        <w:rPr>
          <w:i/>
          <w:iCs/>
        </w:rPr>
        <w:t>a posterio</w:t>
      </w:r>
      <w:r w:rsidR="001C78C4">
        <w:rPr>
          <w:i/>
          <w:iCs/>
        </w:rPr>
        <w:t>ri</w:t>
      </w:r>
      <w:r w:rsidRPr="001C6790">
        <w:t> de l’euthanasie.</w:t>
      </w:r>
    </w:p>
    <w:p w14:paraId="12D4EC68" w14:textId="16CE0BC9" w:rsidR="001C6790" w:rsidRPr="001C6790" w:rsidRDefault="001C6790" w:rsidP="005065FB">
      <w:r w:rsidRPr="001C6790">
        <w:t xml:space="preserve">En l’espèce, la Cour note que le Professeur </w:t>
      </w:r>
      <w:proofErr w:type="spellStart"/>
      <w:r w:rsidRPr="001C6790">
        <w:t>Distelmans</w:t>
      </w:r>
      <w:proofErr w:type="spellEnd"/>
      <w:r w:rsidRPr="001C6790">
        <w:t xml:space="preserve">, qui a pratiqué l’euthanasie sur la mère du requérant, siégeait dans la Commission fédérale de contrôle et d’évaluation de l’euthanasie, en tant que vice-président, y compris lors de la réunion </w:t>
      </w:r>
      <w:r w:rsidR="0052082F">
        <w:t>durant</w:t>
      </w:r>
      <w:r w:rsidRPr="001C6790">
        <w:t xml:space="preserve"> laquelle a été examiné</w:t>
      </w:r>
      <w:r w:rsidR="0052082F">
        <w:t xml:space="preserve">e </w:t>
      </w:r>
      <w:r w:rsidRPr="001C6790">
        <w:t>la légalité de l’euthanasie en question, sur la base d</w:t>
      </w:r>
      <w:r w:rsidR="00334B42">
        <w:t>u formulaire de déclaration</w:t>
      </w:r>
      <w:r w:rsidRPr="001C6790">
        <w:t xml:space="preserve"> qu’il avait lui-même complété.</w:t>
      </w:r>
    </w:p>
    <w:p w14:paraId="38E6EC44" w14:textId="1E1E558D" w:rsidR="001C6790" w:rsidRDefault="001C6790" w:rsidP="005065FB">
      <w:r w:rsidRPr="001C6790">
        <w:t>Aux yeux de la Cour, « le système de contrôle établi en l’espèce » n’offre pas de garantie suffisante d’indépendance</w:t>
      </w:r>
      <w:r w:rsidR="00FA14FD">
        <w:t xml:space="preserve"> </w:t>
      </w:r>
      <w:r w:rsidRPr="001C6790">
        <w:t>(§ 178).</w:t>
      </w:r>
      <w:r w:rsidR="00334B42">
        <w:t xml:space="preserve"> </w:t>
      </w:r>
      <w:r w:rsidRPr="001C6790">
        <w:t>Le fait que le médecin siégeant dans la Commission doive « rester silencieux » lors de l’examen du premier volet (anonyme) de la déclaration d’euthanasie qu’il a effectuée ne constitue aucunement une garantie.</w:t>
      </w:r>
    </w:p>
    <w:p w14:paraId="0E02C965" w14:textId="77777777" w:rsidR="001C6790" w:rsidRPr="00CA0019" w:rsidRDefault="001C6790" w:rsidP="005065FB">
      <w:r w:rsidRPr="00FA14FD">
        <w:lastRenderedPageBreak/>
        <w:t>Pour pallier ce manquement,</w:t>
      </w:r>
      <w:r w:rsidRPr="00FA14FD">
        <w:rPr>
          <w:b/>
          <w:bCs/>
        </w:rPr>
        <w:t> </w:t>
      </w:r>
      <w:r w:rsidRPr="00FA14FD">
        <w:t xml:space="preserve">la Cour se permet de suggérer d’augmenter le nombre de membres composant la Commission, afin d’éviter que le médecin qui a pratiqué l’euthanasie siège lors de la </w:t>
      </w:r>
      <w:r w:rsidRPr="00CA0019">
        <w:t>réunion durant laquelle sera contrôlée la déclaration relative à cette euthanasie.</w:t>
      </w:r>
    </w:p>
    <w:p w14:paraId="1BF4CF42" w14:textId="107A3D07" w:rsidR="001C6790" w:rsidRPr="001C6790" w:rsidRDefault="001C6790" w:rsidP="005065FB">
      <w:r w:rsidRPr="00CA0019">
        <w:t>Une telle suggestion de la Cour s’avère non seulement surprenante, mais, plus fondamentalement, </w:t>
      </w:r>
      <w:r w:rsidR="00FA14FD" w:rsidRPr="00CA0019">
        <w:t xml:space="preserve">potentiellement </w:t>
      </w:r>
      <w:r w:rsidRPr="00CA0019">
        <w:t>inopérante, dans</w:t>
      </w:r>
      <w:r w:rsidRPr="00FA14FD">
        <w:t xml:space="preserve"> la mesure où une proportion importante de médecins composant la Commission de contrôle </w:t>
      </w:r>
      <w:proofErr w:type="gramStart"/>
      <w:r w:rsidRPr="00FA14FD">
        <w:t>pratiquent</w:t>
      </w:r>
      <w:proofErr w:type="gramEnd"/>
      <w:r w:rsidRPr="00FA14FD">
        <w:t xml:space="preserve"> régulièrement des euthanasies. Pour être mise en œuvre, cette proposition impliquerait d’exclure ces médecins quasiment systématiquement de toute réunion.</w:t>
      </w:r>
    </w:p>
    <w:p w14:paraId="19BFC6DC" w14:textId="77777777" w:rsidR="001C6790" w:rsidRPr="001C6790" w:rsidRDefault="001C6790" w:rsidP="005065FB">
      <w:r w:rsidRPr="001C6790">
        <w:t>Quant aux deux enquêtes pénales menées par la justice belge respectivement deux et sept ans après l’euthanasie, la Cour prend note de l’absence d’effectivité de la première (</w:t>
      </w:r>
      <w:proofErr w:type="gramStart"/>
      <w:r w:rsidRPr="001C6790">
        <w:t>du reste reconnue</w:t>
      </w:r>
      <w:proofErr w:type="gramEnd"/>
      <w:r w:rsidRPr="001C6790">
        <w:t xml:space="preserve"> par le Gouvernement belge), mais note que la seconde a « été suffisamment approfondie ».</w:t>
      </w:r>
    </w:p>
    <w:p w14:paraId="5AB8A99B" w14:textId="69286944" w:rsidR="00A42139" w:rsidRDefault="001C6790" w:rsidP="005065FB">
      <w:r w:rsidRPr="001C6790">
        <w:t xml:space="preserve">L’absence d’indépendance de la Commission de contrôle et la durée de l’enquête pénale conduisent la Cour à conclure </w:t>
      </w:r>
      <w:r w:rsidR="00D60140">
        <w:t xml:space="preserve">à l’unanimité </w:t>
      </w:r>
      <w:r w:rsidRPr="001C6790">
        <w:t>à la violation de l’article 2 de la CEDH, relatif au droit à la vie (§ 184-185)</w:t>
      </w:r>
      <w:r w:rsidR="00D60140">
        <w:t> : selon les juges, la Belgique « a manqué à son obligation positive procédurale</w:t>
      </w:r>
      <w:r w:rsidR="00A42139">
        <w:t> » en l’espèce.</w:t>
      </w:r>
    </w:p>
    <w:p w14:paraId="5C63C635" w14:textId="77777777" w:rsidR="001C6790" w:rsidRPr="001C6790" w:rsidRDefault="001C6790" w:rsidP="00B76464">
      <w:pPr>
        <w:pStyle w:val="Titre1"/>
      </w:pPr>
      <w:r w:rsidRPr="001C6790">
        <w:t>Le droit à l’autonomie de la mère est privilégié au détriment du droit au respect de la vie familiale du fils</w:t>
      </w:r>
    </w:p>
    <w:p w14:paraId="7AB7C18E" w14:textId="4690B7CF" w:rsidR="001C6790" w:rsidRPr="0076249E" w:rsidRDefault="001C6790" w:rsidP="005065FB">
      <w:r w:rsidRPr="001C6790">
        <w:t xml:space="preserve">Enfin, le requérant </w:t>
      </w:r>
      <w:r w:rsidRPr="000D659C">
        <w:t xml:space="preserve">considérait également que les manquements de l’État belge à protéger la vie de sa mère constituait une violation de l’article 8 de la </w:t>
      </w:r>
      <w:r w:rsidR="000D659C" w:rsidRPr="000D659C">
        <w:t>CEDH</w:t>
      </w:r>
      <w:r w:rsidRPr="000D659C">
        <w:t>, sur le plan du droit au respect de sa vie familiale.</w:t>
      </w:r>
    </w:p>
    <w:p w14:paraId="768970C6" w14:textId="024AE8BE" w:rsidR="001C6790" w:rsidRPr="0076249E" w:rsidRDefault="001C6790" w:rsidP="005065FB">
      <w:r w:rsidRPr="0076249E">
        <w:t>La Cour estime néanmoins que, dans la mise en balance entre le droit à l’autonomie de la mère et le droit du requérant à sa vie familiale, la Belgique a pu légitimement privilégier le droit à l’autonomie de la mère, qui ne souhaitait pas échanger avec son fils au sujet de son euthanasie à venir.</w:t>
      </w:r>
    </w:p>
    <w:p w14:paraId="11B85671" w14:textId="77777777" w:rsidR="001C6790" w:rsidRPr="001C6790" w:rsidRDefault="001C6790" w:rsidP="005065FB">
      <w:r w:rsidRPr="001C6790">
        <w:t>La loi belge n’impose en effet au médecin de s’assurer que le patient a pu s’entretenir avec ses proches que dans la mesure où celui-ci en a exprimé la volonté. Les médecins avaient d’ailleurs suggéré à plusieurs reprises à la patiente de contacter ses enfants.</w:t>
      </w:r>
    </w:p>
    <w:p w14:paraId="67D8DFED" w14:textId="77777777" w:rsidR="001C6790" w:rsidRPr="001C6790" w:rsidRDefault="001C6790" w:rsidP="005065FB">
      <w:r w:rsidRPr="001C6790">
        <w:t>La Cour insiste finalement sur le </w:t>
      </w:r>
      <w:r w:rsidRPr="0076249E">
        <w:t>respect de la confidentialité et du secret médical</w:t>
      </w:r>
      <w:r w:rsidRPr="001C6790">
        <w:t>, et conclut à l’absence de violation de l’article 8 de la CEDH (§ 207).</w:t>
      </w:r>
    </w:p>
    <w:p w14:paraId="326632BF" w14:textId="0958AB4F" w:rsidR="001C6790" w:rsidRPr="001C6790" w:rsidRDefault="001C6790" w:rsidP="005065FB">
      <w:r w:rsidRPr="001C6790">
        <w:t xml:space="preserve">Dans leurs opinions, les juges </w:t>
      </w:r>
      <w:proofErr w:type="spellStart"/>
      <w:r w:rsidRPr="001C6790">
        <w:t>Serghides</w:t>
      </w:r>
      <w:proofErr w:type="spellEnd"/>
      <w:r w:rsidRPr="001C6790">
        <w:t xml:space="preserve"> et </w:t>
      </w:r>
      <w:proofErr w:type="spellStart"/>
      <w:r w:rsidRPr="001C6790">
        <w:t>Elósegui</w:t>
      </w:r>
      <w:proofErr w:type="spellEnd"/>
      <w:r w:rsidRPr="001C6790">
        <w:t xml:space="preserve"> s’opposent quant à eux à cette « vision purement individualiste »</w:t>
      </w:r>
      <w:r w:rsidR="002F4722">
        <w:rPr>
          <w:rStyle w:val="Appelnotedebasdep"/>
        </w:rPr>
        <w:footnoteReference w:id="5"/>
      </w:r>
      <w:r w:rsidRPr="001C6790">
        <w:t xml:space="preserve"> du concept d’autonomie de la personne, sans que soi</w:t>
      </w:r>
      <w:r w:rsidR="003A1E27">
        <w:t>en</w:t>
      </w:r>
      <w:r w:rsidRPr="001C6790">
        <w:t>t prise</w:t>
      </w:r>
      <w:r w:rsidR="003A1E27">
        <w:t>s</w:t>
      </w:r>
      <w:r w:rsidRPr="001C6790">
        <w:t xml:space="preserve"> en compte les relations du patient avec ses proches, famille et amis, et </w:t>
      </w:r>
      <w:r w:rsidRPr="0076249E">
        <w:t>l’impact de l’euthanasie</w:t>
      </w:r>
      <w:r w:rsidRPr="001C6790">
        <w:t> sur ces derniers.</w:t>
      </w:r>
    </w:p>
    <w:p w14:paraId="15B5949E" w14:textId="77777777" w:rsidR="001C6790" w:rsidRPr="001C6790" w:rsidRDefault="001C6790" w:rsidP="004102D0">
      <w:pPr>
        <w:pStyle w:val="Titre1"/>
        <w:numPr>
          <w:ilvl w:val="0"/>
          <w:numId w:val="0"/>
        </w:numPr>
        <w:ind w:left="360"/>
      </w:pPr>
      <w:r w:rsidRPr="001C6790">
        <w:lastRenderedPageBreak/>
        <w:t>Conclusion : Un positionnement contradictoire de la Cour vis-à-vis de la pratique de l’euthanasie en Belgique</w:t>
      </w:r>
    </w:p>
    <w:p w14:paraId="0C58A3F9" w14:textId="3F972CFF" w:rsidR="00686F4C" w:rsidRDefault="001C6790" w:rsidP="005065FB">
      <w:r w:rsidRPr="001C6790">
        <w:t>L’arrêt rendu par la Cour dans cette affaire </w:t>
      </w:r>
      <w:r w:rsidRPr="001C6790">
        <w:rPr>
          <w:i/>
          <w:iCs/>
        </w:rPr>
        <w:t>Mortier c. Belgique</w:t>
      </w:r>
      <w:r w:rsidRPr="001C6790">
        <w:t> s’avère important, dans la mesure où il s’agit de la première décision rendue à propos de la dépénalisation de l’euthanasie en Belgique.</w:t>
      </w:r>
    </w:p>
    <w:p w14:paraId="7D3B5BEB" w14:textId="14CCBF2F" w:rsidR="0083791E" w:rsidRDefault="001C6790" w:rsidP="005065FB">
      <w:r w:rsidRPr="00686F4C">
        <w:t xml:space="preserve">Cet arrêt intervient </w:t>
      </w:r>
      <w:r w:rsidR="00335E35">
        <w:t xml:space="preserve">précisément vingt ans après l’adoption de la loi belge sur l’euthanasie, </w:t>
      </w:r>
      <w:r w:rsidRPr="00686F4C">
        <w:t>dans un contexte où</w:t>
      </w:r>
      <w:r w:rsidR="00335E35">
        <w:t>, parallèlement à la croissance continue du nombre d’euthanasies déclarées,</w:t>
      </w:r>
      <w:r w:rsidRPr="00686F4C">
        <w:t xml:space="preserve"> se multiplient </w:t>
      </w:r>
      <w:r w:rsidR="00335E35">
        <w:t xml:space="preserve">également </w:t>
      </w:r>
      <w:r w:rsidRPr="00686F4C">
        <w:t>les études scientifiques arguant des multiples manquements liés à l’encadrement de l’euthanasie</w:t>
      </w:r>
      <w:r w:rsidR="00FF63E6">
        <w:t xml:space="preserve"> et à la persistance importante d’euthanasies clandestines</w:t>
      </w:r>
      <w:r w:rsidR="00686F4C" w:rsidRPr="00686F4C">
        <w:rPr>
          <w:vertAlign w:val="superscript"/>
        </w:rPr>
        <w:footnoteReference w:id="6"/>
      </w:r>
      <w:r w:rsidR="001C78C4">
        <w:t>.</w:t>
      </w:r>
    </w:p>
    <w:p w14:paraId="23FDAEBC" w14:textId="602F99E8" w:rsidR="00EF1370" w:rsidRDefault="00EF1370" w:rsidP="005065FB">
      <w:r>
        <w:t>La reconnaissance</w:t>
      </w:r>
      <w:r w:rsidR="0017787F">
        <w:t xml:space="preserve"> par la CourEDH</w:t>
      </w:r>
      <w:r>
        <w:t xml:space="preserve"> du caractère non parfaitement </w:t>
      </w:r>
      <w:r w:rsidR="0017787F">
        <w:t>satisfaisant du cadre belge en matière d’euthanasie</w:t>
      </w:r>
      <w:r w:rsidR="003F47B4">
        <w:t xml:space="preserve"> a d’ailleurs été </w:t>
      </w:r>
      <w:r w:rsidR="00755DC1">
        <w:t>suivie</w:t>
      </w:r>
      <w:r w:rsidR="003F47B4">
        <w:t xml:space="preserve"> d’une appréciation analogue par la Cour constitutionnelle de Belgique dans un arrêt rendu </w:t>
      </w:r>
      <w:r w:rsidR="00374B32">
        <w:t>deux semaines plus tard</w:t>
      </w:r>
      <w:r w:rsidR="00374B32">
        <w:rPr>
          <w:rStyle w:val="Appelnotedebasdep"/>
        </w:rPr>
        <w:footnoteReference w:id="7"/>
      </w:r>
      <w:r w:rsidR="001C78C4">
        <w:t>.</w:t>
      </w:r>
    </w:p>
    <w:p w14:paraId="6596DEBB" w14:textId="7A63B64A" w:rsidR="001C6790" w:rsidRPr="001C6790" w:rsidRDefault="001C6790" w:rsidP="005065FB">
      <w:r w:rsidRPr="001C6790">
        <w:t xml:space="preserve">Du </w:t>
      </w:r>
      <w:r w:rsidR="00C55A04">
        <w:t>raisonnement</w:t>
      </w:r>
      <w:r w:rsidRPr="001C6790">
        <w:t xml:space="preserve"> développé par la Cour</w:t>
      </w:r>
      <w:r w:rsidR="0083791E">
        <w:t>EDH</w:t>
      </w:r>
      <w:r w:rsidRPr="001C6790">
        <w:t xml:space="preserve">, il ressort </w:t>
      </w:r>
      <w:r w:rsidR="00EF1370">
        <w:t xml:space="preserve">néanmoins </w:t>
      </w:r>
      <w:r w:rsidRPr="001C6790">
        <w:t>une </w:t>
      </w:r>
      <w:r w:rsidRPr="00335E35">
        <w:t>contradiction flagrante</w:t>
      </w:r>
      <w:r w:rsidRPr="001C6790">
        <w:t>. D’un côté, les juges strasbourgeois estiment que les </w:t>
      </w:r>
      <w:r w:rsidRPr="00335E35">
        <w:t>conditions prévues par la loi belge ne posent </w:t>
      </w:r>
      <w:r w:rsidR="00335E35">
        <w:t>pas de</w:t>
      </w:r>
      <w:r w:rsidRPr="00335E35">
        <w:t xml:space="preserve"> difficulté</w:t>
      </w:r>
      <w:r w:rsidR="00335E35">
        <w:t xml:space="preserve"> </w:t>
      </w:r>
      <w:r w:rsidRPr="001C6790">
        <w:t>; de l’autre la Cour reconnaît une </w:t>
      </w:r>
      <w:r w:rsidRPr="00335E35">
        <w:t>absence de contrôle effectif </w:t>
      </w:r>
      <w:r w:rsidRPr="00335E35">
        <w:rPr>
          <w:i/>
          <w:iCs/>
        </w:rPr>
        <w:t>a posteriori</w:t>
      </w:r>
      <w:r w:rsidRPr="001C6790">
        <w:rPr>
          <w:i/>
          <w:iCs/>
        </w:rPr>
        <w:t> </w:t>
      </w:r>
      <w:r w:rsidRPr="001C6790">
        <w:t>dans le cas d’espèce.</w:t>
      </w:r>
    </w:p>
    <w:p w14:paraId="67EBA457" w14:textId="1D304EFF" w:rsidR="001C6790" w:rsidRPr="001C6790" w:rsidRDefault="001C6790" w:rsidP="005065FB">
      <w:r w:rsidRPr="001C6790">
        <w:t>Or, les manquements pointés par la Cour s’avèrent </w:t>
      </w:r>
      <w:r w:rsidRPr="00335E35">
        <w:t>récurrents</w:t>
      </w:r>
      <w:r w:rsidRPr="001C6790">
        <w:t xml:space="preserve">, </w:t>
      </w:r>
      <w:r w:rsidR="00335E35">
        <w:t>dans la mesure où ils</w:t>
      </w:r>
      <w:r w:rsidRPr="001C6790">
        <w:t xml:space="preserve"> concernent en réalité </w:t>
      </w:r>
      <w:r w:rsidRPr="00335E35">
        <w:t>tous les cas d’euthanasies dans lesquelles sont impliqués des médecins membres de la Commission de contrôle</w:t>
      </w:r>
      <w:r w:rsidRPr="001C6790">
        <w:rPr>
          <w:b/>
          <w:bCs/>
        </w:rPr>
        <w:t> </w:t>
      </w:r>
      <w:r w:rsidRPr="001C6790">
        <w:t>(nombreux à pratiquer régulièrement des euthanasies).</w:t>
      </w:r>
    </w:p>
    <w:p w14:paraId="560C99D6" w14:textId="21E21A1D" w:rsidR="001C6790" w:rsidRPr="001C6790" w:rsidRDefault="001C6790" w:rsidP="005065FB">
      <w:r w:rsidRPr="001C6790">
        <w:t>Si l’arrêt insiste sur l’absence d’incompatibilité en soi du cadre belge sur l’euthanasie avec la CEDH, les manquements spécifiques qu’elle soulève témoignent en l’occurrence d’un </w:t>
      </w:r>
      <w:r w:rsidRPr="00335E35">
        <w:t>problème proprement systémique</w:t>
      </w:r>
      <w:r w:rsidRPr="001C6790">
        <w:t> s’agissant de l’absence de contrôle impartial et effectif de la légalité des euthanasies</w:t>
      </w:r>
      <w:r w:rsidR="007E3E8A">
        <w:rPr>
          <w:rStyle w:val="Appelnotedebasdep"/>
        </w:rPr>
        <w:footnoteReference w:id="8"/>
      </w:r>
      <w:r w:rsidRPr="001C6790">
        <w:t>.</w:t>
      </w:r>
    </w:p>
    <w:p w14:paraId="3C7686BA" w14:textId="0F50CCC9" w:rsidR="001C6790" w:rsidRPr="001C6790" w:rsidRDefault="001C6790" w:rsidP="005065FB">
      <w:r w:rsidRPr="001C6790">
        <w:t>Le fait que la Cour reconnaisse l’absence d’effectivité du contrôle </w:t>
      </w:r>
      <w:r w:rsidRPr="001C6790">
        <w:rPr>
          <w:i/>
          <w:iCs/>
        </w:rPr>
        <w:t>a posteriori</w:t>
      </w:r>
      <w:r w:rsidRPr="001C6790">
        <w:t> rend encore plus fondamentales les critiques soulevées quant au non-respect récurrent des conditions prévues par la loi belge sur l’euthanasie</w:t>
      </w:r>
      <w:r w:rsidR="00D83866">
        <w:rPr>
          <w:rStyle w:val="Appelnotedebasdep"/>
        </w:rPr>
        <w:footnoteReference w:id="9"/>
      </w:r>
      <w:r w:rsidRPr="001C6790">
        <w:t>.</w:t>
      </w:r>
    </w:p>
    <w:p w14:paraId="2A1B5B33" w14:textId="07F985D6" w:rsidR="001C6790" w:rsidRDefault="001C6790" w:rsidP="005065FB">
      <w:r w:rsidRPr="001C6790">
        <w:lastRenderedPageBreak/>
        <w:t>Comment, en effet, s’assurer du respect véritable de ces conditions, lorsque le contrôle de ces mêmes conditions par la Commission de contrôle et les autorités judiciaires est considéré comme inopérant par la Cour ?</w:t>
      </w:r>
    </w:p>
    <w:p w14:paraId="7191B18D" w14:textId="59CB4DE3" w:rsidR="00C71E34" w:rsidRDefault="009543C0" w:rsidP="005065FB">
      <w:r>
        <w:t xml:space="preserve">Gageons qu’en dépit de son caractère équivoque, ce premier signal transmis par la CourEDH à la Belgique au sujet de </w:t>
      </w:r>
      <w:r w:rsidR="003D48E1">
        <w:t xml:space="preserve">l’euthanasie </w:t>
      </w:r>
      <w:r w:rsidR="001C78C4">
        <w:t>incitera</w:t>
      </w:r>
      <w:r w:rsidR="003D48E1">
        <w:t xml:space="preserve"> </w:t>
      </w:r>
      <w:r w:rsidR="001C78C4">
        <w:t xml:space="preserve">les autorités belges à opérer </w:t>
      </w:r>
      <w:r w:rsidR="003D48E1">
        <w:t>une évaluation véritable</w:t>
      </w:r>
      <w:r w:rsidR="00C81AEA">
        <w:t xml:space="preserve"> et complète</w:t>
      </w:r>
      <w:r w:rsidR="00C81AEA">
        <w:rPr>
          <w:rStyle w:val="Appelnotedebasdep"/>
        </w:rPr>
        <w:footnoteReference w:id="10"/>
      </w:r>
      <w:r w:rsidR="003D48E1">
        <w:t xml:space="preserve"> du cadre légal</w:t>
      </w:r>
      <w:r w:rsidR="008705A1">
        <w:t xml:space="preserve"> et de la pratique</w:t>
      </w:r>
      <w:r w:rsidR="003D48E1">
        <w:t xml:space="preserve"> </w:t>
      </w:r>
      <w:r w:rsidR="008705A1">
        <w:t>de l’</w:t>
      </w:r>
      <w:r w:rsidR="001C78C4">
        <w:t xml:space="preserve">euthanasie, </w:t>
      </w:r>
      <w:r w:rsidR="0004503E">
        <w:t>vingt ans après sa dépénalisation</w:t>
      </w:r>
      <w:r w:rsidR="00C81AEA">
        <w:t>.</w:t>
      </w:r>
    </w:p>
    <w:p w14:paraId="34CD6675" w14:textId="0603C5B5" w:rsidR="008705A1" w:rsidRDefault="00C24509" w:rsidP="005065FB">
      <w:pPr>
        <w:rPr>
          <w:i/>
          <w:iCs/>
        </w:rPr>
      </w:pPr>
      <w:r>
        <w:t xml:space="preserve">Plus largement, l’impact de cet arrêt sur d’autres contextes nationaux </w:t>
      </w:r>
      <w:r w:rsidR="00616377">
        <w:t>est potentiellement non négligeable, en particulier dans la perspective de l’adoption récente</w:t>
      </w:r>
      <w:r w:rsidR="004C41C8">
        <w:t>, en Espagne et en Autriche</w:t>
      </w:r>
      <w:r w:rsidR="00616377">
        <w:t xml:space="preserve"> </w:t>
      </w:r>
      <w:r w:rsidR="00C038FF">
        <w:t>– ou de la discussion parlementaire</w:t>
      </w:r>
      <w:r w:rsidR="004C41C8">
        <w:t xml:space="preserve"> à venir en Italie, Allemagne et en France </w:t>
      </w:r>
      <w:r w:rsidR="00C038FF">
        <w:t>– de lois relatives à l’euthanasie ou au suicide assisté</w:t>
      </w:r>
      <w:r w:rsidR="004C41C8">
        <w:t>.</w:t>
      </w:r>
      <w:r w:rsidR="005948AA">
        <w:t xml:space="preserve"> </w:t>
      </w:r>
      <w:r w:rsidR="00DB4307">
        <w:t>Les</w:t>
      </w:r>
      <w:r w:rsidR="005948AA">
        <w:t xml:space="preserve"> </w:t>
      </w:r>
      <w:r w:rsidR="000E5A6E">
        <w:t xml:space="preserve">trois </w:t>
      </w:r>
      <w:r w:rsidR="005948AA">
        <w:t xml:space="preserve">critères dégagés par la CourEDH dans l’affaire </w:t>
      </w:r>
      <w:r w:rsidR="005948AA">
        <w:rPr>
          <w:i/>
          <w:iCs/>
        </w:rPr>
        <w:t xml:space="preserve">Mortier </w:t>
      </w:r>
      <w:r w:rsidR="00DB4307">
        <w:t xml:space="preserve">ne </w:t>
      </w:r>
      <w:r w:rsidR="006D17F0">
        <w:t>semblent toutefois pouvoir</w:t>
      </w:r>
      <w:r w:rsidR="00DB4307">
        <w:t xml:space="preserve"> être transposés </w:t>
      </w:r>
      <w:r w:rsidR="00895C0F">
        <w:rPr>
          <w:i/>
          <w:iCs/>
        </w:rPr>
        <w:t>ipso facto</w:t>
      </w:r>
      <w:r w:rsidR="006D17F0">
        <w:t xml:space="preserve"> du cadre belge vers d’autres ordres juridiques,</w:t>
      </w:r>
      <w:r w:rsidR="000E5A6E">
        <w:t xml:space="preserve"> </w:t>
      </w:r>
      <w:r w:rsidR="00973F14">
        <w:t xml:space="preserve">s’agissant </w:t>
      </w:r>
      <w:r w:rsidR="000F5180">
        <w:t xml:space="preserve">en particulier </w:t>
      </w:r>
      <w:r w:rsidR="00973F14">
        <w:t xml:space="preserve">du troisième critère relatif au contrôle </w:t>
      </w:r>
      <w:r w:rsidR="00973F14">
        <w:rPr>
          <w:i/>
          <w:iCs/>
        </w:rPr>
        <w:t>a posteriori</w:t>
      </w:r>
      <w:r w:rsidR="00973F14">
        <w:t>, particulier à la Belgique</w:t>
      </w:r>
      <w:r w:rsidR="00973F14">
        <w:rPr>
          <w:i/>
          <w:iCs/>
        </w:rPr>
        <w:t>.</w:t>
      </w:r>
    </w:p>
    <w:p w14:paraId="524CD10A" w14:textId="09C657F9" w:rsidR="006A0A4F" w:rsidRPr="000F5180" w:rsidRDefault="009B4FA9" w:rsidP="005065FB">
      <w:r w:rsidRPr="000F5180">
        <w:t>D</w:t>
      </w:r>
      <w:r w:rsidR="00EF4649" w:rsidRPr="000F5180">
        <w:t>e nouveaux</w:t>
      </w:r>
      <w:r w:rsidR="005F40B8" w:rsidRPr="000F5180">
        <w:t xml:space="preserve"> arrêts et décisions </w:t>
      </w:r>
      <w:r w:rsidRPr="000F5180">
        <w:t xml:space="preserve">de la CourEDH </w:t>
      </w:r>
      <w:r w:rsidR="005F40B8" w:rsidRPr="000F5180">
        <w:t xml:space="preserve">sont </w:t>
      </w:r>
      <w:r w:rsidR="000F5180">
        <w:t xml:space="preserve">en tout cas </w:t>
      </w:r>
      <w:r w:rsidRPr="000F5180">
        <w:t>certainement</w:t>
      </w:r>
      <w:r w:rsidR="005F40B8" w:rsidRPr="000F5180">
        <w:t xml:space="preserve"> à attendre en la matière, </w:t>
      </w:r>
      <w:r w:rsidR="0056174D" w:rsidRPr="000F5180">
        <w:t>notamment sur le plan – non envisagé ici – de la</w:t>
      </w:r>
      <w:r w:rsidR="000F5180">
        <w:t xml:space="preserve"> protection de la</w:t>
      </w:r>
      <w:r w:rsidR="0056174D" w:rsidRPr="000F5180">
        <w:t xml:space="preserve"> liberté de conscience des soignants et de la liberté des établissements de santé face à la pratique de l’euthanasie</w:t>
      </w:r>
      <w:r w:rsidRPr="000F5180">
        <w:t>.</w:t>
      </w:r>
    </w:p>
    <w:sectPr w:rsidR="006A0A4F" w:rsidRPr="000F518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9F87C" w14:textId="77777777" w:rsidR="00BD135E" w:rsidRDefault="00BD135E" w:rsidP="005065FB">
      <w:r>
        <w:separator/>
      </w:r>
    </w:p>
  </w:endnote>
  <w:endnote w:type="continuationSeparator" w:id="0">
    <w:p w14:paraId="319D43B6" w14:textId="77777777" w:rsidR="00BD135E" w:rsidRDefault="00BD135E" w:rsidP="005065FB">
      <w:r>
        <w:continuationSeparator/>
      </w:r>
    </w:p>
  </w:endnote>
  <w:endnote w:type="continuationNotice" w:id="1">
    <w:p w14:paraId="75B7900F" w14:textId="77777777" w:rsidR="00BD135E" w:rsidRDefault="00BD135E" w:rsidP="005065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476">
    <w:altName w:val="Times New Roman"/>
    <w:charset w:val="00"/>
    <w:family w:val="auto"/>
    <w:pitch w:val="variable"/>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LTStd-Roman">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127C67" w14:textId="77777777" w:rsidR="00BD135E" w:rsidRDefault="00BD135E" w:rsidP="005065FB">
      <w:r>
        <w:separator/>
      </w:r>
    </w:p>
  </w:footnote>
  <w:footnote w:type="continuationSeparator" w:id="0">
    <w:p w14:paraId="676260BC" w14:textId="77777777" w:rsidR="00BD135E" w:rsidRDefault="00BD135E" w:rsidP="005065FB">
      <w:r>
        <w:continuationSeparator/>
      </w:r>
    </w:p>
  </w:footnote>
  <w:footnote w:type="continuationNotice" w:id="1">
    <w:p w14:paraId="7F170612" w14:textId="77777777" w:rsidR="00BD135E" w:rsidRDefault="00BD135E" w:rsidP="005065FB"/>
  </w:footnote>
  <w:footnote w:id="2">
    <w:p w14:paraId="5CFA1858" w14:textId="5478FDB5" w:rsidR="008A7F1C" w:rsidRDefault="008A7F1C">
      <w:pPr>
        <w:pStyle w:val="Notedebasdepage"/>
      </w:pPr>
      <w:r>
        <w:rPr>
          <w:rStyle w:val="Appelnotedebasdep"/>
        </w:rPr>
        <w:footnoteRef/>
      </w:r>
      <w:r>
        <w:t xml:space="preserve"> Par « euthanasie », il convient </w:t>
      </w:r>
      <w:r w:rsidR="00783CA7">
        <w:t xml:space="preserve">ici </w:t>
      </w:r>
      <w:r>
        <w:t>d’entendre, comme le précise l’article 2 de la loi belge</w:t>
      </w:r>
      <w:r w:rsidR="00CD30AB">
        <w:t xml:space="preserve"> du 28 mai 2002</w:t>
      </w:r>
      <w:r>
        <w:t xml:space="preserve"> relative à l’euthanasie, </w:t>
      </w:r>
      <w:r w:rsidR="00CD30AB">
        <w:t>« </w:t>
      </w:r>
      <w:r w:rsidRPr="008A7F1C">
        <w:t>l'acte, pratiqué par un tiers, qui met intentionnellement fin à la vie d'une personne à la demande de celle-ci</w:t>
      </w:r>
      <w:r w:rsidR="00CD30AB">
        <w:t> »</w:t>
      </w:r>
      <w:r w:rsidRPr="008A7F1C">
        <w:t>.</w:t>
      </w:r>
    </w:p>
  </w:footnote>
  <w:footnote w:id="3">
    <w:p w14:paraId="679857B8" w14:textId="3C51C3B6" w:rsidR="00A34DB6" w:rsidRPr="00B106E6" w:rsidRDefault="00A34DB6">
      <w:pPr>
        <w:pStyle w:val="Notedebasdepage"/>
        <w:rPr>
          <w:lang w:val="en-GB"/>
        </w:rPr>
      </w:pPr>
      <w:r>
        <w:rPr>
          <w:rStyle w:val="Appelnotedebasdep"/>
        </w:rPr>
        <w:footnoteRef/>
      </w:r>
      <w:r>
        <w:t xml:space="preserve"> Pour un</w:t>
      </w:r>
      <w:r w:rsidR="00B106E6">
        <w:t xml:space="preserve"> récit plus complet des faits, </w:t>
      </w:r>
      <w:proofErr w:type="spellStart"/>
      <w:r w:rsidR="00B106E6">
        <w:t>voy</w:t>
      </w:r>
      <w:proofErr w:type="spellEnd"/>
      <w:r w:rsidR="00B106E6">
        <w:t xml:space="preserve">. </w:t>
      </w:r>
      <w:r w:rsidR="00B106E6" w:rsidRPr="00B106E6">
        <w:rPr>
          <w:lang w:val="en-GB"/>
        </w:rPr>
        <w:t xml:space="preserve">R. </w:t>
      </w:r>
      <w:r w:rsidR="00B106E6" w:rsidRPr="00B106E6">
        <w:rPr>
          <w:smallCaps/>
          <w:lang w:val="en-GB"/>
        </w:rPr>
        <w:t>Aviv</w:t>
      </w:r>
      <w:r w:rsidR="00B106E6" w:rsidRPr="00B106E6">
        <w:rPr>
          <w:lang w:val="en-GB"/>
        </w:rPr>
        <w:t>, « The Death Treatment</w:t>
      </w:r>
      <w:r w:rsidR="001E5151">
        <w:rPr>
          <w:lang w:val="en-GB"/>
        </w:rPr>
        <w:t xml:space="preserve">. </w:t>
      </w:r>
      <w:r w:rsidR="001E5151" w:rsidRPr="001E5151">
        <w:rPr>
          <w:lang w:val="en-GB"/>
        </w:rPr>
        <w:t>When should people with a non-terminal illness be helped to die?</w:t>
      </w:r>
      <w:r w:rsidR="00B106E6" w:rsidRPr="00B106E6">
        <w:rPr>
          <w:lang w:val="en-GB"/>
        </w:rPr>
        <w:t xml:space="preserve"> », </w:t>
      </w:r>
      <w:r w:rsidR="00B106E6" w:rsidRPr="00B106E6">
        <w:rPr>
          <w:i/>
          <w:iCs/>
          <w:lang w:val="en-GB"/>
        </w:rPr>
        <w:t>The New Yorker</w:t>
      </w:r>
      <w:r w:rsidR="00B106E6" w:rsidRPr="00B106E6">
        <w:rPr>
          <w:lang w:val="en-GB"/>
        </w:rPr>
        <w:t xml:space="preserve">, 15 </w:t>
      </w:r>
      <w:proofErr w:type="spellStart"/>
      <w:r w:rsidR="00B106E6" w:rsidRPr="00B106E6">
        <w:rPr>
          <w:lang w:val="en-GB"/>
        </w:rPr>
        <w:t>jui</w:t>
      </w:r>
      <w:r w:rsidR="00B106E6">
        <w:rPr>
          <w:lang w:val="en-GB"/>
        </w:rPr>
        <w:t>n</w:t>
      </w:r>
      <w:proofErr w:type="spellEnd"/>
      <w:r w:rsidR="00B106E6">
        <w:rPr>
          <w:lang w:val="en-GB"/>
        </w:rPr>
        <w:t xml:space="preserve"> 2015.</w:t>
      </w:r>
    </w:p>
  </w:footnote>
  <w:footnote w:id="4">
    <w:p w14:paraId="09AC4DAE" w14:textId="0C435CC4" w:rsidR="00ED4851" w:rsidRPr="007140F0" w:rsidRDefault="00ED4851">
      <w:pPr>
        <w:pStyle w:val="Notedebasdepage"/>
      </w:pPr>
      <w:r>
        <w:rPr>
          <w:rStyle w:val="Appelnotedebasdep"/>
        </w:rPr>
        <w:footnoteRef/>
      </w:r>
      <w:r>
        <w:t xml:space="preserve"> CourEDH, </w:t>
      </w:r>
      <w:r w:rsidR="00B958A2">
        <w:t xml:space="preserve">arrêts </w:t>
      </w:r>
      <w:proofErr w:type="spellStart"/>
      <w:r w:rsidR="00B958A2" w:rsidRPr="00B958A2">
        <w:rPr>
          <w:i/>
          <w:iCs/>
        </w:rPr>
        <w:t>Pretty</w:t>
      </w:r>
      <w:proofErr w:type="spellEnd"/>
      <w:r w:rsidR="00B958A2" w:rsidRPr="00B958A2">
        <w:rPr>
          <w:i/>
          <w:iCs/>
        </w:rPr>
        <w:t xml:space="preserve"> c. </w:t>
      </w:r>
      <w:r w:rsidR="00B958A2">
        <w:rPr>
          <w:i/>
          <w:iCs/>
        </w:rPr>
        <w:t>Royaume-Uni</w:t>
      </w:r>
      <w:r w:rsidR="00B958A2">
        <w:t xml:space="preserve"> (</w:t>
      </w:r>
      <w:r w:rsidR="007140F0">
        <w:t xml:space="preserve">29 avril 2002, </w:t>
      </w:r>
      <w:proofErr w:type="spellStart"/>
      <w:r w:rsidR="007140F0">
        <w:t>req</w:t>
      </w:r>
      <w:proofErr w:type="spellEnd"/>
      <w:r w:rsidR="007140F0">
        <w:t>. n° 2</w:t>
      </w:r>
      <w:r w:rsidR="007140F0" w:rsidRPr="007140F0">
        <w:t>346/02)</w:t>
      </w:r>
      <w:r w:rsidR="00B958A2" w:rsidRPr="00B958A2">
        <w:rPr>
          <w:i/>
          <w:iCs/>
        </w:rPr>
        <w:t> </w:t>
      </w:r>
      <w:r w:rsidR="00B958A2" w:rsidRPr="00B958A2">
        <w:t>et </w:t>
      </w:r>
      <w:proofErr w:type="spellStart"/>
      <w:r w:rsidR="00B958A2" w:rsidRPr="00B958A2">
        <w:rPr>
          <w:i/>
          <w:iCs/>
        </w:rPr>
        <w:t>Lings</w:t>
      </w:r>
      <w:proofErr w:type="spellEnd"/>
      <w:r w:rsidR="00B958A2" w:rsidRPr="00B958A2">
        <w:rPr>
          <w:i/>
          <w:iCs/>
        </w:rPr>
        <w:t>. c. Danemark</w:t>
      </w:r>
      <w:r w:rsidR="007140F0">
        <w:rPr>
          <w:i/>
          <w:iCs/>
        </w:rPr>
        <w:t xml:space="preserve"> </w:t>
      </w:r>
      <w:r w:rsidR="006665A8">
        <w:t xml:space="preserve">(12 avril 2022, </w:t>
      </w:r>
      <w:proofErr w:type="spellStart"/>
      <w:r w:rsidR="006665A8">
        <w:t>req</w:t>
      </w:r>
      <w:proofErr w:type="spellEnd"/>
      <w:r w:rsidR="006665A8">
        <w:t xml:space="preserve">. n° </w:t>
      </w:r>
      <w:r w:rsidR="006665A8" w:rsidRPr="006665A8">
        <w:t>15136/20)</w:t>
      </w:r>
    </w:p>
  </w:footnote>
  <w:footnote w:id="5">
    <w:p w14:paraId="4476088C" w14:textId="1C8D1A78" w:rsidR="002F4722" w:rsidRPr="004B0511" w:rsidRDefault="002F4722">
      <w:pPr>
        <w:pStyle w:val="Notedebasdepage"/>
      </w:pPr>
      <w:r>
        <w:rPr>
          <w:rStyle w:val="Appelnotedebasdep"/>
        </w:rPr>
        <w:footnoteRef/>
      </w:r>
      <w:r w:rsidRPr="004B0511">
        <w:t xml:space="preserve"> Opinion </w:t>
      </w:r>
      <w:r w:rsidR="004B0511" w:rsidRPr="004B0511">
        <w:t xml:space="preserve">partiellement concordante et partiellement dissidente de la juge </w:t>
      </w:r>
      <w:proofErr w:type="spellStart"/>
      <w:r w:rsidR="004B0511" w:rsidRPr="004B0511">
        <w:t>Elósegui</w:t>
      </w:r>
      <w:proofErr w:type="spellEnd"/>
      <w:r w:rsidR="004B0511">
        <w:t xml:space="preserve">, pt. </w:t>
      </w:r>
      <w:r w:rsidR="0083791E">
        <w:t>31.</w:t>
      </w:r>
    </w:p>
  </w:footnote>
  <w:footnote w:id="6">
    <w:p w14:paraId="01B1EEFF" w14:textId="61AEBF9B" w:rsidR="00686F4C" w:rsidRPr="00A135B2" w:rsidRDefault="00686F4C" w:rsidP="00686F4C">
      <w:pPr>
        <w:pStyle w:val="Notedebasdepage"/>
        <w:rPr>
          <w:lang w:val="en-GB"/>
        </w:rPr>
      </w:pPr>
      <w:r>
        <w:rPr>
          <w:rStyle w:val="Appelnotedebasdep"/>
        </w:rPr>
        <w:footnoteRef/>
      </w:r>
      <w:r w:rsidRPr="00353247">
        <w:rPr>
          <w:lang w:val="en-GB"/>
        </w:rPr>
        <w:t xml:space="preserve"> </w:t>
      </w:r>
      <w:proofErr w:type="spellStart"/>
      <w:r>
        <w:rPr>
          <w:lang w:val="en-GB"/>
        </w:rPr>
        <w:t>Voy</w:t>
      </w:r>
      <w:proofErr w:type="spellEnd"/>
      <w:r>
        <w:rPr>
          <w:lang w:val="en-GB"/>
        </w:rPr>
        <w:t>. en particulier</w:t>
      </w:r>
      <w:r w:rsidRPr="00353247">
        <w:rPr>
          <w:lang w:val="en-GB"/>
        </w:rPr>
        <w:t xml:space="preserve"> </w:t>
      </w:r>
      <w:r>
        <w:rPr>
          <w:lang w:val="en-GB"/>
        </w:rPr>
        <w:t xml:space="preserve">K. </w:t>
      </w:r>
      <w:proofErr w:type="spellStart"/>
      <w:r w:rsidRPr="00353247">
        <w:rPr>
          <w:smallCaps/>
          <w:lang w:val="en-GB"/>
        </w:rPr>
        <w:t>Raus</w:t>
      </w:r>
      <w:proofErr w:type="spellEnd"/>
      <w:r w:rsidRPr="00353247">
        <w:rPr>
          <w:lang w:val="en-GB"/>
        </w:rPr>
        <w:t xml:space="preserve">, </w:t>
      </w:r>
      <w:r>
        <w:rPr>
          <w:lang w:val="en-GB"/>
        </w:rPr>
        <w:t>B.</w:t>
      </w:r>
      <w:r w:rsidRPr="00353247">
        <w:rPr>
          <w:lang w:val="en-GB"/>
        </w:rPr>
        <w:t xml:space="preserve"> </w:t>
      </w:r>
      <w:r w:rsidRPr="00353247">
        <w:rPr>
          <w:smallCaps/>
          <w:lang w:val="en-GB"/>
        </w:rPr>
        <w:t>Vanderhaegen</w:t>
      </w:r>
      <w:r>
        <w:rPr>
          <w:lang w:val="en-GB"/>
        </w:rPr>
        <w:t xml:space="preserve"> et S.</w:t>
      </w:r>
      <w:r w:rsidRPr="00353247">
        <w:rPr>
          <w:lang w:val="en-GB"/>
        </w:rPr>
        <w:t xml:space="preserve"> </w:t>
      </w:r>
      <w:r w:rsidRPr="00353247">
        <w:rPr>
          <w:smallCaps/>
          <w:lang w:val="en-GB"/>
        </w:rPr>
        <w:t>Sterckx</w:t>
      </w:r>
      <w:r w:rsidRPr="00353247">
        <w:rPr>
          <w:lang w:val="en-GB"/>
        </w:rPr>
        <w:t xml:space="preserve">, </w:t>
      </w:r>
      <w:r w:rsidR="00353247" w:rsidRPr="00353247">
        <w:rPr>
          <w:lang w:val="en-GB"/>
        </w:rPr>
        <w:t xml:space="preserve">« </w:t>
      </w:r>
      <w:r w:rsidRPr="00353247">
        <w:rPr>
          <w:lang w:val="en-GB"/>
        </w:rPr>
        <w:t>Euthanasia in Belgium: Shortcomings of the Law and Its Application and of the Monitoring of Practice</w:t>
      </w:r>
      <w:r>
        <w:rPr>
          <w:lang w:val="en-GB"/>
        </w:rPr>
        <w:t xml:space="preserve"> </w:t>
      </w:r>
      <w:r w:rsidRPr="00353247">
        <w:rPr>
          <w:lang w:val="en-GB"/>
        </w:rPr>
        <w:t xml:space="preserve">», </w:t>
      </w:r>
      <w:r w:rsidRPr="00353247">
        <w:rPr>
          <w:i/>
          <w:iCs/>
          <w:lang w:val="en-GB"/>
        </w:rPr>
        <w:t>The Journal of Medicine and Philosophy: A Forum for Bioethics and Philosophy of Medicine</w:t>
      </w:r>
      <w:r w:rsidRPr="00353247">
        <w:rPr>
          <w:lang w:val="en-GB"/>
        </w:rPr>
        <w:t xml:space="preserve">, </w:t>
      </w:r>
      <w:r>
        <w:rPr>
          <w:lang w:val="en-GB"/>
        </w:rPr>
        <w:t>2021, vol.</w:t>
      </w:r>
      <w:r w:rsidRPr="00353247">
        <w:rPr>
          <w:lang w:val="en-GB"/>
        </w:rPr>
        <w:t xml:space="preserve"> 46, </w:t>
      </w:r>
      <w:r>
        <w:rPr>
          <w:lang w:val="en-GB"/>
        </w:rPr>
        <w:t>n°</w:t>
      </w:r>
      <w:r w:rsidRPr="00353247">
        <w:rPr>
          <w:lang w:val="en-GB"/>
        </w:rPr>
        <w:t xml:space="preserve"> 1, </w:t>
      </w:r>
      <w:r>
        <w:rPr>
          <w:lang w:val="en-GB"/>
        </w:rPr>
        <w:t>pp.</w:t>
      </w:r>
      <w:r w:rsidRPr="00353247">
        <w:rPr>
          <w:lang w:val="en-GB"/>
        </w:rPr>
        <w:t xml:space="preserve"> 80–107</w:t>
      </w:r>
      <w:r>
        <w:rPr>
          <w:lang w:val="en-GB"/>
        </w:rPr>
        <w:t>.</w:t>
      </w:r>
      <w:r w:rsidR="003F6808">
        <w:rPr>
          <w:lang w:val="en-GB"/>
        </w:rPr>
        <w:t xml:space="preserve"> </w:t>
      </w:r>
      <w:r w:rsidR="003F6808" w:rsidRPr="003F6808">
        <w:t>Le</w:t>
      </w:r>
      <w:r w:rsidR="003F6808">
        <w:t xml:space="preserve">s auteurs pointent </w:t>
      </w:r>
      <w:r w:rsidR="00995370">
        <w:t>l</w:t>
      </w:r>
      <w:r w:rsidR="00B35A93">
        <w:t xml:space="preserve">’interprétation extensive des conditions légales, le manque d’indépendance des médecins consultés </w:t>
      </w:r>
      <w:r w:rsidR="00B35A93">
        <w:rPr>
          <w:i/>
          <w:iCs/>
        </w:rPr>
        <w:t>a priori</w:t>
      </w:r>
      <w:r w:rsidR="00B35A93">
        <w:t xml:space="preserve"> et </w:t>
      </w:r>
      <w:r w:rsidR="003F6808">
        <w:t>l’absence de contrôle effectif</w:t>
      </w:r>
      <w:r w:rsidR="00B35A93">
        <w:t xml:space="preserve"> </w:t>
      </w:r>
      <w:r w:rsidR="00B35A93">
        <w:rPr>
          <w:i/>
          <w:iCs/>
        </w:rPr>
        <w:t>a posteriori.</w:t>
      </w:r>
      <w:r w:rsidR="009543C0">
        <w:t xml:space="preserve"> </w:t>
      </w:r>
      <w:r w:rsidRPr="00A135B2">
        <w:t xml:space="preserve">Sur </w:t>
      </w:r>
      <w:r>
        <w:t>les enjeux soulevés par la pratique de l’</w:t>
      </w:r>
      <w:r w:rsidRPr="00A135B2">
        <w:t>euthanasie</w:t>
      </w:r>
      <w:r>
        <w:t xml:space="preserve"> </w:t>
      </w:r>
      <w:r w:rsidRPr="00A135B2">
        <w:t>sur des personnes atteintes d</w:t>
      </w:r>
      <w:r>
        <w:t xml:space="preserve">e troubles psychiatriques, </w:t>
      </w:r>
      <w:proofErr w:type="spellStart"/>
      <w:r>
        <w:t>voy</w:t>
      </w:r>
      <w:proofErr w:type="spellEnd"/>
      <w:r>
        <w:t xml:space="preserve">. </w:t>
      </w:r>
      <w:r w:rsidRPr="00A135B2">
        <w:rPr>
          <w:lang w:val="en-GB"/>
        </w:rPr>
        <w:t xml:space="preserve">M. </w:t>
      </w:r>
      <w:r w:rsidRPr="00362143">
        <w:rPr>
          <w:smallCaps/>
          <w:lang w:val="en-GB"/>
        </w:rPr>
        <w:t>De</w:t>
      </w:r>
      <w:r w:rsidRPr="00A135B2">
        <w:rPr>
          <w:lang w:val="en-GB"/>
        </w:rPr>
        <w:t xml:space="preserve"> </w:t>
      </w:r>
      <w:proofErr w:type="spellStart"/>
      <w:r w:rsidRPr="00362143">
        <w:rPr>
          <w:smallCaps/>
          <w:lang w:val="en-GB"/>
        </w:rPr>
        <w:t>Hert</w:t>
      </w:r>
      <w:proofErr w:type="spellEnd"/>
      <w:r w:rsidRPr="00A135B2">
        <w:rPr>
          <w:lang w:val="en-GB"/>
        </w:rPr>
        <w:t xml:space="preserve"> </w:t>
      </w:r>
      <w:r>
        <w:rPr>
          <w:lang w:val="en-GB"/>
        </w:rPr>
        <w:t>et al.</w:t>
      </w:r>
      <w:r w:rsidRPr="00A135B2">
        <w:rPr>
          <w:sz w:val="24"/>
          <w:szCs w:val="22"/>
          <w:lang w:val="en-GB"/>
        </w:rPr>
        <w:t xml:space="preserve"> </w:t>
      </w:r>
      <w:r w:rsidR="00353247" w:rsidRPr="00353247">
        <w:rPr>
          <w:lang w:val="en-GB"/>
        </w:rPr>
        <w:t>«</w:t>
      </w:r>
      <w:r w:rsidRPr="00A135B2">
        <w:rPr>
          <w:lang w:val="en-GB"/>
        </w:rPr>
        <w:t xml:space="preserve"> Improving control over euthanasia of persons with psychiatric illness: Lessons from the first Belgian criminal court case concerning euthanasia</w:t>
      </w:r>
      <w:r>
        <w:rPr>
          <w:lang w:val="en-GB"/>
        </w:rPr>
        <w:t xml:space="preserve"> </w:t>
      </w:r>
      <w:r w:rsidRPr="00A135B2">
        <w:rPr>
          <w:lang w:val="en-GB"/>
        </w:rPr>
        <w:t>»</w:t>
      </w:r>
      <w:r>
        <w:rPr>
          <w:lang w:val="en-GB"/>
        </w:rPr>
        <w:t xml:space="preserve">, </w:t>
      </w:r>
      <w:r w:rsidRPr="00A135B2">
        <w:rPr>
          <w:i/>
          <w:iCs/>
          <w:lang w:val="en-GB"/>
        </w:rPr>
        <w:t>Front Psychiatry</w:t>
      </w:r>
      <w:r>
        <w:rPr>
          <w:lang w:val="en-GB"/>
        </w:rPr>
        <w:t>,</w:t>
      </w:r>
      <w:r w:rsidRPr="00A135B2">
        <w:rPr>
          <w:lang w:val="en-GB"/>
        </w:rPr>
        <w:t xml:space="preserve"> 2022</w:t>
      </w:r>
      <w:r>
        <w:rPr>
          <w:lang w:val="en-GB"/>
        </w:rPr>
        <w:t xml:space="preserve">, n° </w:t>
      </w:r>
      <w:r w:rsidRPr="00362143">
        <w:rPr>
          <w:lang w:val="en-GB"/>
        </w:rPr>
        <w:t>1</w:t>
      </w:r>
      <w:r>
        <w:rPr>
          <w:lang w:val="en-GB"/>
        </w:rPr>
        <w:t>3</w:t>
      </w:r>
      <w:r w:rsidRPr="00A135B2">
        <w:rPr>
          <w:lang w:val="en-GB"/>
        </w:rPr>
        <w:t>.</w:t>
      </w:r>
    </w:p>
  </w:footnote>
  <w:footnote w:id="7">
    <w:p w14:paraId="059F1845" w14:textId="030829EF" w:rsidR="00374B32" w:rsidRDefault="00374B32">
      <w:pPr>
        <w:pStyle w:val="Notedebasdepage"/>
      </w:pPr>
      <w:r>
        <w:rPr>
          <w:rStyle w:val="Appelnotedebasdep"/>
        </w:rPr>
        <w:footnoteRef/>
      </w:r>
      <w:r>
        <w:t xml:space="preserve"> Cour constitutionnelle de Belgique, </w:t>
      </w:r>
      <w:r w:rsidR="00DA5620">
        <w:t xml:space="preserve">20 octobre 2022, </w:t>
      </w:r>
      <w:proofErr w:type="spellStart"/>
      <w:r w:rsidR="00DA5620">
        <w:t>R.G</w:t>
      </w:r>
      <w:proofErr w:type="spellEnd"/>
      <w:r w:rsidR="00DA5620">
        <w:t>. n° 134/2022 : est ici reconnue l’inconstitutionnalité du système de sanctions prévu par la loi belge sur l’euthanasie</w:t>
      </w:r>
      <w:r w:rsidR="005A7743">
        <w:t xml:space="preserve"> en ce que </w:t>
      </w:r>
      <w:r w:rsidR="00DA5620">
        <w:t xml:space="preserve">cette dernière </w:t>
      </w:r>
      <w:r w:rsidR="005A7743">
        <w:t xml:space="preserve">rattache la violation de </w:t>
      </w:r>
      <w:r w:rsidR="005A24B1">
        <w:t xml:space="preserve">toute </w:t>
      </w:r>
      <w:r w:rsidR="005A7743">
        <w:t>condition légale</w:t>
      </w:r>
      <w:r w:rsidR="005A24B1">
        <w:t xml:space="preserve"> </w:t>
      </w:r>
      <w:r w:rsidR="005A24B1" w:rsidRPr="005A24B1">
        <w:t>– substantielle ou procédurale –</w:t>
      </w:r>
      <w:r w:rsidR="005A7743">
        <w:t xml:space="preserve"> à l’incrimination de meurtre par empoisonnement.</w:t>
      </w:r>
    </w:p>
  </w:footnote>
  <w:footnote w:id="8">
    <w:p w14:paraId="70470C75" w14:textId="47CE5206" w:rsidR="007E3E8A" w:rsidRDefault="007E3E8A" w:rsidP="009E37F8">
      <w:pPr>
        <w:pStyle w:val="Notedebasdepage"/>
      </w:pPr>
      <w:r>
        <w:rPr>
          <w:rStyle w:val="Appelnotedebasdep"/>
        </w:rPr>
        <w:footnoteRef/>
      </w:r>
      <w:r>
        <w:t xml:space="preserve"> </w:t>
      </w:r>
      <w:proofErr w:type="spellStart"/>
      <w:r w:rsidR="00687F4C">
        <w:t>Voy</w:t>
      </w:r>
      <w:proofErr w:type="spellEnd"/>
      <w:r w:rsidR="00687F4C">
        <w:t>. en ce sens le pt. 4 de l</w:t>
      </w:r>
      <w:r w:rsidR="009543C0">
        <w:t>’</w:t>
      </w:r>
      <w:r w:rsidR="00687F4C">
        <w:t>o</w:t>
      </w:r>
      <w:r w:rsidRPr="007E3E8A">
        <w:t xml:space="preserve">pinion </w:t>
      </w:r>
      <w:r w:rsidR="004B0511" w:rsidRPr="004B0511">
        <w:t xml:space="preserve">partiellement </w:t>
      </w:r>
      <w:r w:rsidRPr="007E3E8A">
        <w:t xml:space="preserve">concordante et partiellement </w:t>
      </w:r>
      <w:r w:rsidR="004B0511" w:rsidRPr="004B0511">
        <w:t xml:space="preserve">dissidente de la juge </w:t>
      </w:r>
      <w:proofErr w:type="spellStart"/>
      <w:r w:rsidR="004B0511" w:rsidRPr="004B0511">
        <w:t>Elósegui</w:t>
      </w:r>
      <w:proofErr w:type="spellEnd"/>
      <w:r w:rsidR="00687F4C">
        <w:t xml:space="preserve"> : </w:t>
      </w:r>
      <w:r w:rsidR="00687F4C" w:rsidRPr="00706123">
        <w:t>«</w:t>
      </w:r>
      <w:r w:rsidR="009E37F8" w:rsidRPr="00706123">
        <w:t> </w:t>
      </w:r>
      <w:r w:rsidR="00706123" w:rsidRPr="00706123">
        <w:t>[j</w:t>
      </w:r>
      <w:r w:rsidR="009E37F8" w:rsidRPr="00706123">
        <w:t>e</w:t>
      </w:r>
      <w:r w:rsidR="00706123" w:rsidRPr="00706123">
        <w:t>]</w:t>
      </w:r>
      <w:r w:rsidR="009E37F8" w:rsidRPr="00706123">
        <w:t xml:space="preserve"> pense toutefois que le problème ne se limite pas au cas d´espèce, et que c’est de manière générale que le cadre législatif</w:t>
      </w:r>
      <w:r w:rsidR="009E37F8">
        <w:t xml:space="preserve"> actuel, qui prévoit un contrôle a posteriori de l’euthanasie, ne peut pas être considéré comme offrant des garanties suffisantes contre les abus, indépendamment de l’influence réelle qu’une personne pourrait avoir sur la décision »</w:t>
      </w:r>
      <w:r>
        <w:t>.</w:t>
      </w:r>
    </w:p>
  </w:footnote>
  <w:footnote w:id="9">
    <w:p w14:paraId="43696E21" w14:textId="3946B459" w:rsidR="00D83866" w:rsidRPr="001C78C4" w:rsidRDefault="00D83866">
      <w:pPr>
        <w:pStyle w:val="Notedebasdepage"/>
        <w:rPr>
          <w:i/>
          <w:iCs/>
        </w:rPr>
      </w:pPr>
      <w:r>
        <w:rPr>
          <w:rStyle w:val="Appelnotedebasdep"/>
        </w:rPr>
        <w:footnoteRef/>
      </w:r>
      <w:r>
        <w:t xml:space="preserve"> </w:t>
      </w:r>
      <w:r w:rsidR="00706123" w:rsidRPr="001C6790">
        <w:t>Parmi ces conditions, la possibilité de considérer comme incurable une affection psychique – dans ce cas précis, la </w:t>
      </w:r>
      <w:r w:rsidR="00706123" w:rsidRPr="00335E35">
        <w:t>dépression</w:t>
      </w:r>
      <w:r w:rsidR="00706123" w:rsidRPr="001C6790">
        <w:t> – est l’objet de multiples débats au sein du monde médical</w:t>
      </w:r>
      <w:r w:rsidR="001C78C4">
        <w:t xml:space="preserve"> : </w:t>
      </w:r>
      <w:proofErr w:type="spellStart"/>
      <w:r w:rsidR="001C78C4">
        <w:t>voy</w:t>
      </w:r>
      <w:proofErr w:type="spellEnd"/>
      <w:r w:rsidR="001C78C4">
        <w:t xml:space="preserve">. </w:t>
      </w:r>
      <w:r w:rsidR="001C78C4" w:rsidRPr="001C78C4">
        <w:rPr>
          <w:smallCaps/>
        </w:rPr>
        <w:t xml:space="preserve">De </w:t>
      </w:r>
      <w:proofErr w:type="spellStart"/>
      <w:r w:rsidR="001C78C4" w:rsidRPr="001C78C4">
        <w:rPr>
          <w:smallCaps/>
        </w:rPr>
        <w:t>Hert</w:t>
      </w:r>
      <w:proofErr w:type="spellEnd"/>
      <w:r w:rsidR="001C78C4">
        <w:t xml:space="preserve"> et al., </w:t>
      </w:r>
      <w:r w:rsidR="001C78C4">
        <w:rPr>
          <w:i/>
          <w:iCs/>
        </w:rPr>
        <w:t xml:space="preserve">op. </w:t>
      </w:r>
      <w:proofErr w:type="spellStart"/>
      <w:r w:rsidR="001C78C4">
        <w:rPr>
          <w:i/>
          <w:iCs/>
        </w:rPr>
        <w:t>cit</w:t>
      </w:r>
      <w:proofErr w:type="spellEnd"/>
      <w:r w:rsidR="001C78C4">
        <w:rPr>
          <w:i/>
          <w:iCs/>
        </w:rPr>
        <w:t>.</w:t>
      </w:r>
    </w:p>
  </w:footnote>
  <w:footnote w:id="10">
    <w:p w14:paraId="2D4DB101" w14:textId="4F5351D0" w:rsidR="00C81AEA" w:rsidRPr="0081765E" w:rsidRDefault="00C81AEA">
      <w:pPr>
        <w:pStyle w:val="Notedebasdepage"/>
      </w:pPr>
      <w:r>
        <w:rPr>
          <w:rStyle w:val="Appelnotedebasdep"/>
        </w:rPr>
        <w:footnoteRef/>
      </w:r>
      <w:r>
        <w:t xml:space="preserve"> En ce sens, </w:t>
      </w:r>
      <w:proofErr w:type="spellStart"/>
      <w:r>
        <w:t>voy</w:t>
      </w:r>
      <w:proofErr w:type="spellEnd"/>
      <w:r>
        <w:t xml:space="preserve">. </w:t>
      </w:r>
      <w:r w:rsidR="0081765E">
        <w:t xml:space="preserve">L. </w:t>
      </w:r>
      <w:r w:rsidR="0081765E" w:rsidRPr="001C78C4">
        <w:rPr>
          <w:smallCaps/>
        </w:rPr>
        <w:t>Vanbellingen</w:t>
      </w:r>
      <w:r w:rsidR="0081765E">
        <w:t>, « </w:t>
      </w:r>
      <w:r w:rsidR="0081765E" w:rsidRPr="0081765E">
        <w:t>L’euthanasie, 20 ans après - Pour une véritable évaluation de la loi belge</w:t>
      </w:r>
      <w:r w:rsidR="0081765E">
        <w:t xml:space="preserve"> », </w:t>
      </w:r>
      <w:r w:rsidR="0081765E">
        <w:rPr>
          <w:i/>
          <w:iCs/>
        </w:rPr>
        <w:t>Institut Européen de Bioéthique</w:t>
      </w:r>
      <w:r w:rsidR="0081765E">
        <w:t xml:space="preserve">, </w:t>
      </w:r>
      <w:r w:rsidR="001C78C4">
        <w:t xml:space="preserve">20 mai 2022, </w:t>
      </w:r>
      <w:hyperlink r:id="rId1" w:history="1">
        <w:r w:rsidR="001C78C4" w:rsidRPr="006D54B6">
          <w:rPr>
            <w:rStyle w:val="Lienhypertexte"/>
          </w:rPr>
          <w:t>www.ieb-eib.org</w:t>
        </w:r>
      </w:hyperlink>
      <w:r w:rsidR="001C78C4">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01C237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A394F5E"/>
    <w:multiLevelType w:val="hybridMultilevel"/>
    <w:tmpl w:val="3BB05DAE"/>
    <w:lvl w:ilvl="0" w:tplc="080C0019">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5301209"/>
    <w:multiLevelType w:val="hybridMultilevel"/>
    <w:tmpl w:val="93B616F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CB035A2"/>
    <w:multiLevelType w:val="hybridMultilevel"/>
    <w:tmpl w:val="09A07BE8"/>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43AC6785"/>
    <w:multiLevelType w:val="hybridMultilevel"/>
    <w:tmpl w:val="3B9C4720"/>
    <w:lvl w:ilvl="0" w:tplc="95E6022C">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457671F3"/>
    <w:multiLevelType w:val="hybridMultilevel"/>
    <w:tmpl w:val="670CC990"/>
    <w:lvl w:ilvl="0" w:tplc="809EC8D6">
      <w:start w:val="1"/>
      <w:numFmt w:val="upperRoman"/>
      <w:pStyle w:val="Titre1"/>
      <w:lvlText w:val="%1."/>
      <w:lvlJc w:val="righ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4D2D73F9"/>
    <w:multiLevelType w:val="hybridMultilevel"/>
    <w:tmpl w:val="FFB8CCAC"/>
    <w:lvl w:ilvl="0" w:tplc="1D7A32A2">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4E64256D"/>
    <w:multiLevelType w:val="hybridMultilevel"/>
    <w:tmpl w:val="17603F84"/>
    <w:lvl w:ilvl="0" w:tplc="23F6E7DC">
      <w:start w:val="1"/>
      <w:numFmt w:val="upperLetter"/>
      <w:pStyle w:val="Titre2"/>
      <w:lvlText w:val="%1."/>
      <w:lvlJc w:val="left"/>
      <w:pPr>
        <w:ind w:left="1077" w:hanging="360"/>
      </w:pPr>
    </w:lvl>
    <w:lvl w:ilvl="1" w:tplc="080C0019" w:tentative="1">
      <w:start w:val="1"/>
      <w:numFmt w:val="lowerLetter"/>
      <w:lvlText w:val="%2."/>
      <w:lvlJc w:val="left"/>
      <w:pPr>
        <w:ind w:left="1797" w:hanging="360"/>
      </w:pPr>
    </w:lvl>
    <w:lvl w:ilvl="2" w:tplc="080C001B" w:tentative="1">
      <w:start w:val="1"/>
      <w:numFmt w:val="lowerRoman"/>
      <w:lvlText w:val="%3."/>
      <w:lvlJc w:val="right"/>
      <w:pPr>
        <w:ind w:left="2517" w:hanging="180"/>
      </w:pPr>
    </w:lvl>
    <w:lvl w:ilvl="3" w:tplc="080C000F" w:tentative="1">
      <w:start w:val="1"/>
      <w:numFmt w:val="decimal"/>
      <w:lvlText w:val="%4."/>
      <w:lvlJc w:val="left"/>
      <w:pPr>
        <w:ind w:left="3237" w:hanging="360"/>
      </w:pPr>
    </w:lvl>
    <w:lvl w:ilvl="4" w:tplc="080C0019" w:tentative="1">
      <w:start w:val="1"/>
      <w:numFmt w:val="lowerLetter"/>
      <w:lvlText w:val="%5."/>
      <w:lvlJc w:val="left"/>
      <w:pPr>
        <w:ind w:left="3957" w:hanging="360"/>
      </w:pPr>
    </w:lvl>
    <w:lvl w:ilvl="5" w:tplc="080C001B" w:tentative="1">
      <w:start w:val="1"/>
      <w:numFmt w:val="lowerRoman"/>
      <w:lvlText w:val="%6."/>
      <w:lvlJc w:val="right"/>
      <w:pPr>
        <w:ind w:left="4677" w:hanging="180"/>
      </w:pPr>
    </w:lvl>
    <w:lvl w:ilvl="6" w:tplc="080C000F" w:tentative="1">
      <w:start w:val="1"/>
      <w:numFmt w:val="decimal"/>
      <w:lvlText w:val="%7."/>
      <w:lvlJc w:val="left"/>
      <w:pPr>
        <w:ind w:left="5397" w:hanging="360"/>
      </w:pPr>
    </w:lvl>
    <w:lvl w:ilvl="7" w:tplc="080C0019" w:tentative="1">
      <w:start w:val="1"/>
      <w:numFmt w:val="lowerLetter"/>
      <w:lvlText w:val="%8."/>
      <w:lvlJc w:val="left"/>
      <w:pPr>
        <w:ind w:left="6117" w:hanging="360"/>
      </w:pPr>
    </w:lvl>
    <w:lvl w:ilvl="8" w:tplc="080C001B" w:tentative="1">
      <w:start w:val="1"/>
      <w:numFmt w:val="lowerRoman"/>
      <w:lvlText w:val="%9."/>
      <w:lvlJc w:val="right"/>
      <w:pPr>
        <w:ind w:left="6837" w:hanging="180"/>
      </w:pPr>
    </w:lvl>
  </w:abstractNum>
  <w:abstractNum w:abstractNumId="8" w15:restartNumberingAfterBreak="0">
    <w:nsid w:val="683573E3"/>
    <w:multiLevelType w:val="hybridMultilevel"/>
    <w:tmpl w:val="AFC23A94"/>
    <w:lvl w:ilvl="0" w:tplc="DCF64FD2">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69A2493D"/>
    <w:multiLevelType w:val="hybridMultilevel"/>
    <w:tmpl w:val="C8747F24"/>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752D7FE7"/>
    <w:multiLevelType w:val="hybridMultilevel"/>
    <w:tmpl w:val="7ECA68A2"/>
    <w:lvl w:ilvl="0" w:tplc="81806AE4">
      <w:start w:val="1"/>
      <w:numFmt w:val="decimal"/>
      <w:pStyle w:val="Titre3"/>
      <w:lvlText w:val="%1."/>
      <w:lvlJc w:val="left"/>
      <w:pPr>
        <w:ind w:left="1800" w:hanging="360"/>
      </w:pPr>
    </w:lvl>
    <w:lvl w:ilvl="1" w:tplc="080C0019" w:tentative="1">
      <w:start w:val="1"/>
      <w:numFmt w:val="lowerLetter"/>
      <w:lvlText w:val="%2."/>
      <w:lvlJc w:val="left"/>
      <w:pPr>
        <w:ind w:left="2520" w:hanging="360"/>
      </w:pPr>
    </w:lvl>
    <w:lvl w:ilvl="2" w:tplc="080C001B" w:tentative="1">
      <w:start w:val="1"/>
      <w:numFmt w:val="lowerRoman"/>
      <w:lvlText w:val="%3."/>
      <w:lvlJc w:val="right"/>
      <w:pPr>
        <w:ind w:left="3240" w:hanging="180"/>
      </w:pPr>
    </w:lvl>
    <w:lvl w:ilvl="3" w:tplc="080C000F" w:tentative="1">
      <w:start w:val="1"/>
      <w:numFmt w:val="decimal"/>
      <w:lvlText w:val="%4."/>
      <w:lvlJc w:val="left"/>
      <w:pPr>
        <w:ind w:left="3960" w:hanging="360"/>
      </w:pPr>
    </w:lvl>
    <w:lvl w:ilvl="4" w:tplc="080C0019" w:tentative="1">
      <w:start w:val="1"/>
      <w:numFmt w:val="lowerLetter"/>
      <w:lvlText w:val="%5."/>
      <w:lvlJc w:val="left"/>
      <w:pPr>
        <w:ind w:left="4680" w:hanging="360"/>
      </w:pPr>
    </w:lvl>
    <w:lvl w:ilvl="5" w:tplc="080C001B" w:tentative="1">
      <w:start w:val="1"/>
      <w:numFmt w:val="lowerRoman"/>
      <w:lvlText w:val="%6."/>
      <w:lvlJc w:val="right"/>
      <w:pPr>
        <w:ind w:left="5400" w:hanging="180"/>
      </w:pPr>
    </w:lvl>
    <w:lvl w:ilvl="6" w:tplc="080C000F" w:tentative="1">
      <w:start w:val="1"/>
      <w:numFmt w:val="decimal"/>
      <w:lvlText w:val="%7."/>
      <w:lvlJc w:val="left"/>
      <w:pPr>
        <w:ind w:left="6120" w:hanging="360"/>
      </w:pPr>
    </w:lvl>
    <w:lvl w:ilvl="7" w:tplc="080C0019" w:tentative="1">
      <w:start w:val="1"/>
      <w:numFmt w:val="lowerLetter"/>
      <w:lvlText w:val="%8."/>
      <w:lvlJc w:val="left"/>
      <w:pPr>
        <w:ind w:left="6840" w:hanging="360"/>
      </w:pPr>
    </w:lvl>
    <w:lvl w:ilvl="8" w:tplc="080C001B" w:tentative="1">
      <w:start w:val="1"/>
      <w:numFmt w:val="lowerRoman"/>
      <w:lvlText w:val="%9."/>
      <w:lvlJc w:val="right"/>
      <w:pPr>
        <w:ind w:left="7560" w:hanging="180"/>
      </w:pPr>
    </w:lvl>
  </w:abstractNum>
  <w:num w:numId="1" w16cid:durableId="1138886112">
    <w:abstractNumId w:val="5"/>
  </w:num>
  <w:num w:numId="2" w16cid:durableId="1734430759">
    <w:abstractNumId w:val="7"/>
  </w:num>
  <w:num w:numId="3" w16cid:durableId="359476391">
    <w:abstractNumId w:val="10"/>
  </w:num>
  <w:num w:numId="4" w16cid:durableId="1862086937">
    <w:abstractNumId w:val="0"/>
  </w:num>
  <w:num w:numId="5" w16cid:durableId="12465619">
    <w:abstractNumId w:val="6"/>
  </w:num>
  <w:num w:numId="6" w16cid:durableId="664092916">
    <w:abstractNumId w:val="8"/>
  </w:num>
  <w:num w:numId="7" w16cid:durableId="1872568638">
    <w:abstractNumId w:val="2"/>
  </w:num>
  <w:num w:numId="8" w16cid:durableId="974869965">
    <w:abstractNumId w:val="1"/>
  </w:num>
  <w:num w:numId="9" w16cid:durableId="1741168900">
    <w:abstractNumId w:val="3"/>
  </w:num>
  <w:num w:numId="10" w16cid:durableId="1730494686">
    <w:abstractNumId w:val="9"/>
  </w:num>
  <w:num w:numId="11" w16cid:durableId="2127773682">
    <w:abstractNumId w:val="7"/>
    <w:lvlOverride w:ilvl="0">
      <w:startOverride w:val="1"/>
    </w:lvlOverride>
  </w:num>
  <w:num w:numId="12" w16cid:durableId="8879556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6FF7"/>
    <w:rsid w:val="00014D04"/>
    <w:rsid w:val="00014F63"/>
    <w:rsid w:val="00015348"/>
    <w:rsid w:val="00016F6A"/>
    <w:rsid w:val="00042749"/>
    <w:rsid w:val="0004503E"/>
    <w:rsid w:val="00065FB1"/>
    <w:rsid w:val="000747B8"/>
    <w:rsid w:val="000868BA"/>
    <w:rsid w:val="000A52E1"/>
    <w:rsid w:val="000D58AE"/>
    <w:rsid w:val="000D659C"/>
    <w:rsid w:val="000E4272"/>
    <w:rsid w:val="000E5A6E"/>
    <w:rsid w:val="000F5180"/>
    <w:rsid w:val="001107A7"/>
    <w:rsid w:val="00136056"/>
    <w:rsid w:val="00145881"/>
    <w:rsid w:val="00145B70"/>
    <w:rsid w:val="00155CAA"/>
    <w:rsid w:val="00155DB5"/>
    <w:rsid w:val="001565AD"/>
    <w:rsid w:val="00163210"/>
    <w:rsid w:val="0017787F"/>
    <w:rsid w:val="001830B6"/>
    <w:rsid w:val="001C3A37"/>
    <w:rsid w:val="001C6790"/>
    <w:rsid w:val="001C78C4"/>
    <w:rsid w:val="001E43D7"/>
    <w:rsid w:val="001E5151"/>
    <w:rsid w:val="001E58AD"/>
    <w:rsid w:val="001E6E65"/>
    <w:rsid w:val="001F2AC8"/>
    <w:rsid w:val="002262FD"/>
    <w:rsid w:val="0023727E"/>
    <w:rsid w:val="002507F4"/>
    <w:rsid w:val="00264626"/>
    <w:rsid w:val="002646CB"/>
    <w:rsid w:val="00273AAD"/>
    <w:rsid w:val="002A268E"/>
    <w:rsid w:val="002A49CD"/>
    <w:rsid w:val="002A6C6F"/>
    <w:rsid w:val="002B3968"/>
    <w:rsid w:val="002B425C"/>
    <w:rsid w:val="002B5771"/>
    <w:rsid w:val="002B7016"/>
    <w:rsid w:val="002C60CE"/>
    <w:rsid w:val="002E271F"/>
    <w:rsid w:val="002F0479"/>
    <w:rsid w:val="002F4722"/>
    <w:rsid w:val="002F6A3C"/>
    <w:rsid w:val="002F7ABF"/>
    <w:rsid w:val="00307431"/>
    <w:rsid w:val="0031443D"/>
    <w:rsid w:val="003329AC"/>
    <w:rsid w:val="00334B42"/>
    <w:rsid w:val="00335E35"/>
    <w:rsid w:val="00353247"/>
    <w:rsid w:val="00362143"/>
    <w:rsid w:val="003664FE"/>
    <w:rsid w:val="00370757"/>
    <w:rsid w:val="00374B32"/>
    <w:rsid w:val="00382DB6"/>
    <w:rsid w:val="00386E98"/>
    <w:rsid w:val="0038720E"/>
    <w:rsid w:val="00390379"/>
    <w:rsid w:val="003918C3"/>
    <w:rsid w:val="003A0659"/>
    <w:rsid w:val="003A0B9B"/>
    <w:rsid w:val="003A1E27"/>
    <w:rsid w:val="003A2E58"/>
    <w:rsid w:val="003B366F"/>
    <w:rsid w:val="003C6522"/>
    <w:rsid w:val="003D48E1"/>
    <w:rsid w:val="003E56CD"/>
    <w:rsid w:val="003E5EB2"/>
    <w:rsid w:val="003F47B4"/>
    <w:rsid w:val="003F6808"/>
    <w:rsid w:val="004102D0"/>
    <w:rsid w:val="00412D5E"/>
    <w:rsid w:val="00415034"/>
    <w:rsid w:val="004264C2"/>
    <w:rsid w:val="00435972"/>
    <w:rsid w:val="0044104C"/>
    <w:rsid w:val="004510E7"/>
    <w:rsid w:val="00464DA8"/>
    <w:rsid w:val="004729F5"/>
    <w:rsid w:val="00473746"/>
    <w:rsid w:val="00476CFE"/>
    <w:rsid w:val="00494894"/>
    <w:rsid w:val="0049628C"/>
    <w:rsid w:val="004B0511"/>
    <w:rsid w:val="004B1D68"/>
    <w:rsid w:val="004B73B4"/>
    <w:rsid w:val="004C352A"/>
    <w:rsid w:val="004C41C8"/>
    <w:rsid w:val="005065FB"/>
    <w:rsid w:val="0052082F"/>
    <w:rsid w:val="00534547"/>
    <w:rsid w:val="00540D1B"/>
    <w:rsid w:val="00542749"/>
    <w:rsid w:val="005429F6"/>
    <w:rsid w:val="005435EA"/>
    <w:rsid w:val="0056174D"/>
    <w:rsid w:val="005668C2"/>
    <w:rsid w:val="005948AA"/>
    <w:rsid w:val="00597F8B"/>
    <w:rsid w:val="005A24B1"/>
    <w:rsid w:val="005A4015"/>
    <w:rsid w:val="005A5109"/>
    <w:rsid w:val="005A7743"/>
    <w:rsid w:val="005B5D82"/>
    <w:rsid w:val="005C081A"/>
    <w:rsid w:val="005C0F83"/>
    <w:rsid w:val="005C4ECE"/>
    <w:rsid w:val="005C5E67"/>
    <w:rsid w:val="005E3A5D"/>
    <w:rsid w:val="005F40B8"/>
    <w:rsid w:val="00616377"/>
    <w:rsid w:val="00616B7D"/>
    <w:rsid w:val="00617190"/>
    <w:rsid w:val="0064075A"/>
    <w:rsid w:val="006665A8"/>
    <w:rsid w:val="00675AE8"/>
    <w:rsid w:val="00677829"/>
    <w:rsid w:val="00686F4C"/>
    <w:rsid w:val="00687F4C"/>
    <w:rsid w:val="006A0A4F"/>
    <w:rsid w:val="006A2EEB"/>
    <w:rsid w:val="006B1235"/>
    <w:rsid w:val="006D17F0"/>
    <w:rsid w:val="006E535B"/>
    <w:rsid w:val="006F64A1"/>
    <w:rsid w:val="00703B1A"/>
    <w:rsid w:val="00706123"/>
    <w:rsid w:val="007140F0"/>
    <w:rsid w:val="0073121E"/>
    <w:rsid w:val="00740F94"/>
    <w:rsid w:val="00751851"/>
    <w:rsid w:val="00753868"/>
    <w:rsid w:val="00754884"/>
    <w:rsid w:val="00755DC1"/>
    <w:rsid w:val="0076249E"/>
    <w:rsid w:val="0077517C"/>
    <w:rsid w:val="00783CA7"/>
    <w:rsid w:val="00784070"/>
    <w:rsid w:val="007905DE"/>
    <w:rsid w:val="007A11D4"/>
    <w:rsid w:val="007C5A7A"/>
    <w:rsid w:val="007D4C15"/>
    <w:rsid w:val="007E3E8A"/>
    <w:rsid w:val="00801C65"/>
    <w:rsid w:val="0080300E"/>
    <w:rsid w:val="00805350"/>
    <w:rsid w:val="0081152C"/>
    <w:rsid w:val="00815010"/>
    <w:rsid w:val="0081765E"/>
    <w:rsid w:val="00817CBF"/>
    <w:rsid w:val="0082044B"/>
    <w:rsid w:val="0083791E"/>
    <w:rsid w:val="008705A1"/>
    <w:rsid w:val="00895C0F"/>
    <w:rsid w:val="008A0987"/>
    <w:rsid w:val="008A1601"/>
    <w:rsid w:val="008A6DC5"/>
    <w:rsid w:val="008A7F1C"/>
    <w:rsid w:val="008B40F3"/>
    <w:rsid w:val="008C2ADF"/>
    <w:rsid w:val="00911DB9"/>
    <w:rsid w:val="00925609"/>
    <w:rsid w:val="00951D63"/>
    <w:rsid w:val="009543C0"/>
    <w:rsid w:val="00961290"/>
    <w:rsid w:val="00973F14"/>
    <w:rsid w:val="00981DE0"/>
    <w:rsid w:val="0099383E"/>
    <w:rsid w:val="00995370"/>
    <w:rsid w:val="009A1D74"/>
    <w:rsid w:val="009B3887"/>
    <w:rsid w:val="009B4FA9"/>
    <w:rsid w:val="009E37F8"/>
    <w:rsid w:val="009E7E59"/>
    <w:rsid w:val="009F0DA8"/>
    <w:rsid w:val="00A0753D"/>
    <w:rsid w:val="00A135B2"/>
    <w:rsid w:val="00A34DB6"/>
    <w:rsid w:val="00A42139"/>
    <w:rsid w:val="00A84114"/>
    <w:rsid w:val="00A94766"/>
    <w:rsid w:val="00AA2506"/>
    <w:rsid w:val="00AA2D1E"/>
    <w:rsid w:val="00AC4E1D"/>
    <w:rsid w:val="00AD6843"/>
    <w:rsid w:val="00AF4400"/>
    <w:rsid w:val="00B02BEA"/>
    <w:rsid w:val="00B106E6"/>
    <w:rsid w:val="00B263B5"/>
    <w:rsid w:val="00B35A93"/>
    <w:rsid w:val="00B43E37"/>
    <w:rsid w:val="00B51F59"/>
    <w:rsid w:val="00B534F7"/>
    <w:rsid w:val="00B573AF"/>
    <w:rsid w:val="00B76464"/>
    <w:rsid w:val="00B84C68"/>
    <w:rsid w:val="00B958A2"/>
    <w:rsid w:val="00BB362A"/>
    <w:rsid w:val="00BB43C0"/>
    <w:rsid w:val="00BB61C9"/>
    <w:rsid w:val="00BC211E"/>
    <w:rsid w:val="00BD135E"/>
    <w:rsid w:val="00BF00C6"/>
    <w:rsid w:val="00BF7163"/>
    <w:rsid w:val="00C038FF"/>
    <w:rsid w:val="00C12B49"/>
    <w:rsid w:val="00C2132E"/>
    <w:rsid w:val="00C22334"/>
    <w:rsid w:val="00C23D3A"/>
    <w:rsid w:val="00C24509"/>
    <w:rsid w:val="00C4050F"/>
    <w:rsid w:val="00C55A04"/>
    <w:rsid w:val="00C71E34"/>
    <w:rsid w:val="00C80E5A"/>
    <w:rsid w:val="00C81AEA"/>
    <w:rsid w:val="00C96340"/>
    <w:rsid w:val="00CA0019"/>
    <w:rsid w:val="00CA4EE2"/>
    <w:rsid w:val="00CC3D02"/>
    <w:rsid w:val="00CC7C60"/>
    <w:rsid w:val="00CD25A1"/>
    <w:rsid w:val="00CD30AB"/>
    <w:rsid w:val="00CD39E4"/>
    <w:rsid w:val="00CE0C50"/>
    <w:rsid w:val="00CE6A9D"/>
    <w:rsid w:val="00CF1651"/>
    <w:rsid w:val="00CF5AA1"/>
    <w:rsid w:val="00CF5D3A"/>
    <w:rsid w:val="00D06DB7"/>
    <w:rsid w:val="00D15721"/>
    <w:rsid w:val="00D26A71"/>
    <w:rsid w:val="00D43B59"/>
    <w:rsid w:val="00D55359"/>
    <w:rsid w:val="00D60140"/>
    <w:rsid w:val="00D656D2"/>
    <w:rsid w:val="00D76FF7"/>
    <w:rsid w:val="00D82472"/>
    <w:rsid w:val="00D83866"/>
    <w:rsid w:val="00DA4C82"/>
    <w:rsid w:val="00DA5620"/>
    <w:rsid w:val="00DB02A1"/>
    <w:rsid w:val="00DB1659"/>
    <w:rsid w:val="00DB4307"/>
    <w:rsid w:val="00DD5CD0"/>
    <w:rsid w:val="00DE6E78"/>
    <w:rsid w:val="00DE7AC3"/>
    <w:rsid w:val="00E04379"/>
    <w:rsid w:val="00E21C50"/>
    <w:rsid w:val="00E6146A"/>
    <w:rsid w:val="00E64DCA"/>
    <w:rsid w:val="00E65A95"/>
    <w:rsid w:val="00EA5AEA"/>
    <w:rsid w:val="00EC629A"/>
    <w:rsid w:val="00ED4851"/>
    <w:rsid w:val="00EF1370"/>
    <w:rsid w:val="00EF4649"/>
    <w:rsid w:val="00F03DD7"/>
    <w:rsid w:val="00F252F9"/>
    <w:rsid w:val="00F318CC"/>
    <w:rsid w:val="00F33D05"/>
    <w:rsid w:val="00F41B89"/>
    <w:rsid w:val="00F62436"/>
    <w:rsid w:val="00F65220"/>
    <w:rsid w:val="00F730A9"/>
    <w:rsid w:val="00F872C2"/>
    <w:rsid w:val="00F94EEC"/>
    <w:rsid w:val="00FA14FD"/>
    <w:rsid w:val="00FC100E"/>
    <w:rsid w:val="00FC370D"/>
    <w:rsid w:val="00FD61ED"/>
    <w:rsid w:val="00FE2BFE"/>
    <w:rsid w:val="00FE7180"/>
    <w:rsid w:val="00FF1AE5"/>
    <w:rsid w:val="00FF4484"/>
    <w:rsid w:val="00FF63E6"/>
    <w:rsid w:val="036B3A94"/>
    <w:rsid w:val="0705EC3C"/>
    <w:rsid w:val="0A799A48"/>
    <w:rsid w:val="0EBE265A"/>
    <w:rsid w:val="12C02893"/>
    <w:rsid w:val="145BF8F4"/>
    <w:rsid w:val="1A8112F1"/>
    <w:rsid w:val="1B838105"/>
    <w:rsid w:val="22DE39E3"/>
    <w:rsid w:val="23E95837"/>
    <w:rsid w:val="2BD52135"/>
    <w:rsid w:val="2C851C29"/>
    <w:rsid w:val="2D09C761"/>
    <w:rsid w:val="2E20EC8A"/>
    <w:rsid w:val="2FBCBCEB"/>
    <w:rsid w:val="34902E0E"/>
    <w:rsid w:val="3563D838"/>
    <w:rsid w:val="362BFE6F"/>
    <w:rsid w:val="3675E6F8"/>
    <w:rsid w:val="39639F31"/>
    <w:rsid w:val="44951701"/>
    <w:rsid w:val="477FCDB5"/>
    <w:rsid w:val="50C39F15"/>
    <w:rsid w:val="510D879E"/>
    <w:rsid w:val="577CC922"/>
    <w:rsid w:val="5A0C5C76"/>
    <w:rsid w:val="640028CA"/>
    <w:rsid w:val="6936AAD3"/>
    <w:rsid w:val="6DF0F399"/>
    <w:rsid w:val="6FA5EC57"/>
    <w:rsid w:val="7016859B"/>
    <w:rsid w:val="782887E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6C096"/>
  <w15:chartTrackingRefBased/>
  <w15:docId w15:val="{060BC18F-779A-4F21-A372-C4AEFD6BC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5FB"/>
    <w:pPr>
      <w:jc w:val="both"/>
    </w:pPr>
    <w:rPr>
      <w:rFonts w:ascii="Times New Roman" w:hAnsi="Times New Roman"/>
      <w:sz w:val="24"/>
    </w:rPr>
  </w:style>
  <w:style w:type="paragraph" w:styleId="Titre1">
    <w:name w:val="heading 1"/>
    <w:basedOn w:val="Normal"/>
    <w:next w:val="Corpsdetexte"/>
    <w:link w:val="Titre1Car"/>
    <w:qFormat/>
    <w:rsid w:val="004C352A"/>
    <w:pPr>
      <w:keepNext/>
      <w:keepLines/>
      <w:numPr>
        <w:numId w:val="1"/>
      </w:numPr>
      <w:spacing w:before="480" w:after="240"/>
      <w:contextualSpacing/>
      <w:outlineLvl w:val="0"/>
    </w:pPr>
    <w:rPr>
      <w:rFonts w:eastAsia="Calibri" w:cs="Calibri"/>
      <w:b/>
      <w:iCs/>
      <w:sz w:val="28"/>
      <w:szCs w:val="28"/>
      <w:lang w:val="fr-FR"/>
    </w:rPr>
  </w:style>
  <w:style w:type="paragraph" w:styleId="Titre2">
    <w:name w:val="heading 2"/>
    <w:basedOn w:val="Paragraphedeliste"/>
    <w:next w:val="Normal"/>
    <w:link w:val="Titre2Car"/>
    <w:uiPriority w:val="9"/>
    <w:unhideWhenUsed/>
    <w:qFormat/>
    <w:rsid w:val="004C352A"/>
    <w:pPr>
      <w:keepNext/>
      <w:keepLines/>
      <w:numPr>
        <w:numId w:val="2"/>
      </w:numPr>
      <w:spacing w:before="240" w:after="120"/>
      <w:outlineLvl w:val="1"/>
    </w:pPr>
    <w:rPr>
      <w:rFonts w:eastAsia="Calibri" w:cs="Times New Roman"/>
      <w:b/>
      <w:bCs/>
      <w:i/>
      <w:iCs/>
      <w:sz w:val="26"/>
      <w:szCs w:val="26"/>
      <w:lang w:val="fr-FR"/>
    </w:rPr>
  </w:style>
  <w:style w:type="paragraph" w:styleId="Titre3">
    <w:name w:val="heading 3"/>
    <w:basedOn w:val="Paragraphedeliste"/>
    <w:next w:val="Normal"/>
    <w:link w:val="Titre3Car"/>
    <w:uiPriority w:val="9"/>
    <w:unhideWhenUsed/>
    <w:qFormat/>
    <w:rsid w:val="004C352A"/>
    <w:pPr>
      <w:widowControl w:val="0"/>
      <w:numPr>
        <w:numId w:val="3"/>
      </w:numPr>
      <w:suppressAutoHyphens/>
      <w:spacing w:after="200" w:line="276" w:lineRule="auto"/>
      <w:outlineLvl w:val="2"/>
    </w:pPr>
    <w:rPr>
      <w:rFonts w:ascii="Calibri" w:eastAsia="SimSun" w:hAnsi="Calibri" w:cs="font476"/>
      <w:i/>
      <w:sz w:val="22"/>
      <w:u w:val="single"/>
    </w:rPr>
  </w:style>
  <w:style w:type="paragraph" w:styleId="Titre4">
    <w:name w:val="heading 4"/>
    <w:basedOn w:val="Normal"/>
    <w:next w:val="Normal"/>
    <w:link w:val="Titre4Car"/>
    <w:uiPriority w:val="9"/>
    <w:semiHidden/>
    <w:unhideWhenUsed/>
    <w:qFormat/>
    <w:rsid w:val="001C679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4C352A"/>
    <w:rPr>
      <w:rFonts w:ascii="Times New Roman" w:eastAsia="Calibri" w:hAnsi="Times New Roman" w:cs="Calibri"/>
      <w:b/>
      <w:iCs/>
      <w:sz w:val="28"/>
      <w:szCs w:val="28"/>
      <w:lang w:val="fr-FR"/>
    </w:rPr>
  </w:style>
  <w:style w:type="paragraph" w:styleId="Corpsdetexte">
    <w:name w:val="Body Text"/>
    <w:basedOn w:val="Normal"/>
    <w:link w:val="CorpsdetexteCar"/>
    <w:uiPriority w:val="99"/>
    <w:unhideWhenUsed/>
    <w:rsid w:val="004C352A"/>
    <w:pPr>
      <w:spacing w:after="120"/>
    </w:pPr>
  </w:style>
  <w:style w:type="character" w:customStyle="1" w:styleId="CorpsdetexteCar">
    <w:name w:val="Corps de texte Car"/>
    <w:basedOn w:val="Policepardfaut"/>
    <w:link w:val="Corpsdetexte"/>
    <w:uiPriority w:val="99"/>
    <w:rsid w:val="004C352A"/>
    <w:rPr>
      <w:rFonts w:ascii="Times New Roman" w:hAnsi="Times New Roman"/>
      <w:sz w:val="24"/>
    </w:rPr>
  </w:style>
  <w:style w:type="character" w:customStyle="1" w:styleId="Titre2Car">
    <w:name w:val="Titre 2 Car"/>
    <w:basedOn w:val="Policepardfaut"/>
    <w:link w:val="Titre2"/>
    <w:uiPriority w:val="9"/>
    <w:rsid w:val="004C352A"/>
    <w:rPr>
      <w:rFonts w:ascii="Times New Roman" w:eastAsia="Calibri" w:hAnsi="Times New Roman" w:cs="Times New Roman"/>
      <w:b/>
      <w:bCs/>
      <w:i/>
      <w:iCs/>
      <w:sz w:val="26"/>
      <w:szCs w:val="26"/>
      <w:lang w:val="fr-FR"/>
    </w:rPr>
  </w:style>
  <w:style w:type="paragraph" w:styleId="Paragraphedeliste">
    <w:name w:val="List Paragraph"/>
    <w:basedOn w:val="Normal"/>
    <w:uiPriority w:val="34"/>
    <w:qFormat/>
    <w:rsid w:val="004C352A"/>
    <w:pPr>
      <w:ind w:left="720"/>
      <w:contextualSpacing/>
    </w:pPr>
  </w:style>
  <w:style w:type="character" w:customStyle="1" w:styleId="Titre3Car">
    <w:name w:val="Titre 3 Car"/>
    <w:basedOn w:val="Policepardfaut"/>
    <w:link w:val="Titre3"/>
    <w:uiPriority w:val="9"/>
    <w:rsid w:val="004C352A"/>
    <w:rPr>
      <w:rFonts w:ascii="Calibri" w:eastAsia="SimSun" w:hAnsi="Calibri" w:cs="font476"/>
      <w:i/>
      <w:u w:val="single"/>
    </w:rPr>
  </w:style>
  <w:style w:type="paragraph" w:styleId="Listepuces">
    <w:name w:val="List Bullet"/>
    <w:basedOn w:val="Normal"/>
    <w:uiPriority w:val="99"/>
    <w:unhideWhenUsed/>
    <w:rsid w:val="00136056"/>
    <w:pPr>
      <w:numPr>
        <w:numId w:val="4"/>
      </w:numPr>
      <w:contextualSpacing/>
    </w:pPr>
  </w:style>
  <w:style w:type="character" w:styleId="Marquedecommentaire">
    <w:name w:val="annotation reference"/>
    <w:basedOn w:val="Policepardfaut"/>
    <w:uiPriority w:val="99"/>
    <w:semiHidden/>
    <w:unhideWhenUsed/>
    <w:rsid w:val="00136056"/>
    <w:rPr>
      <w:sz w:val="16"/>
      <w:szCs w:val="16"/>
    </w:rPr>
  </w:style>
  <w:style w:type="paragraph" w:styleId="Commentaire">
    <w:name w:val="annotation text"/>
    <w:basedOn w:val="Normal"/>
    <w:link w:val="CommentaireCar"/>
    <w:uiPriority w:val="99"/>
    <w:semiHidden/>
    <w:unhideWhenUsed/>
    <w:rsid w:val="00136056"/>
    <w:pPr>
      <w:spacing w:line="240" w:lineRule="auto"/>
    </w:pPr>
    <w:rPr>
      <w:sz w:val="20"/>
      <w:szCs w:val="20"/>
    </w:rPr>
  </w:style>
  <w:style w:type="character" w:customStyle="1" w:styleId="CommentaireCar">
    <w:name w:val="Commentaire Car"/>
    <w:basedOn w:val="Policepardfaut"/>
    <w:link w:val="Commentaire"/>
    <w:uiPriority w:val="99"/>
    <w:semiHidden/>
    <w:rsid w:val="00136056"/>
    <w:rPr>
      <w:rFonts w:ascii="Times New Roman" w:hAnsi="Times New Roman"/>
      <w:sz w:val="20"/>
      <w:szCs w:val="20"/>
    </w:rPr>
  </w:style>
  <w:style w:type="paragraph" w:styleId="Objetducommentaire">
    <w:name w:val="annotation subject"/>
    <w:basedOn w:val="Commentaire"/>
    <w:next w:val="Commentaire"/>
    <w:link w:val="ObjetducommentaireCar"/>
    <w:uiPriority w:val="99"/>
    <w:semiHidden/>
    <w:unhideWhenUsed/>
    <w:rsid w:val="00136056"/>
    <w:rPr>
      <w:b/>
      <w:bCs/>
    </w:rPr>
  </w:style>
  <w:style w:type="character" w:customStyle="1" w:styleId="ObjetducommentaireCar">
    <w:name w:val="Objet du commentaire Car"/>
    <w:basedOn w:val="CommentaireCar"/>
    <w:link w:val="Objetducommentaire"/>
    <w:uiPriority w:val="99"/>
    <w:semiHidden/>
    <w:rsid w:val="00136056"/>
    <w:rPr>
      <w:rFonts w:ascii="Times New Roman" w:hAnsi="Times New Roman"/>
      <w:b/>
      <w:bCs/>
      <w:sz w:val="20"/>
      <w:szCs w:val="20"/>
    </w:rPr>
  </w:style>
  <w:style w:type="paragraph" w:styleId="Textedebulles">
    <w:name w:val="Balloon Text"/>
    <w:basedOn w:val="Normal"/>
    <w:link w:val="TextedebullesCar"/>
    <w:uiPriority w:val="99"/>
    <w:semiHidden/>
    <w:unhideWhenUsed/>
    <w:rsid w:val="00136056"/>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136056"/>
    <w:rPr>
      <w:rFonts w:ascii="Segoe UI" w:hAnsi="Segoe UI" w:cs="Segoe UI"/>
      <w:sz w:val="18"/>
      <w:szCs w:val="18"/>
    </w:rPr>
  </w:style>
  <w:style w:type="character" w:styleId="Appelnotedebasdep">
    <w:name w:val="footnote reference"/>
    <w:basedOn w:val="Policepardfaut"/>
    <w:uiPriority w:val="99"/>
    <w:unhideWhenUsed/>
    <w:rPr>
      <w:vertAlign w:val="superscript"/>
    </w:rPr>
  </w:style>
  <w:style w:type="character" w:styleId="Lienhypertexte">
    <w:name w:val="Hyperlink"/>
    <w:basedOn w:val="Policepardfaut"/>
    <w:uiPriority w:val="99"/>
    <w:unhideWhenUsed/>
    <w:rPr>
      <w:color w:val="0563C1" w:themeColor="hyperlink"/>
      <w:u w:val="single"/>
    </w:rPr>
  </w:style>
  <w:style w:type="character" w:customStyle="1" w:styleId="NotedebasdepageCar">
    <w:name w:val="Note de bas de page Car"/>
    <w:basedOn w:val="Policepardfaut"/>
    <w:link w:val="Notedebasdepage"/>
    <w:uiPriority w:val="99"/>
    <w:rPr>
      <w:sz w:val="20"/>
      <w:szCs w:val="20"/>
    </w:rPr>
  </w:style>
  <w:style w:type="paragraph" w:styleId="Notedebasdepage">
    <w:name w:val="footnote text"/>
    <w:basedOn w:val="Normal"/>
    <w:link w:val="NotedebasdepageCar"/>
    <w:uiPriority w:val="99"/>
    <w:unhideWhenUsed/>
    <w:pPr>
      <w:spacing w:after="0" w:line="240" w:lineRule="auto"/>
    </w:pPr>
    <w:rPr>
      <w:sz w:val="20"/>
      <w:szCs w:val="20"/>
    </w:rPr>
  </w:style>
  <w:style w:type="paragraph" w:styleId="En-tte">
    <w:name w:val="header"/>
    <w:basedOn w:val="Normal"/>
    <w:link w:val="En-tteCar"/>
    <w:uiPriority w:val="99"/>
    <w:semiHidden/>
    <w:unhideWhenUsed/>
    <w:rsid w:val="00E65A95"/>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E65A95"/>
    <w:rPr>
      <w:rFonts w:ascii="Times New Roman" w:hAnsi="Times New Roman"/>
      <w:sz w:val="24"/>
    </w:rPr>
  </w:style>
  <w:style w:type="paragraph" w:styleId="Pieddepage">
    <w:name w:val="footer"/>
    <w:basedOn w:val="Normal"/>
    <w:link w:val="PieddepageCar"/>
    <w:uiPriority w:val="99"/>
    <w:semiHidden/>
    <w:unhideWhenUsed/>
    <w:rsid w:val="00E65A95"/>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E65A95"/>
    <w:rPr>
      <w:rFonts w:ascii="Times New Roman" w:hAnsi="Times New Roman"/>
      <w:sz w:val="24"/>
    </w:rPr>
  </w:style>
  <w:style w:type="character" w:customStyle="1" w:styleId="Titre4Car">
    <w:name w:val="Titre 4 Car"/>
    <w:basedOn w:val="Policepardfaut"/>
    <w:link w:val="Titre4"/>
    <w:uiPriority w:val="9"/>
    <w:semiHidden/>
    <w:rsid w:val="001C6790"/>
    <w:rPr>
      <w:rFonts w:asciiTheme="majorHAnsi" w:eastAsiaTheme="majorEastAsia" w:hAnsiTheme="majorHAnsi" w:cstheme="majorBidi"/>
      <w:i/>
      <w:iCs/>
      <w:color w:val="2F5496" w:themeColor="accent1" w:themeShade="BF"/>
      <w:sz w:val="24"/>
    </w:rPr>
  </w:style>
  <w:style w:type="character" w:styleId="Mentionnonrsolue">
    <w:name w:val="Unresolved Mention"/>
    <w:basedOn w:val="Policepardfaut"/>
    <w:uiPriority w:val="99"/>
    <w:semiHidden/>
    <w:unhideWhenUsed/>
    <w:rsid w:val="001C67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875296">
      <w:bodyDiv w:val="1"/>
      <w:marLeft w:val="0"/>
      <w:marRight w:val="0"/>
      <w:marTop w:val="0"/>
      <w:marBottom w:val="0"/>
      <w:divBdr>
        <w:top w:val="none" w:sz="0" w:space="0" w:color="auto"/>
        <w:left w:val="none" w:sz="0" w:space="0" w:color="auto"/>
        <w:bottom w:val="none" w:sz="0" w:space="0" w:color="auto"/>
        <w:right w:val="none" w:sz="0" w:space="0" w:color="auto"/>
      </w:divBdr>
    </w:div>
    <w:div w:id="492454028">
      <w:bodyDiv w:val="1"/>
      <w:marLeft w:val="0"/>
      <w:marRight w:val="0"/>
      <w:marTop w:val="0"/>
      <w:marBottom w:val="0"/>
      <w:divBdr>
        <w:top w:val="none" w:sz="0" w:space="0" w:color="auto"/>
        <w:left w:val="none" w:sz="0" w:space="0" w:color="auto"/>
        <w:bottom w:val="none" w:sz="0" w:space="0" w:color="auto"/>
        <w:right w:val="none" w:sz="0" w:space="0" w:color="auto"/>
      </w:divBdr>
    </w:div>
    <w:div w:id="699624861">
      <w:bodyDiv w:val="1"/>
      <w:marLeft w:val="0"/>
      <w:marRight w:val="0"/>
      <w:marTop w:val="0"/>
      <w:marBottom w:val="0"/>
      <w:divBdr>
        <w:top w:val="none" w:sz="0" w:space="0" w:color="auto"/>
        <w:left w:val="none" w:sz="0" w:space="0" w:color="auto"/>
        <w:bottom w:val="none" w:sz="0" w:space="0" w:color="auto"/>
        <w:right w:val="none" w:sz="0" w:space="0" w:color="auto"/>
      </w:divBdr>
    </w:div>
    <w:div w:id="712653077">
      <w:bodyDiv w:val="1"/>
      <w:marLeft w:val="0"/>
      <w:marRight w:val="0"/>
      <w:marTop w:val="0"/>
      <w:marBottom w:val="0"/>
      <w:divBdr>
        <w:top w:val="none" w:sz="0" w:space="0" w:color="auto"/>
        <w:left w:val="none" w:sz="0" w:space="0" w:color="auto"/>
        <w:bottom w:val="none" w:sz="0" w:space="0" w:color="auto"/>
        <w:right w:val="none" w:sz="0" w:space="0" w:color="auto"/>
      </w:divBdr>
      <w:divsChild>
        <w:div w:id="316615868">
          <w:marLeft w:val="0"/>
          <w:marRight w:val="0"/>
          <w:marTop w:val="0"/>
          <w:marBottom w:val="0"/>
          <w:divBdr>
            <w:top w:val="none" w:sz="0" w:space="0" w:color="auto"/>
            <w:left w:val="none" w:sz="0" w:space="0" w:color="auto"/>
            <w:bottom w:val="none" w:sz="0" w:space="0" w:color="auto"/>
            <w:right w:val="none" w:sz="0" w:space="0" w:color="auto"/>
          </w:divBdr>
        </w:div>
      </w:divsChild>
    </w:div>
    <w:div w:id="839350247">
      <w:bodyDiv w:val="1"/>
      <w:marLeft w:val="0"/>
      <w:marRight w:val="0"/>
      <w:marTop w:val="0"/>
      <w:marBottom w:val="0"/>
      <w:divBdr>
        <w:top w:val="none" w:sz="0" w:space="0" w:color="auto"/>
        <w:left w:val="none" w:sz="0" w:space="0" w:color="auto"/>
        <w:bottom w:val="none" w:sz="0" w:space="0" w:color="auto"/>
        <w:right w:val="none" w:sz="0" w:space="0" w:color="auto"/>
      </w:divBdr>
    </w:div>
    <w:div w:id="1274479332">
      <w:bodyDiv w:val="1"/>
      <w:marLeft w:val="0"/>
      <w:marRight w:val="0"/>
      <w:marTop w:val="0"/>
      <w:marBottom w:val="0"/>
      <w:divBdr>
        <w:top w:val="none" w:sz="0" w:space="0" w:color="auto"/>
        <w:left w:val="none" w:sz="0" w:space="0" w:color="auto"/>
        <w:bottom w:val="none" w:sz="0" w:space="0" w:color="auto"/>
        <w:right w:val="none" w:sz="0" w:space="0" w:color="auto"/>
      </w:divBdr>
    </w:div>
    <w:div w:id="1612349361">
      <w:bodyDiv w:val="1"/>
      <w:marLeft w:val="0"/>
      <w:marRight w:val="0"/>
      <w:marTop w:val="0"/>
      <w:marBottom w:val="0"/>
      <w:divBdr>
        <w:top w:val="none" w:sz="0" w:space="0" w:color="auto"/>
        <w:left w:val="none" w:sz="0" w:space="0" w:color="auto"/>
        <w:bottom w:val="none" w:sz="0" w:space="0" w:color="auto"/>
        <w:right w:val="none" w:sz="0" w:space="0" w:color="auto"/>
      </w:divBdr>
      <w:divsChild>
        <w:div w:id="226913622">
          <w:marLeft w:val="0"/>
          <w:marRight w:val="0"/>
          <w:marTop w:val="0"/>
          <w:marBottom w:val="375"/>
          <w:divBdr>
            <w:top w:val="none" w:sz="0" w:space="0" w:color="auto"/>
            <w:left w:val="none" w:sz="0" w:space="0" w:color="auto"/>
            <w:bottom w:val="none" w:sz="0" w:space="0" w:color="auto"/>
            <w:right w:val="none" w:sz="0" w:space="0" w:color="auto"/>
          </w:divBdr>
        </w:div>
      </w:divsChild>
    </w:div>
    <w:div w:id="1945190233">
      <w:bodyDiv w:val="1"/>
      <w:marLeft w:val="0"/>
      <w:marRight w:val="0"/>
      <w:marTop w:val="0"/>
      <w:marBottom w:val="0"/>
      <w:divBdr>
        <w:top w:val="none" w:sz="0" w:space="0" w:color="auto"/>
        <w:left w:val="none" w:sz="0" w:space="0" w:color="auto"/>
        <w:bottom w:val="none" w:sz="0" w:space="0" w:color="auto"/>
        <w:right w:val="none" w:sz="0" w:space="0" w:color="auto"/>
      </w:divBdr>
    </w:div>
    <w:div w:id="211671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udoc.echr.coe.int/fre?i=001-219559"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www.ieb-eib.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9E0888091330449F5EC2600B2C98D5" ma:contentTypeVersion="14" ma:contentTypeDescription="Crée un document." ma:contentTypeScope="" ma:versionID="cccc5b9d7385f02f0edbba89b6fe52c7">
  <xsd:schema xmlns:xsd="http://www.w3.org/2001/XMLSchema" xmlns:xs="http://www.w3.org/2001/XMLSchema" xmlns:p="http://schemas.microsoft.com/office/2006/metadata/properties" xmlns:ns3="039d926d-a992-4e9f-9ca6-7f1f6ab80cd2" xmlns:ns4="5fea5af9-9d3f-44a0-a8ea-330d5d84deba" targetNamespace="http://schemas.microsoft.com/office/2006/metadata/properties" ma:root="true" ma:fieldsID="3379a35418f1b25f07a4a80014d9d7fe" ns3:_="" ns4:_="">
    <xsd:import namespace="039d926d-a992-4e9f-9ca6-7f1f6ab80cd2"/>
    <xsd:import namespace="5fea5af9-9d3f-44a0-a8ea-330d5d84deb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AutoKeyPoints" minOccurs="0"/>
                <xsd:element ref="ns4:MediaServiceKeyPoints" minOccurs="0"/>
                <xsd:element ref="ns4:MediaLengthInSecond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9d926d-a992-4e9f-9ca6-7f1f6ab80cd2"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description="" ma:internalName="SharedWithDetails" ma:readOnly="true">
      <xsd:simpleType>
        <xsd:restriction base="dms:Note">
          <xsd:maxLength value="255"/>
        </xsd:restriction>
      </xsd:simpleType>
    </xsd:element>
    <xsd:element name="SharingHintHash" ma:index="10" nillable="true" ma:displayName="Partage du hachage d’indicateu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ea5af9-9d3f-44a0-a8ea-330d5d84deb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54662F-8587-465D-A47B-08CEF43AE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9d926d-a992-4e9f-9ca6-7f1f6ab80cd2"/>
    <ds:schemaRef ds:uri="5fea5af9-9d3f-44a0-a8ea-330d5d84de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91BE832-EB26-426F-A19F-44A0469BF91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F1AC145-62DF-488E-8674-1B4BA83C957C}">
  <ds:schemaRefs>
    <ds:schemaRef ds:uri="http://schemas.microsoft.com/sharepoint/v3/contenttype/forms"/>
  </ds:schemaRefs>
</ds:datastoreItem>
</file>

<file path=customXml/itemProps4.xml><?xml version="1.0" encoding="utf-8"?>
<ds:datastoreItem xmlns:ds="http://schemas.openxmlformats.org/officeDocument/2006/customXml" ds:itemID="{CBA2BCD5-314D-45B5-A81F-40738038D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425</TotalTime>
  <Pages>6</Pages>
  <Words>2332</Words>
  <Characters>12197</Characters>
  <Application>Microsoft Office Word</Application>
  <DocSecurity>0</DocSecurity>
  <Lines>187</Lines>
  <Paragraphs>62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Léopold Vanbellingen</dc:creator>
  <cp:keywords/>
  <dc:description/>
  <cp:lastModifiedBy>Léopold Vanbellingen</cp:lastModifiedBy>
  <cp:revision>150</cp:revision>
  <dcterms:created xsi:type="dcterms:W3CDTF">2022-10-28T07:41:00Z</dcterms:created>
  <dcterms:modified xsi:type="dcterms:W3CDTF">2022-11-15T23:33:00Z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0x010100409E0888091330449F5EC2600B2C98D5</vt:lpwstr>
  </property>
</Properties>
</file>