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F19FE9" w14:textId="326AF22A" w:rsidR="00FA1C05" w:rsidRDefault="00AE03A8" w:rsidP="005933F3">
      <w:pPr>
        <w:jc w:val="center"/>
        <w:rPr>
          <w:b/>
          <w:lang w:val="fr-FR"/>
        </w:rPr>
      </w:pPr>
      <w:r>
        <w:rPr>
          <w:b/>
          <w:lang w:val="fr-FR"/>
        </w:rPr>
        <w:t>Laïcité</w:t>
      </w:r>
      <w:r w:rsidR="00FA1C05">
        <w:rPr>
          <w:b/>
          <w:lang w:val="fr-FR"/>
        </w:rPr>
        <w:t xml:space="preserve"> </w:t>
      </w:r>
      <w:r w:rsidR="00046C98">
        <w:rPr>
          <w:b/>
          <w:lang w:val="fr-FR"/>
        </w:rPr>
        <w:t>« </w:t>
      </w:r>
      <w:r w:rsidR="00FA1C05">
        <w:rPr>
          <w:b/>
          <w:lang w:val="fr-FR"/>
        </w:rPr>
        <w:t>à la belge</w:t>
      </w:r>
      <w:r w:rsidR="00046C98">
        <w:rPr>
          <w:b/>
          <w:lang w:val="fr-FR"/>
        </w:rPr>
        <w:t> »</w:t>
      </w:r>
      <w:r w:rsidR="00B63433">
        <w:rPr>
          <w:b/>
          <w:lang w:val="fr-FR"/>
        </w:rPr>
        <w:t xml:space="preserve"> </w:t>
      </w:r>
      <w:r w:rsidR="00FA1C05">
        <w:rPr>
          <w:b/>
          <w:lang w:val="fr-FR"/>
        </w:rPr>
        <w:t xml:space="preserve">: </w:t>
      </w:r>
      <w:r w:rsidR="00E61893">
        <w:rPr>
          <w:b/>
          <w:lang w:val="fr-FR"/>
        </w:rPr>
        <w:t>vers</w:t>
      </w:r>
      <w:r w:rsidR="00FA1C05">
        <w:rPr>
          <w:b/>
          <w:lang w:val="fr-FR"/>
        </w:rPr>
        <w:t xml:space="preserve"> </w:t>
      </w:r>
      <w:r w:rsidR="006D4DB7">
        <w:rPr>
          <w:b/>
          <w:lang w:val="fr-FR"/>
        </w:rPr>
        <w:t>une</w:t>
      </w:r>
      <w:r w:rsidR="00FA1C05">
        <w:rPr>
          <w:b/>
          <w:lang w:val="fr-FR"/>
        </w:rPr>
        <w:t xml:space="preserve"> neutralité </w:t>
      </w:r>
      <w:r w:rsidR="00E61893">
        <w:rPr>
          <w:b/>
          <w:lang w:val="fr-FR"/>
        </w:rPr>
        <w:t xml:space="preserve">intrinsèquement </w:t>
      </w:r>
      <w:r w:rsidR="00046C98">
        <w:rPr>
          <w:b/>
          <w:lang w:val="fr-FR"/>
        </w:rPr>
        <w:t>plurielle ?</w:t>
      </w:r>
    </w:p>
    <w:p w14:paraId="5F101C5F" w14:textId="00AD4BDC" w:rsidR="009542B4" w:rsidRPr="005933F3" w:rsidRDefault="009542B4" w:rsidP="005933F3">
      <w:pPr>
        <w:jc w:val="center"/>
        <w:rPr>
          <w:lang w:val="fr-FR"/>
        </w:rPr>
      </w:pPr>
      <w:r w:rsidRPr="005933F3">
        <w:rPr>
          <w:lang w:val="fr-FR"/>
        </w:rPr>
        <w:t>Léopold Vanbellingen</w:t>
      </w:r>
    </w:p>
    <w:p w14:paraId="081D5A55" w14:textId="577C165A" w:rsidR="00D75879" w:rsidRDefault="005933F3" w:rsidP="005933F3">
      <w:pPr>
        <w:jc w:val="center"/>
        <w:rPr>
          <w:lang w:val="fr-FR"/>
        </w:rPr>
      </w:pPr>
      <w:r w:rsidRPr="005933F3">
        <w:rPr>
          <w:lang w:val="fr-FR"/>
        </w:rPr>
        <w:t>Université catholique de Louvain</w:t>
      </w:r>
    </w:p>
    <w:p w14:paraId="4E725A74" w14:textId="4DEBAA4B" w:rsidR="006C1778" w:rsidRDefault="006C1778" w:rsidP="006C1778">
      <w:pPr>
        <w:rPr>
          <w:lang w:val="fr-FR"/>
        </w:rPr>
      </w:pPr>
    </w:p>
    <w:p w14:paraId="44281A32" w14:textId="20A6D643" w:rsidR="006C1778" w:rsidRPr="00751FE0" w:rsidRDefault="006C1778" w:rsidP="00751FE0">
      <w:pPr>
        <w:pStyle w:val="Titre1"/>
        <w:numPr>
          <w:ilvl w:val="0"/>
          <w:numId w:val="0"/>
        </w:numPr>
      </w:pPr>
      <w:r w:rsidRPr="00751FE0">
        <w:t>Résumé</w:t>
      </w:r>
      <w:r w:rsidR="00751FE0">
        <w:t xml:space="preserve"> </w:t>
      </w:r>
      <w:r w:rsidRPr="00751FE0">
        <w:t>:</w:t>
      </w:r>
    </w:p>
    <w:p w14:paraId="704B786D" w14:textId="4603E59C" w:rsidR="006C1778" w:rsidRPr="00751FE0" w:rsidRDefault="00023B57" w:rsidP="006C1778">
      <w:pPr>
        <w:rPr>
          <w:lang w:val="fr-FR"/>
        </w:rPr>
      </w:pPr>
      <w:r w:rsidRPr="00751FE0">
        <w:rPr>
          <w:lang w:val="fr-FR"/>
        </w:rPr>
        <w:t xml:space="preserve">A travers un examen des derniers grands contentieux </w:t>
      </w:r>
      <w:r w:rsidR="000721CB" w:rsidRPr="00751FE0">
        <w:rPr>
          <w:lang w:val="fr-FR"/>
        </w:rPr>
        <w:t xml:space="preserve">ayant marqué la Belgique en matière de droit des religions, l’article </w:t>
      </w:r>
      <w:r w:rsidR="00B12614" w:rsidRPr="00751FE0">
        <w:rPr>
          <w:lang w:val="fr-FR"/>
        </w:rPr>
        <w:t xml:space="preserve">propose </w:t>
      </w:r>
      <w:r w:rsidR="00197FBB" w:rsidRPr="00751FE0">
        <w:rPr>
          <w:lang w:val="fr-FR"/>
        </w:rPr>
        <w:t xml:space="preserve">quelques réflexions quant à la manière dont les juridictions belges </w:t>
      </w:r>
      <w:r w:rsidR="00990AE0" w:rsidRPr="00751FE0">
        <w:rPr>
          <w:lang w:val="fr-FR"/>
        </w:rPr>
        <w:t>envisagent</w:t>
      </w:r>
      <w:r w:rsidR="002B4EB3" w:rsidRPr="00751FE0">
        <w:rPr>
          <w:lang w:val="fr-FR"/>
        </w:rPr>
        <w:t xml:space="preserve"> la notion juridique</w:t>
      </w:r>
      <w:r w:rsidR="006653CB" w:rsidRPr="00751FE0">
        <w:rPr>
          <w:lang w:val="fr-FR"/>
        </w:rPr>
        <w:t xml:space="preserve"> de neutralité</w:t>
      </w:r>
      <w:r w:rsidR="00197FBB" w:rsidRPr="00751FE0">
        <w:rPr>
          <w:lang w:val="fr-FR"/>
        </w:rPr>
        <w:t xml:space="preserve"> religieuse</w:t>
      </w:r>
      <w:r w:rsidR="006653CB" w:rsidRPr="00751FE0">
        <w:rPr>
          <w:lang w:val="fr-FR"/>
        </w:rPr>
        <w:t xml:space="preserve">. </w:t>
      </w:r>
      <w:r w:rsidR="00493EA3" w:rsidRPr="00751FE0">
        <w:rPr>
          <w:lang w:val="fr-FR"/>
        </w:rPr>
        <w:t>Les diverses affaires abordées</w:t>
      </w:r>
      <w:r w:rsidR="002044E5" w:rsidRPr="00751FE0">
        <w:rPr>
          <w:lang w:val="fr-FR"/>
        </w:rPr>
        <w:t>, allant de l’</w:t>
      </w:r>
      <w:r w:rsidR="00990AE0" w:rsidRPr="00751FE0">
        <w:rPr>
          <w:lang w:val="fr-FR"/>
        </w:rPr>
        <w:t>encadrement de l’</w:t>
      </w:r>
      <w:r w:rsidR="002044E5" w:rsidRPr="00751FE0">
        <w:rPr>
          <w:lang w:val="fr-FR"/>
        </w:rPr>
        <w:t>abattage rituel à l</w:t>
      </w:r>
      <w:r w:rsidR="00990AE0" w:rsidRPr="00751FE0">
        <w:rPr>
          <w:lang w:val="fr-FR"/>
        </w:rPr>
        <w:t xml:space="preserve">a gestion des </w:t>
      </w:r>
      <w:r w:rsidR="002044E5" w:rsidRPr="00751FE0">
        <w:rPr>
          <w:lang w:val="fr-FR"/>
        </w:rPr>
        <w:t>expression</w:t>
      </w:r>
      <w:r w:rsidR="00990AE0" w:rsidRPr="00751FE0">
        <w:rPr>
          <w:lang w:val="fr-FR"/>
        </w:rPr>
        <w:t xml:space="preserve">s </w:t>
      </w:r>
      <w:r w:rsidR="00B12614" w:rsidRPr="00751FE0">
        <w:rPr>
          <w:lang w:val="fr-FR"/>
        </w:rPr>
        <w:t>religieuse</w:t>
      </w:r>
      <w:r w:rsidR="00990AE0" w:rsidRPr="00751FE0">
        <w:rPr>
          <w:lang w:val="fr-FR"/>
        </w:rPr>
        <w:t>s</w:t>
      </w:r>
      <w:r w:rsidR="00B12614" w:rsidRPr="00751FE0">
        <w:rPr>
          <w:lang w:val="fr-FR"/>
        </w:rPr>
        <w:t xml:space="preserve"> dans l’entreprise, en passant par </w:t>
      </w:r>
      <w:r w:rsidR="00990AE0" w:rsidRPr="00751FE0">
        <w:rPr>
          <w:lang w:val="fr-FR"/>
        </w:rPr>
        <w:t>l’organisation des</w:t>
      </w:r>
      <w:r w:rsidR="00B12614" w:rsidRPr="00751FE0">
        <w:rPr>
          <w:lang w:val="fr-FR"/>
        </w:rPr>
        <w:t xml:space="preserve"> cours de religion dans l’enseignement</w:t>
      </w:r>
      <w:r w:rsidR="00C3047B" w:rsidRPr="00751FE0">
        <w:rPr>
          <w:lang w:val="fr-FR"/>
        </w:rPr>
        <w:t xml:space="preserve"> public</w:t>
      </w:r>
      <w:r w:rsidR="00B12614" w:rsidRPr="00751FE0">
        <w:rPr>
          <w:lang w:val="fr-FR"/>
        </w:rPr>
        <w:t xml:space="preserve">, permettront de </w:t>
      </w:r>
      <w:r w:rsidR="00814E50" w:rsidRPr="00751FE0">
        <w:rPr>
          <w:lang w:val="fr-FR"/>
        </w:rPr>
        <w:t>soulever de</w:t>
      </w:r>
      <w:r w:rsidR="00990AE0" w:rsidRPr="00751FE0">
        <w:rPr>
          <w:lang w:val="fr-FR"/>
        </w:rPr>
        <w:t xml:space="preserve"> nouveaux</w:t>
      </w:r>
      <w:r w:rsidR="00814E50" w:rsidRPr="00751FE0">
        <w:rPr>
          <w:lang w:val="fr-FR"/>
        </w:rPr>
        <w:t xml:space="preserve"> questionnements quant à la compréhension du modèle belge de relations entre l’État et les religions.</w:t>
      </w:r>
    </w:p>
    <w:p w14:paraId="5181CE46" w14:textId="5A1D3E40" w:rsidR="006C1778" w:rsidRPr="00751FE0" w:rsidRDefault="006C1778" w:rsidP="00751FE0">
      <w:pPr>
        <w:pStyle w:val="Titre1"/>
        <w:numPr>
          <w:ilvl w:val="0"/>
          <w:numId w:val="0"/>
        </w:numPr>
        <w:rPr>
          <w:i/>
          <w:iCs/>
          <w:lang w:val="en-GB"/>
        </w:rPr>
      </w:pPr>
      <w:r w:rsidRPr="00751FE0">
        <w:rPr>
          <w:i/>
          <w:iCs/>
          <w:lang w:val="en-GB"/>
        </w:rPr>
        <w:t>Abstract</w:t>
      </w:r>
      <w:r w:rsidR="00751FE0" w:rsidRPr="00751FE0">
        <w:rPr>
          <w:i/>
          <w:iCs/>
          <w:lang w:val="en-GB"/>
        </w:rPr>
        <w:t>:</w:t>
      </w:r>
    </w:p>
    <w:p w14:paraId="7E8FDDF8" w14:textId="07633F0B" w:rsidR="00E6105F" w:rsidRPr="00751FE0" w:rsidRDefault="00E6105F" w:rsidP="00E6105F">
      <w:pPr>
        <w:rPr>
          <w:i/>
          <w:iCs/>
          <w:lang w:val="en-GB"/>
        </w:rPr>
      </w:pPr>
      <w:r w:rsidRPr="00751FE0">
        <w:rPr>
          <w:i/>
          <w:iCs/>
          <w:lang w:val="en-GB"/>
        </w:rPr>
        <w:t xml:space="preserve">Through an analysis of the latest major cases in Belgian law and religion, </w:t>
      </w:r>
      <w:r w:rsidR="00576785" w:rsidRPr="00751FE0">
        <w:rPr>
          <w:i/>
          <w:iCs/>
          <w:lang w:val="en-GB"/>
        </w:rPr>
        <w:t>this</w:t>
      </w:r>
      <w:r w:rsidRPr="00751FE0">
        <w:rPr>
          <w:i/>
          <w:iCs/>
          <w:lang w:val="en-GB"/>
        </w:rPr>
        <w:t xml:space="preserve"> article offers some reflections </w:t>
      </w:r>
      <w:r w:rsidR="000F00FA" w:rsidRPr="00751FE0">
        <w:rPr>
          <w:i/>
          <w:iCs/>
          <w:lang w:val="en-GB"/>
        </w:rPr>
        <w:t>regarding the interpretation of the legal concept of</w:t>
      </w:r>
      <w:r w:rsidRPr="00751FE0">
        <w:rPr>
          <w:i/>
          <w:iCs/>
          <w:lang w:val="en-GB"/>
        </w:rPr>
        <w:t xml:space="preserve"> </w:t>
      </w:r>
      <w:r w:rsidR="000F00FA" w:rsidRPr="00751FE0">
        <w:rPr>
          <w:i/>
          <w:iCs/>
          <w:lang w:val="en-GB"/>
        </w:rPr>
        <w:t>religious neutrality by</w:t>
      </w:r>
      <w:r w:rsidRPr="00751FE0">
        <w:rPr>
          <w:i/>
          <w:iCs/>
          <w:lang w:val="en-GB"/>
        </w:rPr>
        <w:t xml:space="preserve"> Belgian courts. </w:t>
      </w:r>
      <w:r w:rsidR="00C3047B" w:rsidRPr="00751FE0">
        <w:rPr>
          <w:i/>
          <w:iCs/>
          <w:lang w:val="en-GB"/>
        </w:rPr>
        <w:t>Ranging f</w:t>
      </w:r>
      <w:r w:rsidRPr="00751FE0">
        <w:rPr>
          <w:i/>
          <w:iCs/>
          <w:lang w:val="en-GB"/>
        </w:rPr>
        <w:t>rom the regulation of ritual slaughter to the management of religious</w:t>
      </w:r>
      <w:r w:rsidR="00C3047B" w:rsidRPr="00751FE0">
        <w:rPr>
          <w:i/>
          <w:iCs/>
          <w:lang w:val="en-GB"/>
        </w:rPr>
        <w:t xml:space="preserve"> manifestations</w:t>
      </w:r>
      <w:r w:rsidRPr="00751FE0">
        <w:rPr>
          <w:i/>
          <w:iCs/>
          <w:lang w:val="en-GB"/>
        </w:rPr>
        <w:t xml:space="preserve"> in the workplace</w:t>
      </w:r>
      <w:r w:rsidR="00C50EAF" w:rsidRPr="00751FE0">
        <w:rPr>
          <w:i/>
          <w:iCs/>
          <w:lang w:val="en-GB"/>
        </w:rPr>
        <w:t>,</w:t>
      </w:r>
      <w:r w:rsidRPr="00751FE0">
        <w:rPr>
          <w:i/>
          <w:iCs/>
          <w:lang w:val="en-GB"/>
        </w:rPr>
        <w:t xml:space="preserve"> and </w:t>
      </w:r>
      <w:r w:rsidR="00C50EAF" w:rsidRPr="00751FE0">
        <w:rPr>
          <w:i/>
          <w:iCs/>
          <w:lang w:val="en-GB"/>
        </w:rPr>
        <w:t>to</w:t>
      </w:r>
      <w:r w:rsidRPr="00751FE0">
        <w:rPr>
          <w:i/>
          <w:iCs/>
          <w:lang w:val="en-GB"/>
        </w:rPr>
        <w:t xml:space="preserve"> the organisation of religious courses in</w:t>
      </w:r>
      <w:r w:rsidR="00C3047B" w:rsidRPr="00751FE0">
        <w:rPr>
          <w:i/>
          <w:iCs/>
          <w:lang w:val="en-GB"/>
        </w:rPr>
        <w:t xml:space="preserve"> public</w:t>
      </w:r>
      <w:r w:rsidRPr="00751FE0">
        <w:rPr>
          <w:i/>
          <w:iCs/>
          <w:lang w:val="en-GB"/>
        </w:rPr>
        <w:t xml:space="preserve"> education,</w:t>
      </w:r>
      <w:r w:rsidR="00C50EAF" w:rsidRPr="00751FE0">
        <w:rPr>
          <w:i/>
          <w:iCs/>
          <w:lang w:val="en-GB"/>
        </w:rPr>
        <w:t xml:space="preserve"> the</w:t>
      </w:r>
      <w:r w:rsidR="00B07F41" w:rsidRPr="00751FE0">
        <w:rPr>
          <w:i/>
          <w:iCs/>
          <w:lang w:val="en-GB"/>
        </w:rPr>
        <w:t xml:space="preserve"> examination of these recent cases </w:t>
      </w:r>
      <w:r w:rsidRPr="00751FE0">
        <w:rPr>
          <w:i/>
          <w:iCs/>
          <w:lang w:val="en-GB"/>
        </w:rPr>
        <w:t xml:space="preserve">will raise new questions regarding the understanding of the Belgian model of </w:t>
      </w:r>
      <w:r w:rsidR="005F54C4" w:rsidRPr="00751FE0">
        <w:rPr>
          <w:i/>
          <w:iCs/>
          <w:lang w:val="en-GB"/>
        </w:rPr>
        <w:t>Church-State relations</w:t>
      </w:r>
      <w:r w:rsidRPr="00751FE0">
        <w:rPr>
          <w:i/>
          <w:iCs/>
          <w:lang w:val="en-GB"/>
        </w:rPr>
        <w:t>.</w:t>
      </w:r>
    </w:p>
    <w:p w14:paraId="64F0E7B2" w14:textId="77777777" w:rsidR="006C1778" w:rsidRPr="00E6105F" w:rsidRDefault="006C1778" w:rsidP="006C1778">
      <w:pPr>
        <w:rPr>
          <w:lang w:val="en-GB"/>
        </w:rPr>
      </w:pPr>
    </w:p>
    <w:p w14:paraId="691F1EFB" w14:textId="6C64DCB8" w:rsidR="009542B4" w:rsidRPr="003B7E83" w:rsidRDefault="003B7E83" w:rsidP="003B7E83">
      <w:pPr>
        <w:pStyle w:val="Titre1"/>
        <w:numPr>
          <w:ilvl w:val="0"/>
          <w:numId w:val="0"/>
        </w:numPr>
      </w:pPr>
      <w:r>
        <w:t>I</w:t>
      </w:r>
      <w:r w:rsidRPr="003B7E83">
        <w:t>ntroduction</w:t>
      </w:r>
    </w:p>
    <w:p w14:paraId="306826DC" w14:textId="2B7C5820" w:rsidR="006B60A4" w:rsidRDefault="00AF3DB8" w:rsidP="00AF3DB8">
      <w:pPr>
        <w:rPr>
          <w:lang w:val="fr-FR"/>
        </w:rPr>
      </w:pPr>
      <w:r>
        <w:rPr>
          <w:lang w:val="fr-FR"/>
        </w:rPr>
        <w:t xml:space="preserve">En Belgique, </w:t>
      </w:r>
      <w:r w:rsidR="00F40698">
        <w:rPr>
          <w:lang w:val="fr-FR"/>
        </w:rPr>
        <w:t>c</w:t>
      </w:r>
      <w:r>
        <w:rPr>
          <w:lang w:val="fr-FR"/>
        </w:rPr>
        <w:t>es dernières années ont été marquées</w:t>
      </w:r>
      <w:r w:rsidR="00F40698">
        <w:rPr>
          <w:lang w:val="fr-FR"/>
        </w:rPr>
        <w:t xml:space="preserve"> par une multiplication des contentieux </w:t>
      </w:r>
      <w:r w:rsidR="0072099C">
        <w:rPr>
          <w:lang w:val="fr-FR"/>
        </w:rPr>
        <w:t>ayant trait</w:t>
      </w:r>
      <w:r w:rsidR="00F40698">
        <w:rPr>
          <w:lang w:val="fr-FR"/>
        </w:rPr>
        <w:t xml:space="preserve"> à l’appréhension juridique du fait religieux dans la société</w:t>
      </w:r>
      <w:r w:rsidR="004B4D5E">
        <w:rPr>
          <w:lang w:val="fr-FR"/>
        </w:rPr>
        <w:t xml:space="preserve">. Qu’il </w:t>
      </w:r>
      <w:r w:rsidR="00417FE5">
        <w:rPr>
          <w:lang w:val="fr-FR"/>
        </w:rPr>
        <w:t>en aille</w:t>
      </w:r>
      <w:r w:rsidR="004B4D5E">
        <w:rPr>
          <w:lang w:val="fr-FR"/>
        </w:rPr>
        <w:t xml:space="preserve"> de la réglementation relative à l’abattage rituel, </w:t>
      </w:r>
      <w:r w:rsidR="004B4D5E" w:rsidRPr="00B13FC0">
        <w:rPr>
          <w:lang w:val="fr-FR"/>
        </w:rPr>
        <w:t>d</w:t>
      </w:r>
      <w:r w:rsidR="006B60A4" w:rsidRPr="00B13FC0">
        <w:rPr>
          <w:lang w:val="fr-FR"/>
        </w:rPr>
        <w:t>e</w:t>
      </w:r>
      <w:r w:rsidR="004B4D5E" w:rsidRPr="00B13FC0">
        <w:rPr>
          <w:lang w:val="fr-FR"/>
        </w:rPr>
        <w:t xml:space="preserve">s cours de religion dans l’enseignement </w:t>
      </w:r>
      <w:r w:rsidR="00964963" w:rsidRPr="00B13FC0">
        <w:rPr>
          <w:lang w:val="fr-FR"/>
        </w:rPr>
        <w:t>public</w:t>
      </w:r>
      <w:r w:rsidR="004B4D5E" w:rsidRPr="00B13FC0">
        <w:rPr>
          <w:lang w:val="fr-FR"/>
        </w:rPr>
        <w:t xml:space="preserve"> ou </w:t>
      </w:r>
      <w:r w:rsidR="00417FE5" w:rsidRPr="00B13FC0">
        <w:rPr>
          <w:lang w:val="fr-FR"/>
        </w:rPr>
        <w:t xml:space="preserve">encore </w:t>
      </w:r>
      <w:r w:rsidR="004B4D5E" w:rsidRPr="00B13FC0">
        <w:rPr>
          <w:lang w:val="fr-FR"/>
        </w:rPr>
        <w:t>d</w:t>
      </w:r>
      <w:r w:rsidR="00964963" w:rsidRPr="00B13FC0">
        <w:rPr>
          <w:lang w:val="fr-FR"/>
        </w:rPr>
        <w:t>u port des signes religieux</w:t>
      </w:r>
      <w:r w:rsidR="0048610D" w:rsidRPr="00B13FC0">
        <w:rPr>
          <w:lang w:val="fr-FR"/>
        </w:rPr>
        <w:t xml:space="preserve"> dans l’entreprise</w:t>
      </w:r>
      <w:r w:rsidR="00964963" w:rsidRPr="00B13FC0">
        <w:rPr>
          <w:lang w:val="fr-FR"/>
        </w:rPr>
        <w:t>, chacun</w:t>
      </w:r>
      <w:r w:rsidR="009477AD" w:rsidRPr="00B13FC0">
        <w:rPr>
          <w:lang w:val="fr-FR"/>
        </w:rPr>
        <w:t>e de</w:t>
      </w:r>
      <w:r w:rsidR="00E15D7B" w:rsidRPr="00B13FC0">
        <w:rPr>
          <w:lang w:val="fr-FR"/>
        </w:rPr>
        <w:t xml:space="preserve"> ces </w:t>
      </w:r>
      <w:r w:rsidR="009477AD" w:rsidRPr="00B13FC0">
        <w:rPr>
          <w:lang w:val="fr-FR"/>
        </w:rPr>
        <w:t>« affaires »</w:t>
      </w:r>
      <w:r w:rsidR="00E15D7B" w:rsidRPr="00B13FC0">
        <w:rPr>
          <w:rStyle w:val="Appelnotedebasdep"/>
          <w:lang w:val="fr-FR"/>
        </w:rPr>
        <w:footnoteReference w:id="2"/>
      </w:r>
      <w:r w:rsidR="009477AD" w:rsidRPr="00B13FC0">
        <w:rPr>
          <w:lang w:val="fr-FR"/>
        </w:rPr>
        <w:t>, en dépit de leurs</w:t>
      </w:r>
      <w:r w:rsidR="009477AD">
        <w:rPr>
          <w:lang w:val="fr-FR"/>
        </w:rPr>
        <w:t xml:space="preserve"> particularités respectives, soulève des </w:t>
      </w:r>
      <w:r w:rsidR="009477AD">
        <w:rPr>
          <w:lang w:val="fr-FR"/>
        </w:rPr>
        <w:lastRenderedPageBreak/>
        <w:t>questionnements communs quant à la compréhension du modèle belge – s’il en est un – de relations entre l’État et les religions.</w:t>
      </w:r>
    </w:p>
    <w:p w14:paraId="42A46C09" w14:textId="05F3CF75" w:rsidR="0048610D" w:rsidRDefault="00877C30" w:rsidP="00AF3DB8">
      <w:pPr>
        <w:rPr>
          <w:lang w:val="fr-FR"/>
        </w:rPr>
      </w:pPr>
      <w:r>
        <w:rPr>
          <w:lang w:val="fr-FR"/>
        </w:rPr>
        <w:t>La</w:t>
      </w:r>
      <w:r w:rsidR="0048610D">
        <w:rPr>
          <w:lang w:val="fr-FR"/>
        </w:rPr>
        <w:t xml:space="preserve"> présente contribution </w:t>
      </w:r>
      <w:r w:rsidR="00FA2684">
        <w:rPr>
          <w:lang w:val="fr-FR"/>
        </w:rPr>
        <w:t xml:space="preserve">propose </w:t>
      </w:r>
      <w:r w:rsidR="00320F33">
        <w:rPr>
          <w:lang w:val="fr-FR"/>
        </w:rPr>
        <w:t xml:space="preserve">d’examiner tour à tour ces récents épisodes jurisprudentiels, en </w:t>
      </w:r>
      <w:r w:rsidR="00DB57CA">
        <w:rPr>
          <w:lang w:val="fr-FR"/>
        </w:rPr>
        <w:t xml:space="preserve">pointant </w:t>
      </w:r>
      <w:r w:rsidR="0001065F">
        <w:rPr>
          <w:lang w:val="fr-FR"/>
        </w:rPr>
        <w:t xml:space="preserve">d’une part </w:t>
      </w:r>
      <w:r w:rsidR="00DB57CA">
        <w:rPr>
          <w:lang w:val="fr-FR"/>
        </w:rPr>
        <w:t xml:space="preserve">les lignes-forces propres à chaque </w:t>
      </w:r>
      <w:r w:rsidR="00855326">
        <w:rPr>
          <w:lang w:val="fr-FR"/>
        </w:rPr>
        <w:t>affaire</w:t>
      </w:r>
      <w:r w:rsidR="00DB57CA">
        <w:rPr>
          <w:lang w:val="fr-FR"/>
        </w:rPr>
        <w:t xml:space="preserve">, et </w:t>
      </w:r>
      <w:r w:rsidR="00561B6D">
        <w:rPr>
          <w:lang w:val="fr-FR"/>
        </w:rPr>
        <w:t xml:space="preserve">en </w:t>
      </w:r>
      <w:r w:rsidR="004A7862">
        <w:rPr>
          <w:lang w:val="fr-FR"/>
        </w:rPr>
        <w:t>développant</w:t>
      </w:r>
      <w:r w:rsidR="0001065F">
        <w:rPr>
          <w:lang w:val="fr-FR"/>
        </w:rPr>
        <w:t xml:space="preserve"> d’autre part</w:t>
      </w:r>
      <w:r w:rsidR="00DB57CA">
        <w:rPr>
          <w:lang w:val="fr-FR"/>
        </w:rPr>
        <w:t xml:space="preserve"> </w:t>
      </w:r>
      <w:r w:rsidR="00561B6D">
        <w:rPr>
          <w:lang w:val="fr-FR"/>
        </w:rPr>
        <w:t>quelques éléments de réflexion</w:t>
      </w:r>
      <w:r w:rsidR="004A7862">
        <w:rPr>
          <w:lang w:val="fr-FR"/>
        </w:rPr>
        <w:t xml:space="preserve"> </w:t>
      </w:r>
      <w:r w:rsidR="001F425F">
        <w:rPr>
          <w:lang w:val="fr-FR"/>
        </w:rPr>
        <w:t>quant aux enjeux plus larges qu’elle soulève</w:t>
      </w:r>
      <w:r w:rsidR="00561B6D">
        <w:rPr>
          <w:lang w:val="fr-FR"/>
        </w:rPr>
        <w:t>.</w:t>
      </w:r>
    </w:p>
    <w:p w14:paraId="2B2F0F01" w14:textId="40DFF3D4" w:rsidR="00561B6D" w:rsidRDefault="00277536" w:rsidP="00AF3DB8">
      <w:pPr>
        <w:rPr>
          <w:lang w:val="fr-FR"/>
        </w:rPr>
      </w:pPr>
      <w:r>
        <w:rPr>
          <w:lang w:val="fr-FR"/>
        </w:rPr>
        <w:t>N</w:t>
      </w:r>
      <w:r w:rsidR="00EF071B">
        <w:rPr>
          <w:lang w:val="fr-FR"/>
        </w:rPr>
        <w:t>ous</w:t>
      </w:r>
      <w:r w:rsidR="00652A36">
        <w:rPr>
          <w:lang w:val="fr-FR"/>
        </w:rPr>
        <w:t xml:space="preserve"> </w:t>
      </w:r>
      <w:r w:rsidR="00E71C2A">
        <w:rPr>
          <w:lang w:val="fr-FR"/>
        </w:rPr>
        <w:t xml:space="preserve">tenterons </w:t>
      </w:r>
      <w:r>
        <w:rPr>
          <w:lang w:val="fr-FR"/>
        </w:rPr>
        <w:t xml:space="preserve">en particulier </w:t>
      </w:r>
      <w:r w:rsidR="00E71C2A">
        <w:rPr>
          <w:lang w:val="fr-FR"/>
        </w:rPr>
        <w:t xml:space="preserve">de percevoir dans quelle mesure ces marqueurs jurisprudentiels </w:t>
      </w:r>
      <w:r w:rsidR="002C3801">
        <w:rPr>
          <w:lang w:val="fr-FR"/>
        </w:rPr>
        <w:t xml:space="preserve">augurent </w:t>
      </w:r>
      <w:r w:rsidR="00742F4E">
        <w:rPr>
          <w:lang w:val="fr-FR"/>
        </w:rPr>
        <w:t xml:space="preserve">une possible </w:t>
      </w:r>
      <w:r w:rsidR="003F3627">
        <w:rPr>
          <w:lang w:val="fr-FR"/>
        </w:rPr>
        <w:t>évolution</w:t>
      </w:r>
      <w:r w:rsidR="00742F4E">
        <w:rPr>
          <w:lang w:val="fr-FR"/>
        </w:rPr>
        <w:t xml:space="preserve"> </w:t>
      </w:r>
      <w:r w:rsidR="003F3627">
        <w:rPr>
          <w:lang w:val="fr-FR"/>
        </w:rPr>
        <w:t>d</w:t>
      </w:r>
      <w:r w:rsidR="00746DA6">
        <w:rPr>
          <w:lang w:val="fr-FR"/>
        </w:rPr>
        <w:t>u</w:t>
      </w:r>
      <w:r w:rsidR="003F3627">
        <w:rPr>
          <w:lang w:val="fr-FR"/>
        </w:rPr>
        <w:t xml:space="preserve"> </w:t>
      </w:r>
      <w:r w:rsidR="00340FBC">
        <w:rPr>
          <w:lang w:val="fr-FR"/>
        </w:rPr>
        <w:t xml:space="preserve">régime des cultes en Belgique, traditionnellement </w:t>
      </w:r>
      <w:r w:rsidR="00005E43">
        <w:rPr>
          <w:lang w:val="fr-FR"/>
        </w:rPr>
        <w:t>marqué</w:t>
      </w:r>
      <w:r w:rsidR="00340FBC">
        <w:rPr>
          <w:lang w:val="fr-FR"/>
        </w:rPr>
        <w:t xml:space="preserve"> </w:t>
      </w:r>
      <w:r w:rsidR="00005E43">
        <w:rPr>
          <w:lang w:val="fr-FR"/>
        </w:rPr>
        <w:t xml:space="preserve">par </w:t>
      </w:r>
      <w:r w:rsidR="00C70426">
        <w:rPr>
          <w:lang w:val="fr-FR"/>
        </w:rPr>
        <w:t xml:space="preserve">un pluralisme institutionnel lié </w:t>
      </w:r>
      <w:r w:rsidR="00B13FC0">
        <w:rPr>
          <w:lang w:val="fr-FR"/>
        </w:rPr>
        <w:t>à la</w:t>
      </w:r>
      <w:r w:rsidR="00005E43">
        <w:rPr>
          <w:lang w:val="fr-FR"/>
        </w:rPr>
        <w:t xml:space="preserve"> pilarisation, vers une logique </w:t>
      </w:r>
      <w:r w:rsidR="00A363BD">
        <w:rPr>
          <w:lang w:val="fr-FR"/>
        </w:rPr>
        <w:t>de subjectivisation et de pluralisation de la neutralité de l’État.</w:t>
      </w:r>
    </w:p>
    <w:p w14:paraId="5F054A22" w14:textId="705CECBD" w:rsidR="002F7340" w:rsidRDefault="00174599" w:rsidP="00AF3DB8">
      <w:pPr>
        <w:rPr>
          <w:lang w:val="fr-FR"/>
        </w:rPr>
      </w:pPr>
      <w:r>
        <w:rPr>
          <w:lang w:val="fr-FR"/>
        </w:rPr>
        <w:t>Notre tour d’horizon débutera par l’évocation des contentieux jurisprudentiels relatifs à l’encadrement de l’abattage rituel</w:t>
      </w:r>
      <w:r w:rsidR="00F01EB3">
        <w:rPr>
          <w:lang w:val="fr-FR"/>
        </w:rPr>
        <w:t xml:space="preserve"> dans les différentes régions du pays (1). Seront ensuite abordés les</w:t>
      </w:r>
      <w:r w:rsidR="00543BD2">
        <w:rPr>
          <w:lang w:val="fr-FR"/>
        </w:rPr>
        <w:t xml:space="preserve"> épisodes juridictionnels ayant trait </w:t>
      </w:r>
      <w:r w:rsidR="00417FE5">
        <w:rPr>
          <w:lang w:val="fr-FR"/>
        </w:rPr>
        <w:t xml:space="preserve">à la place offerte à l’expression des convictions religieuses dans l’enseignement public (2). En troisième lieu, nous envisagerons plusieurs contentieux </w:t>
      </w:r>
      <w:r w:rsidR="00D96D16">
        <w:rPr>
          <w:lang w:val="fr-FR"/>
        </w:rPr>
        <w:t xml:space="preserve">relatifs à l’invocation de la neutralité </w:t>
      </w:r>
      <w:r w:rsidR="00CA3CE3">
        <w:rPr>
          <w:lang w:val="fr-FR"/>
        </w:rPr>
        <w:t>dans la sphère de l’entreprise (3).</w:t>
      </w:r>
    </w:p>
    <w:p w14:paraId="1FABD856" w14:textId="6836F4CF" w:rsidR="002D4B05" w:rsidRPr="002D4B05" w:rsidRDefault="002D4B05" w:rsidP="00D34C9C">
      <w:pPr>
        <w:pStyle w:val="Titre1"/>
      </w:pPr>
      <w:r>
        <w:t>Interdiction de l’abattage rituel sans étourdissement : l’impossible neutralité d’abstention</w:t>
      </w:r>
    </w:p>
    <w:p w14:paraId="5A467B9F" w14:textId="6DEB465C" w:rsidR="00211420" w:rsidRDefault="002D4B05" w:rsidP="008638CF">
      <w:r>
        <w:t>Le premier contentieux</w:t>
      </w:r>
      <w:r w:rsidR="00532190">
        <w:t xml:space="preserve"> </w:t>
      </w:r>
      <w:r w:rsidR="00A553FC">
        <w:t>évoqué ici trouve son origine dans l’adoption</w:t>
      </w:r>
      <w:r w:rsidR="00F43F1A">
        <w:t xml:space="preserve"> en 2017 et 2018</w:t>
      </w:r>
      <w:r w:rsidR="00A553FC">
        <w:t>, par les législateurs wallon</w:t>
      </w:r>
      <w:r w:rsidR="00211420">
        <w:rPr>
          <w:rStyle w:val="Appelnotedebasdep"/>
        </w:rPr>
        <w:footnoteReference w:id="3"/>
      </w:r>
      <w:r w:rsidR="00A553FC">
        <w:t xml:space="preserve"> et flamand</w:t>
      </w:r>
      <w:r w:rsidR="00211420">
        <w:rPr>
          <w:rStyle w:val="Appelnotedebasdep"/>
        </w:rPr>
        <w:footnoteReference w:id="4"/>
      </w:r>
      <w:r w:rsidR="00A553FC">
        <w:t xml:space="preserve">, de décrets </w:t>
      </w:r>
      <w:r w:rsidR="00211420">
        <w:t>interdisant l’abattage rituel réalisé sans étourdissement préalable de l’animal.</w:t>
      </w:r>
    </w:p>
    <w:p w14:paraId="37E42C49" w14:textId="2519B75D" w:rsidR="00F57390" w:rsidRDefault="00211420" w:rsidP="008638CF">
      <w:r>
        <w:t xml:space="preserve">Considérant </w:t>
      </w:r>
      <w:r w:rsidR="0074011D">
        <w:t>qu</w:t>
      </w:r>
      <w:r w:rsidR="00EF3EF7">
        <w:t>’une</w:t>
      </w:r>
      <w:r>
        <w:t xml:space="preserve"> telle mesure </w:t>
      </w:r>
      <w:r w:rsidR="00A5240A">
        <w:t>portait</w:t>
      </w:r>
      <w:r>
        <w:t xml:space="preserve"> injustement atteinte à</w:t>
      </w:r>
      <w:r w:rsidR="004603C2">
        <w:t xml:space="preserve"> la</w:t>
      </w:r>
      <w:r>
        <w:t xml:space="preserve"> liberté de religion</w:t>
      </w:r>
      <w:r w:rsidR="0074011D">
        <w:t xml:space="preserve"> ainsi qu’aux principes de séparation de l’Église et de l’État et d’égalité et de non-discrimination,</w:t>
      </w:r>
      <w:r>
        <w:t xml:space="preserve"> plusieurs organisations</w:t>
      </w:r>
      <w:r w:rsidR="009779A5">
        <w:t xml:space="preserve"> </w:t>
      </w:r>
      <w:r>
        <w:t>et individus</w:t>
      </w:r>
      <w:r w:rsidR="000D05A1">
        <w:t xml:space="preserve"> de confession juive et musulmane</w:t>
      </w:r>
      <w:r>
        <w:t xml:space="preserve"> </w:t>
      </w:r>
      <w:r w:rsidR="00A5240A">
        <w:t>ont</w:t>
      </w:r>
      <w:r>
        <w:t xml:space="preserve"> </w:t>
      </w:r>
      <w:r w:rsidR="00EB6E75">
        <w:t xml:space="preserve">alors </w:t>
      </w:r>
      <w:r>
        <w:t xml:space="preserve">introduit </w:t>
      </w:r>
      <w:r w:rsidR="00EF3EF7">
        <w:t>des</w:t>
      </w:r>
      <w:r>
        <w:t xml:space="preserve"> recours en annulation des décrets concernés devant la Cour constitutionnelle de Belgique.</w:t>
      </w:r>
    </w:p>
    <w:p w14:paraId="64F58F2E" w14:textId="669C23CE" w:rsidR="00A21072" w:rsidRPr="00A21072" w:rsidRDefault="0049674A" w:rsidP="00A21072">
      <w:r>
        <w:t xml:space="preserve">Afin de statuer sur la constitutionnalité et la conventionalité des deux décrets, la Cour constitutionnelle </w:t>
      </w:r>
      <w:r w:rsidR="00A5240A">
        <w:t>avait</w:t>
      </w:r>
      <w:r>
        <w:t xml:space="preserve"> estimé devoir poser une question préjudicielle à la Cour de justice de l’Union européenne (</w:t>
      </w:r>
      <w:proofErr w:type="spellStart"/>
      <w:r>
        <w:t>CJUE</w:t>
      </w:r>
      <w:proofErr w:type="spellEnd"/>
      <w:r>
        <w:t>), au sujet de la compatibilité de cette obligation d’étourdissement réversible avec le droit européen.</w:t>
      </w:r>
      <w:r w:rsidR="00F43F1A">
        <w:t xml:space="preserve"> </w:t>
      </w:r>
      <w:r w:rsidR="00EB6E75">
        <w:t xml:space="preserve">Dans </w:t>
      </w:r>
      <w:r w:rsidR="00EB6E75">
        <w:lastRenderedPageBreak/>
        <w:t>son arrêt rendu en</w:t>
      </w:r>
      <w:r w:rsidR="00F43F1A">
        <w:t xml:space="preserve"> mai 2018</w:t>
      </w:r>
      <w:r w:rsidR="00A21072" w:rsidRPr="00A21072">
        <w:t xml:space="preserve">, la </w:t>
      </w:r>
      <w:proofErr w:type="spellStart"/>
      <w:r w:rsidR="00A21072" w:rsidRPr="00A21072">
        <w:t>CJUE</w:t>
      </w:r>
      <w:proofErr w:type="spellEnd"/>
      <w:r w:rsidR="00A21072" w:rsidRPr="00A21072">
        <w:t xml:space="preserve"> avait </w:t>
      </w:r>
      <w:r w:rsidR="00EB6E75">
        <w:t>répondu</w:t>
      </w:r>
      <w:r w:rsidR="00A21072" w:rsidRPr="00A21072">
        <w:t xml:space="preserve"> que le Règlement européen n° 1099/2009 relatif à l’abattage laisse aux États membres une marge d’appréciation leur permettant de rendre totalement obligatoire l’étourdissement préalable, y compris pour les abattages rituels faisant l’objet d’un régime dérogatoire, via un étourdissement réversible.</w:t>
      </w:r>
      <w:r w:rsidR="00A21072">
        <w:rPr>
          <w:rStyle w:val="Appelnotedebasdep"/>
        </w:rPr>
        <w:footnoteReference w:id="5"/>
      </w:r>
    </w:p>
    <w:p w14:paraId="0FFB75DF" w14:textId="12F1C5B9" w:rsidR="00EB6E75" w:rsidRDefault="00EB6E75" w:rsidP="0049674A">
      <w:r>
        <w:t>S’appuyant</w:t>
      </w:r>
      <w:r w:rsidR="002A2EAC">
        <w:t xml:space="preserve"> essentiellement</w:t>
      </w:r>
      <w:r>
        <w:t xml:space="preserve"> sur les</w:t>
      </w:r>
      <w:r w:rsidR="00A21072" w:rsidRPr="00A21072">
        <w:t xml:space="preserve"> réponses </w:t>
      </w:r>
      <w:r>
        <w:t xml:space="preserve">fournies par </w:t>
      </w:r>
      <w:r w:rsidR="00A21072" w:rsidRPr="00A21072">
        <w:t xml:space="preserve">la </w:t>
      </w:r>
      <w:proofErr w:type="spellStart"/>
      <w:r w:rsidR="00A21072" w:rsidRPr="00A21072">
        <w:t>CJUE</w:t>
      </w:r>
      <w:proofErr w:type="spellEnd"/>
      <w:r w:rsidR="00A21072" w:rsidRPr="00A21072">
        <w:t>, la Cour constitutionnelle de Belgique valide entièrement les deux décrets et rejette les recours en annulation, considérant qu’il n’a été porté injustement atteinte à aucun droit fondamental.</w:t>
      </w:r>
      <w:r>
        <w:rPr>
          <w:rStyle w:val="Appelnotedebasdep"/>
        </w:rPr>
        <w:footnoteReference w:id="6"/>
      </w:r>
    </w:p>
    <w:p w14:paraId="712F6606" w14:textId="68D88855" w:rsidR="008416BD" w:rsidRDefault="001D0335" w:rsidP="0049674A">
      <w:r>
        <w:t>Quoiqu’univoque, la</w:t>
      </w:r>
      <w:r w:rsidR="00EB6E75">
        <w:t xml:space="preserve"> réponse </w:t>
      </w:r>
      <w:r w:rsidR="008416BD">
        <w:t>des juges constitutionnels</w:t>
      </w:r>
      <w:r w:rsidR="000B4BA4">
        <w:t xml:space="preserve"> </w:t>
      </w:r>
      <w:r w:rsidR="00EB6E75">
        <w:t xml:space="preserve">soulève </w:t>
      </w:r>
      <w:r w:rsidR="000B4BA4">
        <w:t>plusieurs interrogations</w:t>
      </w:r>
      <w:r w:rsidR="008416BD">
        <w:t xml:space="preserve">, </w:t>
      </w:r>
      <w:r w:rsidR="00EB6E75">
        <w:t xml:space="preserve">non seulement </w:t>
      </w:r>
      <w:r w:rsidR="00857D36">
        <w:t xml:space="preserve">quant à la portée de la Constitution belge en matière de liberté de religion, mais aussi, plus fondamentalement, </w:t>
      </w:r>
      <w:r w:rsidR="00EB6E75">
        <w:t>sur le plan de la neutralité de l’État</w:t>
      </w:r>
      <w:r w:rsidR="008416BD">
        <w:t>.</w:t>
      </w:r>
    </w:p>
    <w:p w14:paraId="4CABBE6C" w14:textId="7DA0C372" w:rsidR="008638CF" w:rsidRDefault="008638CF" w:rsidP="008638CF">
      <w:r>
        <w:t xml:space="preserve">Premièrement, pour </w:t>
      </w:r>
      <w:r w:rsidR="008416BD">
        <w:t>conclure</w:t>
      </w:r>
      <w:r>
        <w:t xml:space="preserve"> à l’admissibilité des décrets, les juges constitutionnels calquent entièrement leur raisonnement sur celui de la </w:t>
      </w:r>
      <w:proofErr w:type="spellStart"/>
      <w:r>
        <w:t>CJUE</w:t>
      </w:r>
      <w:proofErr w:type="spellEnd"/>
      <w:r>
        <w:t xml:space="preserve">, pourtant limité à l’interprétation des règles européennes en la matière. Or, les parties requérantes invoquaient également de manière autonome les dispositions constitutionnelles belges, en particulier l’article 19 consacrant la liberté de religion. Sur ce point, la Cour constitutionnelle semble faire intégralement dépendre la conception belge de la liberté de religion de l’appréciation de la </w:t>
      </w:r>
      <w:proofErr w:type="spellStart"/>
      <w:r>
        <w:t>CJUE</w:t>
      </w:r>
      <w:proofErr w:type="spellEnd"/>
      <w:r>
        <w:t>. Cette dernière se limite à reconnaître une marge d’appréciation aux États membres en la matière, sans préjuger du contrôle de cette marge d’appréciation par le juge constitutionnel.</w:t>
      </w:r>
      <w:r w:rsidR="00857D36">
        <w:t xml:space="preserve"> </w:t>
      </w:r>
      <w:r>
        <w:t>Partant, la valeur ajoutée d’une conception constitutionnelle spécifique de ces droits et libertés fondamentaux semble foncièrement remise en question, de même que la perspective d’une protection accrue de ceux-ci en vertu de la Constitution belge.</w:t>
      </w:r>
    </w:p>
    <w:p w14:paraId="73B52027" w14:textId="64B92BF1" w:rsidR="008638CF" w:rsidRDefault="008638CF" w:rsidP="008638CF">
      <w:r>
        <w:t xml:space="preserve">Deuxièmement, s’agissant du respect du principe de séparation de l’Église et de l’État, la Cour </w:t>
      </w:r>
      <w:r w:rsidR="00857D36">
        <w:t xml:space="preserve">constitutionnelle </w:t>
      </w:r>
      <w:r>
        <w:t>conditionne l’admissibilité des décrets au fait que l’imposition de l’étourdissement réversible aux abattages rituels ne soit pas « interprétée en ce sens qu’elle définirait les procédés d’abattage particuliers requis pour les rites religieux »</w:t>
      </w:r>
      <w:r w:rsidR="00E72850">
        <w:rPr>
          <w:rStyle w:val="Appelnotedebasdep"/>
        </w:rPr>
        <w:footnoteReference w:id="7"/>
      </w:r>
      <w:r>
        <w:t>. En d’autres termes, les juges précisent qu’en vertu des principes de neutralité et d’impartialité, on ne peut considérer que les croyants ou les cultes se voient ici dicter par le législateur la manière dont, du point de vue religieux, devrait être effectué un abattage rituel.</w:t>
      </w:r>
    </w:p>
    <w:p w14:paraId="2A5A4F06" w14:textId="6DB492C2" w:rsidR="00E72850" w:rsidRDefault="008638CF" w:rsidP="008638CF">
      <w:r>
        <w:lastRenderedPageBreak/>
        <w:t xml:space="preserve">L’on pourrait certes considérer que les décrets en question se limitent à ajouter une obligation au régime déjà dérogatoire relatif aux abattages rituels. Reste que, dans les faits, faire subsister l’exception relative à l’abattage rituel, tout en y imposant l’étourdissement, revient effectivement à dicter aux croyants concernés la forme que doit prendre un abattage rituel effectué en Flandre ou en Wallonie. L’on voit ici </w:t>
      </w:r>
      <w:proofErr w:type="gramStart"/>
      <w:r>
        <w:t>la difficulté consistant</w:t>
      </w:r>
      <w:proofErr w:type="gramEnd"/>
      <w:r>
        <w:t>, pour les autorités, à respecter d’une part le principe de neutralité de l’État, du point de vue de son absence d’interférence quant à la légitimité des croyances ou pratiques religieuses, tout en veillant d’autre part à organiser concrètement la jouissance effective de la liberté de religion, y compris par des régimes dérogatoires.</w:t>
      </w:r>
      <w:r w:rsidR="005A7BE4">
        <w:t xml:space="preserve"> Le risque se pose néanmoins qu</w:t>
      </w:r>
      <w:r w:rsidR="00FF3B4C">
        <w:t>e soit</w:t>
      </w:r>
      <w:r w:rsidR="005154C5">
        <w:t>, ici</w:t>
      </w:r>
      <w:r w:rsidR="00D16E1D">
        <w:t xml:space="preserve"> comme ailleurs</w:t>
      </w:r>
      <w:r w:rsidR="005A7BE4">
        <w:t xml:space="preserve">, subjectivement privilégiée par l’État une conception spécifique de </w:t>
      </w:r>
      <w:r w:rsidR="00AD3253">
        <w:t>la religion concernée, le plus susceptible d</w:t>
      </w:r>
      <w:r w:rsidR="0060621B">
        <w:t xml:space="preserve">e s’accommoder de la </w:t>
      </w:r>
      <w:r w:rsidR="00E87907">
        <w:t>démarche</w:t>
      </w:r>
      <w:r w:rsidR="0060621B">
        <w:t xml:space="preserve"> poursuivie par celui-ci.</w:t>
      </w:r>
    </w:p>
    <w:p w14:paraId="3001B904" w14:textId="611E5E7E" w:rsidR="008638CF" w:rsidRDefault="008638CF" w:rsidP="008638CF">
      <w:r>
        <w:t xml:space="preserve">Troisièmement, la Cour suggère que, outre la liberté de religion des croyants juifs et musulmans concernés, devrait être prise en compte la liberté de religion des personnes opposées à l’abattage sans étourdissement « dans leur conception de la vie » (point B.19.3), au nom du bien-être animal. La Cour place-t-elle ici sur un niveau similaire, d’une part, la liberté des personnes se voyant interdire la possibilité concrète de pratiquer leur religion en abattant des animaux sans étourdissement ou en les consommant, et, d’autre part, la liberté des personnes non directement concernées, mais dont les convictions seraient heurtées par la perspective de la pratique de l’abattage sans étourdissement par autrui ? Une telle extension de la liberté de religion au droit </w:t>
      </w:r>
      <w:r w:rsidR="00982A0B">
        <w:t xml:space="preserve">subjectif </w:t>
      </w:r>
      <w:r>
        <w:t>à ne pas être indirectement heurté ou offensé dans ses convictions par une quelconque pratique semble en l’occurrence discutable, et introduirait en quelque sorte un délit de blasphème inversé.</w:t>
      </w:r>
    </w:p>
    <w:p w14:paraId="42766391" w14:textId="63027A75" w:rsidR="008638CF" w:rsidRDefault="008638CF" w:rsidP="008638CF">
      <w:r>
        <w:t xml:space="preserve">En dépit du caractère définitif de </w:t>
      </w:r>
      <w:r w:rsidR="000D05A1">
        <w:t>ces</w:t>
      </w:r>
      <w:r>
        <w:t xml:space="preserve"> arrêt</w:t>
      </w:r>
      <w:r w:rsidR="000D05A1">
        <w:t>s</w:t>
      </w:r>
      <w:r>
        <w:t xml:space="preserve">, le débat juridique belge n’est </w:t>
      </w:r>
      <w:r w:rsidR="000D05A1">
        <w:t>certainement</w:t>
      </w:r>
      <w:r>
        <w:t xml:space="preserve"> pas clos en la matière, pour au moins deux raisons. D’une part, </w:t>
      </w:r>
      <w:r w:rsidR="000D05A1" w:rsidRPr="000D05A1">
        <w:t>plusieurs</w:t>
      </w:r>
      <w:r w:rsidRPr="000D05A1">
        <w:t xml:space="preserve"> requérants musulmans </w:t>
      </w:r>
      <w:r w:rsidR="000D05A1" w:rsidRPr="000D05A1">
        <w:t>et juifs ont</w:t>
      </w:r>
      <w:r w:rsidR="000D05A1">
        <w:t>, sur ces mêmes dossiers, intenté</w:t>
      </w:r>
      <w:r w:rsidRPr="000D05A1">
        <w:t xml:space="preserve"> un recours auprès de la Cour européenne des droits de l’homme</w:t>
      </w:r>
      <w:r w:rsidR="002D2DAE">
        <w:t xml:space="preserve"> (CourEDH)</w:t>
      </w:r>
      <w:r>
        <w:t>.</w:t>
      </w:r>
      <w:r w:rsidR="000D05A1">
        <w:rPr>
          <w:rStyle w:val="Appelnotedebasdep"/>
        </w:rPr>
        <w:footnoteReference w:id="8"/>
      </w:r>
      <w:r>
        <w:t xml:space="preserve"> D’autre part, la Région de Bruxelles-Capitale, dernière entité régionale à autoriser l’abattage rituel sans étourdissement, voit le débat politique autour d’une interdiction s’aiguiser à nouveau, sans pour autant qu’une majorité claire se dessine afin que soit tranché le débat dans un futur proche.</w:t>
      </w:r>
      <w:r w:rsidR="004A67C2">
        <w:rPr>
          <w:rStyle w:val="Appelnotedebasdep"/>
        </w:rPr>
        <w:footnoteReference w:id="9"/>
      </w:r>
    </w:p>
    <w:p w14:paraId="4095F5AF" w14:textId="5B15C8B9" w:rsidR="00347E1B" w:rsidRPr="00D34C9C" w:rsidRDefault="00945309" w:rsidP="00D34C9C">
      <w:pPr>
        <w:pStyle w:val="Titre1"/>
      </w:pPr>
      <w:r>
        <w:lastRenderedPageBreak/>
        <w:t>E</w:t>
      </w:r>
      <w:r w:rsidR="00347E1B">
        <w:t>nseignement</w:t>
      </w:r>
      <w:r>
        <w:t xml:space="preserve"> public et religion</w:t>
      </w:r>
      <w:r w:rsidR="00C516BE">
        <w:t xml:space="preserve"> : </w:t>
      </w:r>
      <w:r w:rsidR="005079CE">
        <w:t>la neutralité par la pluralité</w:t>
      </w:r>
    </w:p>
    <w:p w14:paraId="1AE15111" w14:textId="533A6AE5" w:rsidR="0030119C" w:rsidRDefault="003A2E0F" w:rsidP="007F01CE">
      <w:r>
        <w:t xml:space="preserve">Un autre </w:t>
      </w:r>
      <w:r w:rsidR="0030119C">
        <w:t>domaine</w:t>
      </w:r>
      <w:r w:rsidR="000059C3">
        <w:t xml:space="preserve"> ayant fait l’objet </w:t>
      </w:r>
      <w:r w:rsidR="00B4088E">
        <w:t xml:space="preserve">de </w:t>
      </w:r>
      <w:r w:rsidR="00921182">
        <w:t>contentieux</w:t>
      </w:r>
      <w:r w:rsidR="000059C3">
        <w:t xml:space="preserve"> importants </w:t>
      </w:r>
      <w:r w:rsidR="00A70FC2">
        <w:t xml:space="preserve">en droit belge des religions </w:t>
      </w:r>
      <w:r w:rsidR="000059C3">
        <w:t>ces dernières années</w:t>
      </w:r>
      <w:r w:rsidR="0030119C">
        <w:t xml:space="preserve"> est celui de l’enseignement public. Deux arrêts</w:t>
      </w:r>
      <w:r w:rsidR="00C95AE9">
        <w:t xml:space="preserve"> </w:t>
      </w:r>
      <w:r w:rsidR="0030119C">
        <w:t xml:space="preserve">rendus </w:t>
      </w:r>
      <w:r w:rsidR="00B4088E">
        <w:t>par la Cour constitutionnelle retiendront en particulier notre attention.</w:t>
      </w:r>
    </w:p>
    <w:p w14:paraId="4B87B7E1" w14:textId="0CBCAC49" w:rsidR="00D34C9C" w:rsidRPr="00D34C9C" w:rsidRDefault="003B7E83" w:rsidP="00D34C9C">
      <w:pPr>
        <w:pStyle w:val="Titre2"/>
      </w:pPr>
      <w:r>
        <w:t xml:space="preserve">Neutralité et </w:t>
      </w:r>
      <w:r w:rsidR="00B670D8">
        <w:t xml:space="preserve">choix </w:t>
      </w:r>
      <w:r w:rsidR="004929F2">
        <w:t xml:space="preserve">des </w:t>
      </w:r>
      <w:r>
        <w:t xml:space="preserve">cours </w:t>
      </w:r>
      <w:r w:rsidR="004929F2">
        <w:t>« convictionnels »</w:t>
      </w:r>
    </w:p>
    <w:p w14:paraId="01465A57" w14:textId="4F034B23" w:rsidR="00467047" w:rsidRDefault="005C7639" w:rsidP="00440798">
      <w:r>
        <w:t>Le premier</w:t>
      </w:r>
      <w:r w:rsidR="00C95AE9">
        <w:t xml:space="preserve"> arrêt, rendu en 2015, porte sur l’organisation</w:t>
      </w:r>
      <w:r w:rsidR="00440798">
        <w:t>, constitutionnellement obligatoire</w:t>
      </w:r>
      <w:r w:rsidR="00440798">
        <w:rPr>
          <w:rStyle w:val="Appelnotedebasdep"/>
        </w:rPr>
        <w:footnoteReference w:id="10"/>
      </w:r>
      <w:r w:rsidR="00440798">
        <w:t xml:space="preserve">, </w:t>
      </w:r>
      <w:r w:rsidR="00C95AE9">
        <w:t xml:space="preserve"> des </w:t>
      </w:r>
      <w:r w:rsidR="00F74242">
        <w:t>cours de religion et de morale non confessionnelle</w:t>
      </w:r>
      <w:r w:rsidR="00440798">
        <w:t xml:space="preserve"> </w:t>
      </w:r>
      <w:r w:rsidR="00387C65">
        <w:t>dans le réseau public officiel de l’enseignement</w:t>
      </w:r>
      <w:r w:rsidR="00A6214C">
        <w:t>, jusqu’</w:t>
      </w:r>
      <w:r w:rsidR="00247DE5">
        <w:t>à la fin du</w:t>
      </w:r>
      <w:r w:rsidR="00A6214C">
        <w:t xml:space="preserve"> </w:t>
      </w:r>
      <w:r w:rsidR="00440798">
        <w:t>secondaire</w:t>
      </w:r>
      <w:r w:rsidR="00387C65">
        <w:t>.</w:t>
      </w:r>
      <w:r w:rsidR="008A5239">
        <w:t xml:space="preserve"> </w:t>
      </w:r>
      <w:r w:rsidR="00BF2315">
        <w:t>La participation à l’un</w:t>
      </w:r>
      <w:r w:rsidR="00C31ACA">
        <w:t xml:space="preserve"> de ce</w:t>
      </w:r>
      <w:r w:rsidR="008A5239">
        <w:t>s cours</w:t>
      </w:r>
      <w:r w:rsidR="00A658CE">
        <w:t xml:space="preserve"> </w:t>
      </w:r>
      <w:r w:rsidR="00BF2315">
        <w:t>- incluant les religions reconnues par l’État ainsi que la morale non confessionnelle</w:t>
      </w:r>
      <w:r w:rsidR="007F40BC">
        <w:t xml:space="preserve"> –</w:t>
      </w:r>
      <w:r w:rsidR="008A5239">
        <w:t xml:space="preserve"> </w:t>
      </w:r>
      <w:r w:rsidR="007F40BC">
        <w:t>était jusqu’alors obligatoire pour chaque élève dans l’enseignement public francophone</w:t>
      </w:r>
      <w:r w:rsidR="00467047">
        <w:t>.</w:t>
      </w:r>
      <w:r w:rsidR="00E81029">
        <w:t xml:space="preserve"> </w:t>
      </w:r>
      <w:r w:rsidR="00B2372F">
        <w:t>À l’inverse, l’enseignement belge néerlandophone prévoit</w:t>
      </w:r>
      <w:r w:rsidR="00B2372F" w:rsidRPr="00440798">
        <w:t>, depuis deux arrêts du Conseil d’État de 1985</w:t>
      </w:r>
      <w:r w:rsidR="00B2372F" w:rsidRPr="00440798">
        <w:rPr>
          <w:vertAlign w:val="superscript"/>
        </w:rPr>
        <w:footnoteReference w:id="11"/>
      </w:r>
      <w:r w:rsidR="00B2372F" w:rsidRPr="00440798">
        <w:t xml:space="preserve"> et 1990</w:t>
      </w:r>
      <w:r w:rsidR="00B2372F" w:rsidRPr="00440798">
        <w:rPr>
          <w:vertAlign w:val="superscript"/>
        </w:rPr>
        <w:footnoteReference w:id="12"/>
      </w:r>
      <w:r w:rsidR="00B2372F" w:rsidRPr="00440798">
        <w:t>, un mécanisme de dispense pour les élèves ne souhaitant pas suivre l’un des cours de religion ou le cours de morale non confessionnelle.</w:t>
      </w:r>
    </w:p>
    <w:p w14:paraId="712AE99E" w14:textId="779DE8B9" w:rsidR="00440798" w:rsidRPr="00440798" w:rsidRDefault="00440798" w:rsidP="00440798">
      <w:r w:rsidRPr="00440798">
        <w:t xml:space="preserve">Comme nous y invite la </w:t>
      </w:r>
      <w:r w:rsidR="002D2DAE">
        <w:t>CourEDH</w:t>
      </w:r>
      <w:r w:rsidRPr="00440798">
        <w:t xml:space="preserve"> dans une jurisprudence constante</w:t>
      </w:r>
      <w:r w:rsidRPr="00440798">
        <w:rPr>
          <w:vertAlign w:val="superscript"/>
        </w:rPr>
        <w:footnoteReference w:id="13"/>
      </w:r>
      <w:r w:rsidRPr="00440798">
        <w:t>, le respect du principe de neutralité et, avec lui, de la liberté de religion des élèves et de leurs parents, implique</w:t>
      </w:r>
      <w:r w:rsidR="00A658CE">
        <w:t xml:space="preserve"> toutefois</w:t>
      </w:r>
      <w:r w:rsidRPr="00440798">
        <w:t xml:space="preserve"> que ces derniers ne se voient pas imposer l’assistance à un cours convictionnel par essence non neutre.</w:t>
      </w:r>
    </w:p>
    <w:p w14:paraId="243DF02B" w14:textId="7BDE89E8" w:rsidR="00440798" w:rsidRDefault="00397D10" w:rsidP="00440798">
      <w:r>
        <w:t>Jusqu’en 2015, l</w:t>
      </w:r>
      <w:r w:rsidR="00440798" w:rsidRPr="00440798">
        <w:t xml:space="preserve">e cours de morale non confessionnelle </w:t>
      </w:r>
      <w:r w:rsidR="00B61BCF">
        <w:t>était</w:t>
      </w:r>
      <w:r>
        <w:t xml:space="preserve"> pourtant</w:t>
      </w:r>
      <w:r w:rsidR="00440798" w:rsidRPr="00440798">
        <w:t xml:space="preserve"> considéré comme </w:t>
      </w:r>
      <w:r w:rsidR="0027106A">
        <w:t>neutre</w:t>
      </w:r>
      <w:r>
        <w:t xml:space="preserve"> dans l’enseignement francophone</w:t>
      </w:r>
      <w:r w:rsidR="0027106A">
        <w:t>, et</w:t>
      </w:r>
      <w:r>
        <w:t xml:space="preserve"> figurait</w:t>
      </w:r>
      <w:r w:rsidR="0027106A">
        <w:t xml:space="preserve"> dès lors comme </w:t>
      </w:r>
      <w:r w:rsidR="00440798" w:rsidRPr="00440798">
        <w:t xml:space="preserve">le choix par défaut des élèves et parents refusant d’opter pour l’un des cours de religion. </w:t>
      </w:r>
      <w:r w:rsidR="00DB1DA7">
        <w:t>La Cour constitutionnelle est alors saisie</w:t>
      </w:r>
      <w:r w:rsidR="008D4D5C">
        <w:t xml:space="preserve"> d’une question préjudicielle</w:t>
      </w:r>
      <w:r w:rsidR="00DB1DA7">
        <w:t xml:space="preserve">, à l’occasion </w:t>
      </w:r>
      <w:r w:rsidR="004A0EA9">
        <w:t xml:space="preserve">d’un recours introduit par </w:t>
      </w:r>
      <w:r w:rsidR="00884C40">
        <w:t>de</w:t>
      </w:r>
      <w:r w:rsidR="004A0EA9">
        <w:t>s</w:t>
      </w:r>
      <w:r>
        <w:t xml:space="preserve"> parents </w:t>
      </w:r>
      <w:r w:rsidR="004A0EA9">
        <w:t xml:space="preserve">refusant précisément </w:t>
      </w:r>
      <w:r>
        <w:t xml:space="preserve">d’opter pour </w:t>
      </w:r>
      <w:r w:rsidR="00D47F53">
        <w:t>ce cours</w:t>
      </w:r>
      <w:r>
        <w:t xml:space="preserve">, à </w:t>
      </w:r>
      <w:proofErr w:type="gramStart"/>
      <w:r>
        <w:t>leur yeux</w:t>
      </w:r>
      <w:r w:rsidR="003C76CA">
        <w:t xml:space="preserve"> pas plus</w:t>
      </w:r>
      <w:r w:rsidR="004A0EA9">
        <w:t xml:space="preserve"> </w:t>
      </w:r>
      <w:r w:rsidR="00D47F53">
        <w:t>neutre</w:t>
      </w:r>
      <w:proofErr w:type="gramEnd"/>
      <w:r w:rsidR="004A0EA9">
        <w:t xml:space="preserve"> que les cours de religion.</w:t>
      </w:r>
      <w:r w:rsidR="00F34B3C">
        <w:t xml:space="preserve"> </w:t>
      </w:r>
      <w:r w:rsidR="00D47F53">
        <w:t>Aux yeux de la Cour, dès lors qu’il est « </w:t>
      </w:r>
      <w:r w:rsidR="00D47F53" w:rsidRPr="00D47F53">
        <w:t>inspiré par l’esprit de libre examen</w:t>
      </w:r>
      <w:r w:rsidR="00D47F53">
        <w:t> »</w:t>
      </w:r>
      <w:r w:rsidR="000E1113">
        <w:t xml:space="preserve"> propre au courant convictionnel dit de la « laïcité organisée »</w:t>
      </w:r>
      <w:r w:rsidR="000E1113">
        <w:rPr>
          <w:rStyle w:val="Appelnotedebasdep"/>
        </w:rPr>
        <w:footnoteReference w:id="14"/>
      </w:r>
      <w:r w:rsidR="00E81029">
        <w:t xml:space="preserve"> </w:t>
      </w:r>
      <w:r w:rsidR="006260DE">
        <w:t xml:space="preserve">– </w:t>
      </w:r>
      <w:r w:rsidR="00E81029">
        <w:t xml:space="preserve">reconnu </w:t>
      </w:r>
      <w:r w:rsidR="00742A73">
        <w:t xml:space="preserve">depuis 2002 </w:t>
      </w:r>
      <w:r w:rsidR="00E81029">
        <w:t xml:space="preserve">au même titre que les </w:t>
      </w:r>
      <w:r w:rsidR="00742A73">
        <w:t>cultes reconnus –</w:t>
      </w:r>
      <w:r w:rsidR="00D47F53">
        <w:t>, le cours de morale non confessionnelle</w:t>
      </w:r>
      <w:r w:rsidR="003C76CA">
        <w:t xml:space="preserve"> </w:t>
      </w:r>
      <w:r w:rsidR="00496F73">
        <w:t>peut apparaître comme un cours « engagé »</w:t>
      </w:r>
      <w:r w:rsidR="00496F73">
        <w:rPr>
          <w:rStyle w:val="Appelnotedebasdep"/>
        </w:rPr>
        <w:footnoteReference w:id="15"/>
      </w:r>
      <w:r w:rsidR="00496F73">
        <w:t xml:space="preserve">. </w:t>
      </w:r>
      <w:r w:rsidR="00F34B3C">
        <w:t xml:space="preserve">Les juges </w:t>
      </w:r>
      <w:r w:rsidR="00D47F53">
        <w:t>en déduisent logiquement</w:t>
      </w:r>
      <w:r w:rsidR="00F34B3C">
        <w:t xml:space="preserve"> </w:t>
      </w:r>
      <w:r w:rsidR="00E31A1C">
        <w:t xml:space="preserve">que </w:t>
      </w:r>
      <w:r w:rsidR="00E31A1C" w:rsidRPr="00440798">
        <w:t xml:space="preserve">l’absence de droit </w:t>
      </w:r>
      <w:r w:rsidR="00E31A1C" w:rsidRPr="00440798">
        <w:lastRenderedPageBreak/>
        <w:t>à être dispensé d’un des cours dits « philosophiques », en ce compris le cours de morale non confessionnelle</w:t>
      </w:r>
      <w:r w:rsidR="00E31A1C">
        <w:t>, est contraire a</w:t>
      </w:r>
      <w:r w:rsidR="001C4E6C">
        <w:t>u</w:t>
      </w:r>
      <w:r w:rsidR="00440798" w:rsidRPr="00440798">
        <w:t xml:space="preserve"> principe constitutionnel de neutralité de l’enseignement.</w:t>
      </w:r>
    </w:p>
    <w:p w14:paraId="235D9121" w14:textId="6358DBD3" w:rsidR="008D061F" w:rsidRDefault="008D061F" w:rsidP="00440798">
      <w:r>
        <w:t xml:space="preserve">Conçu à l’origine comme </w:t>
      </w:r>
      <w:r w:rsidR="002C2001">
        <w:t>u</w:t>
      </w:r>
      <w:r w:rsidR="00C9744B">
        <w:t>ne alternative neutre aux cours de religion</w:t>
      </w:r>
      <w:r w:rsidR="007F45F2">
        <w:t>,</w:t>
      </w:r>
      <w:r w:rsidR="00C9744B">
        <w:t xml:space="preserve"> le cours de morale non confessionnelle</w:t>
      </w:r>
      <w:r w:rsidR="009F2050">
        <w:t xml:space="preserve"> </w:t>
      </w:r>
      <w:r w:rsidR="00F324CE">
        <w:t xml:space="preserve">perd </w:t>
      </w:r>
      <w:r w:rsidR="00944440">
        <w:t xml:space="preserve">ainsi </w:t>
      </w:r>
      <w:r w:rsidR="00EE3F57">
        <w:t>son label</w:t>
      </w:r>
      <w:r w:rsidR="00944440">
        <w:t xml:space="preserve"> de neutralité,</w:t>
      </w:r>
      <w:r w:rsidR="0053615E">
        <w:t xml:space="preserve"> dès lors qu’il est rattaché à </w:t>
      </w:r>
      <w:r w:rsidR="001160AC">
        <w:t xml:space="preserve">un courant </w:t>
      </w:r>
      <w:r w:rsidR="00605A48">
        <w:t>philosophique</w:t>
      </w:r>
      <w:r w:rsidR="001160AC">
        <w:t xml:space="preserve"> qui, bien q</w:t>
      </w:r>
      <w:r w:rsidR="00EE3F57">
        <w:t>u’auto-qualifié de</w:t>
      </w:r>
      <w:r w:rsidR="00605A48">
        <w:t xml:space="preserve"> laïque, présente un caractère</w:t>
      </w:r>
      <w:r w:rsidR="00F626C1">
        <w:t xml:space="preserve"> indéniablement</w:t>
      </w:r>
      <w:r w:rsidR="00EE3F57">
        <w:t xml:space="preserve"> </w:t>
      </w:r>
      <w:r w:rsidR="00432218">
        <w:t>idéologique.</w:t>
      </w:r>
    </w:p>
    <w:p w14:paraId="03BF2EAE" w14:textId="7E910305" w:rsidR="00D402CF" w:rsidRDefault="00E80FFA" w:rsidP="00440798">
      <w:r w:rsidRPr="00440798">
        <w:t>Faisant suite à cet arrêt, le législateur francophone a finalement mis sur pied, dans l’enseignement officiel, un nouveau cours de philosophie et de citoyenneté, réputé neutre, dont une première heure est obligatoire – réduisant dans le même temps de deux à une heure le nombre d’heures obligatoire des cours philosophiques – et dont la deuxième heure est optionnelle</w:t>
      </w:r>
      <w:r w:rsidR="008D403B">
        <w:t>.</w:t>
      </w:r>
      <w:r w:rsidR="00037E92">
        <w:t xml:space="preserve"> </w:t>
      </w:r>
      <w:r w:rsidR="001A464B">
        <w:t>À cette occasion, d</w:t>
      </w:r>
      <w:r w:rsidR="008D403B">
        <w:t xml:space="preserve">’aucuns plaident </w:t>
      </w:r>
      <w:r w:rsidR="006E46E3">
        <w:t>plus fondamentalement en faveur d’une suppression</w:t>
      </w:r>
      <w:r w:rsidR="00F57108">
        <w:t xml:space="preserve"> pure et simple</w:t>
      </w:r>
      <w:r w:rsidR="006E46E3">
        <w:t xml:space="preserve"> des cours</w:t>
      </w:r>
      <w:r w:rsidR="00F57108">
        <w:t xml:space="preserve"> convictionnels</w:t>
      </w:r>
      <w:r w:rsidR="006E46E3">
        <w:t xml:space="preserve"> dans l’enseignement officiel, considérant</w:t>
      </w:r>
      <w:r w:rsidR="004530E9">
        <w:t xml:space="preserve"> que</w:t>
      </w:r>
      <w:r w:rsidR="006E46E3">
        <w:t xml:space="preserve"> </w:t>
      </w:r>
      <w:r w:rsidR="004530E9">
        <w:t>le régime actuel</w:t>
      </w:r>
      <w:r w:rsidR="00B84640">
        <w:t xml:space="preserve">, amenant les élèves </w:t>
      </w:r>
      <w:r w:rsidR="00D402CF">
        <w:t xml:space="preserve">d’une même école </w:t>
      </w:r>
      <w:r w:rsidR="00B84640">
        <w:t xml:space="preserve">à être </w:t>
      </w:r>
      <w:r w:rsidR="00D402CF">
        <w:t xml:space="preserve">régulièrement </w:t>
      </w:r>
      <w:r w:rsidR="00B84640">
        <w:t xml:space="preserve">séparés </w:t>
      </w:r>
      <w:r w:rsidR="00D402CF">
        <w:t>sur une base idéologique,</w:t>
      </w:r>
      <w:r w:rsidR="004530E9">
        <w:t xml:space="preserve"> est </w:t>
      </w:r>
      <w:r w:rsidR="009E7851">
        <w:t>ina</w:t>
      </w:r>
      <w:r w:rsidR="00F57108">
        <w:t>déquat du point de vue d</w:t>
      </w:r>
      <w:r w:rsidR="00D402CF">
        <w:t>e la construction d’un</w:t>
      </w:r>
      <w:r w:rsidR="00232576">
        <w:t xml:space="preserve"> « vivre ensemble »</w:t>
      </w:r>
      <w:r w:rsidR="00D402CF">
        <w:t xml:space="preserve"> commun</w:t>
      </w:r>
      <w:r w:rsidR="00F57108">
        <w:t>.</w:t>
      </w:r>
      <w:r w:rsidR="00896E76">
        <w:rPr>
          <w:rStyle w:val="Appelnotedebasdep"/>
        </w:rPr>
        <w:footnoteReference w:id="16"/>
      </w:r>
      <w:r w:rsidR="000F416C">
        <w:t xml:space="preserve"> </w:t>
      </w:r>
      <w:r w:rsidR="003B6129">
        <w:t>Une telle proposition</w:t>
      </w:r>
      <w:r w:rsidR="000F416C">
        <w:t xml:space="preserve"> intervient</w:t>
      </w:r>
      <w:r w:rsidR="003B6129">
        <w:t xml:space="preserve"> </w:t>
      </w:r>
      <w:r w:rsidR="00896E76">
        <w:t>par ailleurs</w:t>
      </w:r>
      <w:r w:rsidR="003B6129">
        <w:t xml:space="preserve"> dans la perspective plus</w:t>
      </w:r>
      <w:r w:rsidR="000F416C">
        <w:t xml:space="preserve"> large d</w:t>
      </w:r>
      <w:r w:rsidR="003B6129">
        <w:t>’une</w:t>
      </w:r>
      <w:r w:rsidR="000F416C">
        <w:t xml:space="preserve"> remise en question de l’ensemble du régime belge de reconnaissance et de financement des cultes et des organisations philosophiques non confessionnelles.</w:t>
      </w:r>
      <w:r w:rsidR="00896E76">
        <w:rPr>
          <w:rStyle w:val="Appelnotedebasdep"/>
        </w:rPr>
        <w:footnoteReference w:id="17"/>
      </w:r>
    </w:p>
    <w:p w14:paraId="1C2DE4CF" w14:textId="7E784322" w:rsidR="00B670D8" w:rsidRDefault="00B670D8" w:rsidP="00B670D8">
      <w:pPr>
        <w:pStyle w:val="Titre2"/>
      </w:pPr>
      <w:r>
        <w:t xml:space="preserve">Neutralité et </w:t>
      </w:r>
      <w:r w:rsidR="004929F2">
        <w:t xml:space="preserve">interdiction des </w:t>
      </w:r>
      <w:r>
        <w:t>signes religieux</w:t>
      </w:r>
    </w:p>
    <w:p w14:paraId="0E3BEB40" w14:textId="1BC8C05A" w:rsidR="00CA5D7A" w:rsidRDefault="00E60885" w:rsidP="00440798">
      <w:r>
        <w:t xml:space="preserve">Le second </w:t>
      </w:r>
      <w:r w:rsidR="00CA5D7A">
        <w:t>contentieux</w:t>
      </w:r>
      <w:r>
        <w:t xml:space="preserve"> d’importance en matière d’enseignement</w:t>
      </w:r>
      <w:r w:rsidR="00ED3DB4">
        <w:t xml:space="preserve"> porte sur l’interdiction des signes religieux dans l’enseignement</w:t>
      </w:r>
      <w:r w:rsidR="00E07848">
        <w:t>, fondé</w:t>
      </w:r>
      <w:r w:rsidR="00062EFE">
        <w:t>e</w:t>
      </w:r>
      <w:r w:rsidR="00E07848">
        <w:t xml:space="preserve"> sur le principe de neutralité.</w:t>
      </w:r>
      <w:r w:rsidR="003701B4">
        <w:t xml:space="preserve"> </w:t>
      </w:r>
      <w:r w:rsidR="00062EFE">
        <w:t xml:space="preserve">Saisie, </w:t>
      </w:r>
      <w:r w:rsidR="006275C9">
        <w:t>ici</w:t>
      </w:r>
      <w:r w:rsidR="00062EFE">
        <w:t xml:space="preserve"> encore, d’une question préjudicielle, la Cour constitutionnelle </w:t>
      </w:r>
      <w:r w:rsidR="000B04FA">
        <w:t>n’avait, jusqu’à cet arrêt de 2020</w:t>
      </w:r>
      <w:r w:rsidR="000B04FA" w:rsidRPr="00440798">
        <w:rPr>
          <w:vertAlign w:val="superscript"/>
        </w:rPr>
        <w:footnoteReference w:id="18"/>
      </w:r>
      <w:r w:rsidR="000B04FA">
        <w:t xml:space="preserve">, pas encore pris position sur cette question. La question </w:t>
      </w:r>
      <w:r w:rsidR="006275C9">
        <w:t>soumise à la Cour</w:t>
      </w:r>
      <w:r w:rsidR="000B04FA" w:rsidRPr="00440798">
        <w:t xml:space="preserve"> </w:t>
      </w:r>
      <w:r w:rsidR="000B04FA">
        <w:t xml:space="preserve">portait </w:t>
      </w:r>
      <w:r w:rsidR="006275C9">
        <w:t xml:space="preserve">en l’espèce sur </w:t>
      </w:r>
      <w:r w:rsidR="000B04FA" w:rsidRPr="00440798">
        <w:t xml:space="preserve">la constitutionnalité de l’interdiction </w:t>
      </w:r>
      <w:r w:rsidR="000B04FA" w:rsidRPr="00440798">
        <w:lastRenderedPageBreak/>
        <w:t>du port de signes religieux pour les élèves d’un établissement d’enseignement supérieur de la Ville de Bruxelles.</w:t>
      </w:r>
    </w:p>
    <w:p w14:paraId="0FED8EEF" w14:textId="77777777" w:rsidR="006275C9" w:rsidRPr="00440798" w:rsidRDefault="006275C9" w:rsidP="006275C9">
      <w:r w:rsidRPr="00440798">
        <w:t>Refusant de censurer le principe d’une telle interdiction</w:t>
      </w:r>
      <w:r w:rsidRPr="00440798">
        <w:rPr>
          <w:vertAlign w:val="superscript"/>
        </w:rPr>
        <w:footnoteReference w:id="19"/>
      </w:r>
      <w:r w:rsidRPr="00440798">
        <w:t xml:space="preserve"> – y compris s’agissant d’étudiants majeurs –, les juges constitutionnels concluent notamment à l’absence de violation de la liberté religieuse des intéressés – ou, en l’espèce, des intéressées, dès lors qu’était essentiellement concerné le port du foulard islamique – à travers une conception inédite de la neutralité.</w:t>
      </w:r>
    </w:p>
    <w:p w14:paraId="06AD5680" w14:textId="6BE611C0" w:rsidR="006275C9" w:rsidRPr="00440798" w:rsidRDefault="006275C9" w:rsidP="006275C9">
      <w:r w:rsidRPr="00440798">
        <w:t>Selon la Cour, dès lors que « le Constituant n’a pas voulu concevoir la [neutralité de l’enseignement] comme une notion statique » ou « rigide »</w:t>
      </w:r>
      <w:r w:rsidRPr="00440798">
        <w:rPr>
          <w:vertAlign w:val="superscript"/>
        </w:rPr>
        <w:footnoteReference w:id="20"/>
      </w:r>
      <w:r w:rsidRPr="00440798">
        <w:t>, il convient de considérer que</w:t>
      </w:r>
      <w:r w:rsidR="00BA16D1">
        <w:t>,</w:t>
      </w:r>
      <w:r w:rsidRPr="00440798">
        <w:t xml:space="preserve"> </w:t>
      </w:r>
      <w:r w:rsidR="00BA16D1">
        <w:t>du</w:t>
      </w:r>
      <w:r w:rsidRPr="00440798">
        <w:t xml:space="preserve"> décret </w:t>
      </w:r>
      <w:r w:rsidR="00BD7CD8">
        <w:t>relatif au principe de neutralité dans l’enseignement francophone</w:t>
      </w:r>
      <w:r w:rsidRPr="00440798">
        <w:rPr>
          <w:vertAlign w:val="superscript"/>
        </w:rPr>
        <w:footnoteReference w:id="21"/>
      </w:r>
      <w:r w:rsidRPr="00440798">
        <w:t xml:space="preserve"> peut </w:t>
      </w:r>
      <w:r w:rsidR="00BA16D1">
        <w:t>découler</w:t>
      </w:r>
      <w:r w:rsidRPr="00440798">
        <w:t>, entre autres conceptions de la neutralité, une conception « nouvelle »</w:t>
      </w:r>
      <w:r w:rsidRPr="00440798">
        <w:rPr>
          <w:vertAlign w:val="superscript"/>
        </w:rPr>
        <w:footnoteReference w:id="22"/>
      </w:r>
      <w:r w:rsidRPr="00440798">
        <w:t xml:space="preserve"> impliquant l’interdiction des signes religieux, philosophiques et politiques dans un établissement d’enseignement. Autoriser une telle conception « totalement neutre » n’est pas contraire </w:t>
      </w:r>
      <w:r w:rsidR="00BA16D1">
        <w:t>au principe constitutionnel de neutralité de l’enseignement</w:t>
      </w:r>
      <w:r w:rsidRPr="00440798">
        <w:t>, dès lors que, selon le Constituant, « dans certaines circonstances, la neutralité peut obliger l’autorité compétente à prendre des mesures visant à garantir la “reconnaissance et l’appréciation positives de la diversité des opinions et des attitudes” et à préserver “l’accent sur les valeurs communes” »</w:t>
      </w:r>
      <w:r w:rsidRPr="00440798">
        <w:rPr>
          <w:vertAlign w:val="superscript"/>
        </w:rPr>
        <w:footnoteReference w:id="23"/>
      </w:r>
      <w:r w:rsidRPr="00440798">
        <w:t>.</w:t>
      </w:r>
    </w:p>
    <w:p w14:paraId="1061FB67" w14:textId="4F5A6805" w:rsidR="006275C9" w:rsidRPr="00440798" w:rsidRDefault="006275C9" w:rsidP="006275C9">
      <w:r w:rsidRPr="00440798">
        <w:t>La légitimité de cette neutralité « totale » en tant que conception « nouvelle » de la neutralité de l’enseignement est renforcée, aux yeux de la Cour, par le fait que la Belgique est traversée par «</w:t>
      </w:r>
      <w:r w:rsidR="003D3EEE">
        <w:t> </w:t>
      </w:r>
      <w:r w:rsidRPr="00440798">
        <w:t>différentes conceptions » de la neutralité convictionnelle, en l’occurrence tantôt inclusive, tantôt exclusive</w:t>
      </w:r>
      <w:r w:rsidRPr="00440798">
        <w:rPr>
          <w:vertAlign w:val="superscript"/>
        </w:rPr>
        <w:footnoteReference w:id="24"/>
      </w:r>
      <w:r w:rsidRPr="00440798">
        <w:t> : face à cette diversité de neutralités, la Cour précise qu’il ne lui « appartient pas […] de privilégier une conception […] par rapport aux autres conceptions envisageables »</w:t>
      </w:r>
      <w:r w:rsidRPr="00440798">
        <w:rPr>
          <w:vertAlign w:val="superscript"/>
        </w:rPr>
        <w:footnoteReference w:id="25"/>
      </w:r>
      <w:r w:rsidRPr="00440798">
        <w:t xml:space="preserve">. Cette dernière précision confirme ainsi l’idée selon laquelle la neutralité n’est pas seulement considérée comme le gage du pluralisme convictionnel propre à la Belgique, mais permet – voire requiert – elle-même, en son sein, un pluralisme quant à ses formes de mise en œuvre. </w:t>
      </w:r>
    </w:p>
    <w:p w14:paraId="1AD8A28C" w14:textId="1C16AC2C" w:rsidR="006275C9" w:rsidRDefault="006275C9" w:rsidP="006275C9">
      <w:r w:rsidRPr="00440798">
        <w:lastRenderedPageBreak/>
        <w:t xml:space="preserve">En insistant sur la nécessité d’un tel équilibre au sein même des mécanismes de mise en œuvre de la neutralité, la Cour constitutionnelle rejoint en quelque sorte la </w:t>
      </w:r>
      <w:r w:rsidR="002D2DAE">
        <w:t>CourEDH</w:t>
      </w:r>
      <w:r w:rsidRPr="00440798">
        <w:t>, du point de vue de la reconnaissance d’un modèle de neutralité « par compensation »</w:t>
      </w:r>
      <w:r w:rsidRPr="00440798">
        <w:rPr>
          <w:vertAlign w:val="superscript"/>
        </w:rPr>
        <w:footnoteReference w:id="26"/>
      </w:r>
      <w:r w:rsidRPr="00440798">
        <w:t xml:space="preserve"> : dans l’arrêt de Grande chambre </w:t>
      </w:r>
      <w:proofErr w:type="spellStart"/>
      <w:r w:rsidRPr="00440798">
        <w:rPr>
          <w:i/>
          <w:iCs/>
        </w:rPr>
        <w:t>Lautsi</w:t>
      </w:r>
      <w:proofErr w:type="spellEnd"/>
      <w:r w:rsidRPr="00440798">
        <w:rPr>
          <w:i/>
          <w:iCs/>
        </w:rPr>
        <w:t xml:space="preserve"> e.a. c. Italie</w:t>
      </w:r>
      <w:r w:rsidRPr="00440798">
        <w:rPr>
          <w:vertAlign w:val="superscript"/>
        </w:rPr>
        <w:footnoteReference w:id="27"/>
      </w:r>
      <w:r w:rsidRPr="00440798">
        <w:t xml:space="preserve"> rendu en 2011, les juges de Strasbourg valident le maintien des crucifix dans les salles de classe de l’école publique italienne au regard de l’exigence de neutralité de l’enseignement, à travers la prise en compte d’autres éléments concomitants à la visibilité de ce crucifix, tels que la liberté des élèves d’afficher des signes vestimentaires à caractère religieux ou la prise en compte des demandes à caractère religieux dans les écoles publiques. De manière analogue, la neutralité de l’enseignement officiel en Belgique francophone est évaluée non pas de manière isolée, mais à l’aune de l’ensemble des conceptions de neutralité ayant cours au sein des différents réseaux d’enseignement.</w:t>
      </w:r>
    </w:p>
    <w:p w14:paraId="69EA21FA" w14:textId="2818F5F4" w:rsidR="006F11C3" w:rsidRDefault="00A87828" w:rsidP="006275C9">
      <w:r>
        <w:t xml:space="preserve">Malgré leurs </w:t>
      </w:r>
      <w:r w:rsidR="009C1A6D">
        <w:t xml:space="preserve">contextes distincts, les deux arrêts précités </w:t>
      </w:r>
      <w:r w:rsidR="00715F8E">
        <w:t xml:space="preserve">ont pour point commun </w:t>
      </w:r>
      <w:r w:rsidR="009C1A6D">
        <w:t>une vision intrinsèquement plurielle de la neutralité</w:t>
      </w:r>
      <w:r w:rsidR="00656A05">
        <w:t> : s</w:t>
      </w:r>
      <w:r w:rsidR="00715F8E">
        <w:t xml:space="preserve">’agissant des cours philosophiques, la Cour constitutionnelle </w:t>
      </w:r>
      <w:r w:rsidR="00CB0921">
        <w:t xml:space="preserve">conclut au respect du principe de neutralité </w:t>
      </w:r>
      <w:r w:rsidR="00274EB4">
        <w:t xml:space="preserve">à travers l’existence </w:t>
      </w:r>
      <w:r w:rsidR="0027433E">
        <w:t>simultanée</w:t>
      </w:r>
      <w:r w:rsidR="00274EB4">
        <w:t xml:space="preserve"> de </w:t>
      </w:r>
      <w:r w:rsidR="00656A05">
        <w:t xml:space="preserve">plusieurs cours convictionnels et d’une possibilité de dispense ; dans le cas des signes religieux, la mise en œuvre restrictive de la neutralité est quant à elle </w:t>
      </w:r>
      <w:r w:rsidR="006F11C3">
        <w:t>légitimée du fait de l’existence simultanée d’autres formes – plus permissives – de neutralité dans l’enseignement.</w:t>
      </w:r>
      <w:r w:rsidR="002C0AF9">
        <w:t xml:space="preserve"> </w:t>
      </w:r>
      <w:r w:rsidR="003D6BE0">
        <w:t xml:space="preserve">En tout état de cause, </w:t>
      </w:r>
      <w:r w:rsidR="00C72009">
        <w:t>les autorités belges semblent</w:t>
      </w:r>
      <w:r w:rsidR="003D6BE0">
        <w:t xml:space="preserve">, dans l’un et l’autre cas, </w:t>
      </w:r>
      <w:r w:rsidR="00C72009">
        <w:t xml:space="preserve">réticentes à </w:t>
      </w:r>
      <w:r w:rsidR="00DD5455">
        <w:t>déployer</w:t>
      </w:r>
      <w:r w:rsidR="00C72009">
        <w:t xml:space="preserve"> un modèle unique et substantiel de neutralité </w:t>
      </w:r>
      <w:r w:rsidR="003D6BE0">
        <w:t>religieuse.</w:t>
      </w:r>
    </w:p>
    <w:p w14:paraId="530F071A" w14:textId="0A9C1C95" w:rsidR="00DD5455" w:rsidRPr="00811C0B" w:rsidRDefault="004929F2" w:rsidP="00D34C9C">
      <w:pPr>
        <w:pStyle w:val="Titre1"/>
      </w:pPr>
      <w:r>
        <w:t xml:space="preserve">Expressions religieuses au travail : la neutralité </w:t>
      </w:r>
      <w:r w:rsidR="009965B0">
        <w:t>entre objectivité et subjectivité</w:t>
      </w:r>
    </w:p>
    <w:p w14:paraId="5E219449" w14:textId="3536E88F" w:rsidR="00DD5455" w:rsidRDefault="00D30541" w:rsidP="00811C0B">
      <w:r>
        <w:t>Le troisième</w:t>
      </w:r>
      <w:r w:rsidR="009965B0">
        <w:t xml:space="preserve"> et dernier</w:t>
      </w:r>
      <w:r w:rsidR="00FA50F3">
        <w:t xml:space="preserve"> champ</w:t>
      </w:r>
      <w:r w:rsidR="003131F4">
        <w:t xml:space="preserve"> </w:t>
      </w:r>
      <w:r w:rsidR="00A55895">
        <w:t xml:space="preserve">d’importance s’agissant des contentieux récents en droit belge des religions </w:t>
      </w:r>
      <w:r w:rsidR="00410256">
        <w:t>concerne</w:t>
      </w:r>
      <w:r w:rsidR="00A55895">
        <w:t xml:space="preserve"> la sphère du travail et de l’entreprise.</w:t>
      </w:r>
    </w:p>
    <w:p w14:paraId="1F51E27B" w14:textId="04766D82" w:rsidR="00072219" w:rsidRDefault="00AC0F29" w:rsidP="00811C0B">
      <w:r>
        <w:t>Les</w:t>
      </w:r>
      <w:r w:rsidR="008016B7">
        <w:t xml:space="preserve"> </w:t>
      </w:r>
      <w:r w:rsidR="007B1887">
        <w:t xml:space="preserve">deux </w:t>
      </w:r>
      <w:r w:rsidR="008016B7">
        <w:t xml:space="preserve">affaires </w:t>
      </w:r>
      <w:r>
        <w:t>en question</w:t>
      </w:r>
      <w:r w:rsidR="00B73567">
        <w:t xml:space="preserve"> – l’une dans le secteur privé, l’autre dans le secteur public –</w:t>
      </w:r>
      <w:r w:rsidR="007B1887">
        <w:t xml:space="preserve"> ont à chaque fois trait à</w:t>
      </w:r>
      <w:r w:rsidR="0020310D">
        <w:t xml:space="preserve"> l’invocation de la neutralité </w:t>
      </w:r>
      <w:r w:rsidR="0034070D">
        <w:t xml:space="preserve">par </w:t>
      </w:r>
      <w:r w:rsidR="007B1887">
        <w:t xml:space="preserve">un </w:t>
      </w:r>
      <w:r w:rsidR="0034070D">
        <w:t>employeur</w:t>
      </w:r>
      <w:r w:rsidR="00072219">
        <w:t>, aux fins d’</w:t>
      </w:r>
      <w:r w:rsidR="0034070D">
        <w:t xml:space="preserve">interdire le port de signes convictionnels à ses </w:t>
      </w:r>
      <w:r w:rsidR="00B73567">
        <w:t>travailleurs</w:t>
      </w:r>
      <w:r w:rsidR="0034070D">
        <w:t>.</w:t>
      </w:r>
      <w:r w:rsidR="00244EB5">
        <w:rPr>
          <w:rStyle w:val="Appelnotedebasdep"/>
        </w:rPr>
        <w:footnoteReference w:id="28"/>
      </w:r>
      <w:r w:rsidR="00B42FB7">
        <w:t xml:space="preserve"> </w:t>
      </w:r>
      <w:r w:rsidR="00844C9B">
        <w:t xml:space="preserve">La similarité des enjeux juridiques soulevés par chaque affaire n’a toutefois pas empêché les juridictions </w:t>
      </w:r>
      <w:r w:rsidR="00A32B59">
        <w:t>belges d’aboutir à des conclusions radicalement distinctes.</w:t>
      </w:r>
    </w:p>
    <w:p w14:paraId="4E53CFB8" w14:textId="2B313D4C" w:rsidR="00ED7774" w:rsidRDefault="008B6120" w:rsidP="00ED7774">
      <w:pPr>
        <w:pStyle w:val="Titre2"/>
      </w:pPr>
      <w:r>
        <w:t>N</w:t>
      </w:r>
      <w:r w:rsidR="00ED7774">
        <w:t>eutralité</w:t>
      </w:r>
      <w:r>
        <w:t xml:space="preserve"> de l’entreprise privée : une </w:t>
      </w:r>
      <w:r w:rsidR="00ED7774">
        <w:t>objectivation de la subjectivité</w:t>
      </w:r>
      <w:r w:rsidR="00741943">
        <w:t xml:space="preserve"> </w:t>
      </w:r>
      <w:r w:rsidR="00755DBC">
        <w:t>religieuse</w:t>
      </w:r>
      <w:r w:rsidR="00741943">
        <w:t xml:space="preserve"> </w:t>
      </w:r>
      <w:r>
        <w:t>?</w:t>
      </w:r>
    </w:p>
    <w:p w14:paraId="173536CF" w14:textId="68C0EBEF" w:rsidR="00072219" w:rsidRDefault="000B5C7F" w:rsidP="00811C0B">
      <w:r>
        <w:t xml:space="preserve">Quoiqu’initialement </w:t>
      </w:r>
      <w:r w:rsidR="004A6F6F">
        <w:t>limitée</w:t>
      </w:r>
      <w:r w:rsidR="00857539">
        <w:t xml:space="preserve"> à l</w:t>
      </w:r>
      <w:r w:rsidR="004A6F6F">
        <w:t>’espace juridique belge</w:t>
      </w:r>
      <w:r>
        <w:t xml:space="preserve">, la première affaire </w:t>
      </w:r>
      <w:r w:rsidR="00292F48">
        <w:t xml:space="preserve">a rapidement acquis une dimension européenne, du fait de </w:t>
      </w:r>
      <w:r w:rsidR="00C619DC">
        <w:t xml:space="preserve">l’arrêt rendu par la </w:t>
      </w:r>
      <w:proofErr w:type="spellStart"/>
      <w:r w:rsidR="00C619DC">
        <w:t>CJUE</w:t>
      </w:r>
      <w:proofErr w:type="spellEnd"/>
      <w:r w:rsidR="00C619DC">
        <w:t xml:space="preserve"> à son propos</w:t>
      </w:r>
      <w:r w:rsidR="00F91DF2">
        <w:t>,</w:t>
      </w:r>
      <w:r w:rsidR="004A6F6F">
        <w:t xml:space="preserve"> et de l</w:t>
      </w:r>
      <w:r w:rsidR="002E70F6">
        <w:t xml:space="preserve">’écho qui a pu </w:t>
      </w:r>
      <w:r w:rsidR="00F91DF2">
        <w:t xml:space="preserve">en </w:t>
      </w:r>
      <w:r w:rsidR="002E70F6">
        <w:t>être donné</w:t>
      </w:r>
      <w:r w:rsidR="004A6F6F">
        <w:t>.</w:t>
      </w:r>
      <w:r w:rsidR="007C7804">
        <w:t xml:space="preserve"> </w:t>
      </w:r>
      <w:r w:rsidR="00A32B59">
        <w:t xml:space="preserve">Pour rappel, cette </w:t>
      </w:r>
      <w:r w:rsidR="002E70F6">
        <w:t>affaire</w:t>
      </w:r>
      <w:r w:rsidR="00A32B59">
        <w:t xml:space="preserve"> </w:t>
      </w:r>
      <w:r w:rsidR="00410256">
        <w:t>–</w:t>
      </w:r>
      <w:r w:rsidR="002E70F6">
        <w:t xml:space="preserve"> </w:t>
      </w:r>
      <w:proofErr w:type="spellStart"/>
      <w:r w:rsidR="002E70F6">
        <w:rPr>
          <w:i/>
          <w:iCs/>
        </w:rPr>
        <w:t>Achbita</w:t>
      </w:r>
      <w:proofErr w:type="spellEnd"/>
      <w:r w:rsidR="002E70F6">
        <w:rPr>
          <w:i/>
          <w:iCs/>
        </w:rPr>
        <w:t xml:space="preserve"> c. G4S</w:t>
      </w:r>
      <w:r w:rsidR="00A32B59">
        <w:t xml:space="preserve"> –</w:t>
      </w:r>
      <w:r w:rsidR="002E70F6">
        <w:t xml:space="preserve"> </w:t>
      </w:r>
      <w:r w:rsidR="00A32B59">
        <w:t xml:space="preserve">portait sur </w:t>
      </w:r>
      <w:r w:rsidR="00035C76">
        <w:t xml:space="preserve">le </w:t>
      </w:r>
      <w:r w:rsidR="007C7804">
        <w:t xml:space="preserve">licenciement d’une travailleuse en </w:t>
      </w:r>
      <w:r w:rsidR="007C7804">
        <w:lastRenderedPageBreak/>
        <w:t>raison du port du foulard islamique</w:t>
      </w:r>
      <w:r w:rsidR="00035C76">
        <w:t>, jugé contraire à la politique non écrite de neutralité en vigueur au sein de l’entreprise.</w:t>
      </w:r>
    </w:p>
    <w:p w14:paraId="396457B8" w14:textId="1ACDDDE4" w:rsidR="00B818CF" w:rsidRDefault="00D61EE7" w:rsidP="00811C0B">
      <w:r>
        <w:t xml:space="preserve">Sans qu’il soit </w:t>
      </w:r>
      <w:r w:rsidR="006C48FA">
        <w:t xml:space="preserve">ici nécessaire de </w:t>
      </w:r>
      <w:r w:rsidR="00563C90">
        <w:t xml:space="preserve">développer </w:t>
      </w:r>
      <w:r w:rsidR="006C48FA">
        <w:rPr>
          <w:i/>
          <w:iCs/>
        </w:rPr>
        <w:t>in extenso</w:t>
      </w:r>
      <w:r w:rsidR="006C48FA">
        <w:t xml:space="preserve"> le contenu de l’arrêt rendu </w:t>
      </w:r>
      <w:r w:rsidR="00E5687C">
        <w:t xml:space="preserve">en 2017 </w:t>
      </w:r>
      <w:r w:rsidR="006C48FA">
        <w:t xml:space="preserve">par la </w:t>
      </w:r>
      <w:proofErr w:type="spellStart"/>
      <w:r w:rsidR="006C48FA">
        <w:t>CJU</w:t>
      </w:r>
      <w:r w:rsidR="00E5687C">
        <w:t>E</w:t>
      </w:r>
      <w:proofErr w:type="spellEnd"/>
      <w:r w:rsidR="00AE2575">
        <w:rPr>
          <w:rStyle w:val="Appelnotedebasdep"/>
        </w:rPr>
        <w:footnoteReference w:id="29"/>
      </w:r>
      <w:r w:rsidR="00E5687C">
        <w:t xml:space="preserve"> à ce sujet,</w:t>
      </w:r>
      <w:r w:rsidR="00563C90">
        <w:t xml:space="preserve"> rappelons que les juges de Luxembourg avaient conclu à l’absence de discrimination directe </w:t>
      </w:r>
      <w:r w:rsidR="003F45CB">
        <w:t>lorsqu’une telle interdiction</w:t>
      </w:r>
      <w:r w:rsidR="00A437AE">
        <w:t xml:space="preserve"> du</w:t>
      </w:r>
      <w:r w:rsidR="005C40AA">
        <w:t xml:space="preserve"> port du</w:t>
      </w:r>
      <w:r w:rsidR="00A437AE">
        <w:t xml:space="preserve"> foulard islamique</w:t>
      </w:r>
      <w:r w:rsidR="003F45CB">
        <w:t xml:space="preserve"> était fondée sur une </w:t>
      </w:r>
      <w:r w:rsidR="00A437AE">
        <w:t>politique</w:t>
      </w:r>
      <w:r w:rsidR="003F45CB">
        <w:t xml:space="preserve"> de neutralité</w:t>
      </w:r>
      <w:r w:rsidR="00A437AE">
        <w:t xml:space="preserve"> impliquant l’interdiction du port de</w:t>
      </w:r>
      <w:r w:rsidR="005C40AA">
        <w:t xml:space="preserve"> tout</w:t>
      </w:r>
      <w:r w:rsidR="00A437AE">
        <w:t xml:space="preserve"> signe religieux, politique</w:t>
      </w:r>
      <w:r w:rsidR="005C40AA">
        <w:t xml:space="preserve"> ou</w:t>
      </w:r>
      <w:r w:rsidR="00A437AE">
        <w:t xml:space="preserve"> </w:t>
      </w:r>
      <w:r w:rsidR="005C40AA">
        <w:t>p</w:t>
      </w:r>
      <w:r w:rsidR="00A437AE">
        <w:t>hilosophique.</w:t>
      </w:r>
      <w:r w:rsidR="004A4E3A">
        <w:t xml:space="preserve"> </w:t>
      </w:r>
      <w:r w:rsidR="00F50864">
        <w:t>Une telle politique, notamment lorsqu’elle est envisagée à des fins d’image de marque, était considérée comme légitime</w:t>
      </w:r>
      <w:r w:rsidR="00AF296D">
        <w:t>, sur le</w:t>
      </w:r>
      <w:r w:rsidR="00AE2575">
        <w:t xml:space="preserve"> plan</w:t>
      </w:r>
      <w:r w:rsidR="00BC7EBE">
        <w:t xml:space="preserve"> de la justification d’une discrimination indirecte </w:t>
      </w:r>
      <w:r w:rsidR="00AE2575">
        <w:t>en raison</w:t>
      </w:r>
      <w:r w:rsidR="00BC7EBE">
        <w:t xml:space="preserve"> de la religion</w:t>
      </w:r>
      <w:r w:rsidR="00F50864">
        <w:t xml:space="preserve">. </w:t>
      </w:r>
      <w:r w:rsidR="00100A3B">
        <w:t xml:space="preserve">Sur le plan de la proportionnalité, la </w:t>
      </w:r>
      <w:proofErr w:type="spellStart"/>
      <w:r w:rsidR="00100A3B">
        <w:t>CJUE</w:t>
      </w:r>
      <w:proofErr w:type="spellEnd"/>
      <w:r w:rsidR="00100A3B">
        <w:t xml:space="preserve"> insistait sur </w:t>
      </w:r>
      <w:r w:rsidR="00083886">
        <w:t>la nécessité d’une application cohérente et systématique d’une telle politique de neutralité restrictive, e</w:t>
      </w:r>
      <w:r w:rsidR="00A81568">
        <w:t>u égard notamment à l</w:t>
      </w:r>
      <w:r w:rsidR="009C5BD5">
        <w:t xml:space="preserve">a distinction </w:t>
      </w:r>
      <w:r w:rsidR="00B818CF">
        <w:t xml:space="preserve">à opérer </w:t>
      </w:r>
      <w:r w:rsidR="009C5BD5">
        <w:t xml:space="preserve">entre </w:t>
      </w:r>
      <w:proofErr w:type="gramStart"/>
      <w:r w:rsidR="009C5BD5">
        <w:t>les travailleurs</w:t>
      </w:r>
      <w:r w:rsidR="004E5AA9">
        <w:t xml:space="preserve"> entrant</w:t>
      </w:r>
      <w:proofErr w:type="gramEnd"/>
      <w:r w:rsidR="004E5AA9">
        <w:t xml:space="preserve"> ou non</w:t>
      </w:r>
      <w:r w:rsidR="009C5BD5">
        <w:t xml:space="preserve"> en contact </w:t>
      </w:r>
      <w:r w:rsidR="0061121B">
        <w:t>visuel</w:t>
      </w:r>
      <w:r w:rsidR="004E5AA9">
        <w:t xml:space="preserve"> </w:t>
      </w:r>
      <w:r w:rsidR="009C5BD5">
        <w:t>avec la clientèle</w:t>
      </w:r>
      <w:r w:rsidR="0061121B">
        <w:t>.</w:t>
      </w:r>
    </w:p>
    <w:p w14:paraId="5A62A708" w14:textId="4F9C308D" w:rsidR="00E35787" w:rsidRDefault="00F57246" w:rsidP="00811C0B">
      <w:r>
        <w:t xml:space="preserve">Bien que confirmé et précisé depuis par la même </w:t>
      </w:r>
      <w:proofErr w:type="spellStart"/>
      <w:r>
        <w:t>CJUE</w:t>
      </w:r>
      <w:proofErr w:type="spellEnd"/>
      <w:r w:rsidR="00742FE2">
        <w:rPr>
          <w:rStyle w:val="Appelnotedebasdep"/>
        </w:rPr>
        <w:footnoteReference w:id="30"/>
      </w:r>
      <w:r>
        <w:t xml:space="preserve">, </w:t>
      </w:r>
      <w:r w:rsidR="00213101">
        <w:t>la jurisprudence</w:t>
      </w:r>
      <w:r>
        <w:t xml:space="preserve"> </w:t>
      </w:r>
      <w:proofErr w:type="spellStart"/>
      <w:r>
        <w:rPr>
          <w:i/>
          <w:iCs/>
        </w:rPr>
        <w:t>Achbita</w:t>
      </w:r>
      <w:proofErr w:type="spellEnd"/>
      <w:r>
        <w:t xml:space="preserve"> avait alors </w:t>
      </w:r>
      <w:r w:rsidR="00742FE2">
        <w:t>fait l’objet d’abondantes critiques au sein de la doctri</w:t>
      </w:r>
      <w:r w:rsidR="00721227">
        <w:t>ne.</w:t>
      </w:r>
      <w:r w:rsidR="00626D56">
        <w:t xml:space="preserve"> </w:t>
      </w:r>
      <w:r w:rsidR="00760071">
        <w:t xml:space="preserve">Était </w:t>
      </w:r>
      <w:r w:rsidR="00626D56">
        <w:t>en particulier</w:t>
      </w:r>
      <w:r w:rsidR="00760071">
        <w:t xml:space="preserve"> pointée</w:t>
      </w:r>
      <w:r w:rsidR="00626D56">
        <w:t xml:space="preserve"> la distinction</w:t>
      </w:r>
      <w:r w:rsidR="00E35787">
        <w:t xml:space="preserve"> opérée par la Cour </w:t>
      </w:r>
      <w:r w:rsidR="00626D56">
        <w:t>entre</w:t>
      </w:r>
      <w:r w:rsidR="002F5683">
        <w:t>, d’une part,</w:t>
      </w:r>
      <w:r w:rsidR="00626D56">
        <w:t xml:space="preserve"> </w:t>
      </w:r>
      <w:r w:rsidR="002F5683">
        <w:t>la mise en œuvre</w:t>
      </w:r>
      <w:r w:rsidR="00E35787">
        <w:t xml:space="preserve"> supposément</w:t>
      </w:r>
      <w:r w:rsidR="002F5683">
        <w:t xml:space="preserve"> légitime d’une politique générale et anticipative de neutralité restrictive, et, d’autre part, l’intégration</w:t>
      </w:r>
      <w:r w:rsidR="00E35787">
        <w:t xml:space="preserve"> </w:t>
      </w:r>
      <w:r w:rsidR="002F5683">
        <w:t xml:space="preserve">illégitime de </w:t>
      </w:r>
      <w:r w:rsidR="002F5683">
        <w:rPr>
          <w:i/>
          <w:iCs/>
        </w:rPr>
        <w:t xml:space="preserve">desiderata </w:t>
      </w:r>
      <w:r w:rsidR="002F5683">
        <w:t xml:space="preserve">discriminatoires formulés par le client </w:t>
      </w:r>
      <w:r w:rsidR="00E35787">
        <w:t>concernant les expressions religieuses</w:t>
      </w:r>
      <w:r w:rsidR="002F5683">
        <w:rPr>
          <w:rStyle w:val="Appelnotedebasdep"/>
        </w:rPr>
        <w:footnoteReference w:id="31"/>
      </w:r>
      <w:r w:rsidR="002F5683">
        <w:t>.</w:t>
      </w:r>
      <w:r w:rsidR="0014657E">
        <w:t xml:space="preserve"> En ce sens, </w:t>
      </w:r>
      <w:r w:rsidR="009877E1">
        <w:t>la</w:t>
      </w:r>
      <w:r w:rsidR="00044969">
        <w:t xml:space="preserve"> </w:t>
      </w:r>
      <w:r w:rsidR="009877E1">
        <w:t>neutralité</w:t>
      </w:r>
      <w:r w:rsidR="00044969">
        <w:t xml:space="preserve"> </w:t>
      </w:r>
      <w:r w:rsidR="009877E1">
        <w:t xml:space="preserve">opérerait ici comme une forme d’objectivation </w:t>
      </w:r>
      <w:r w:rsidR="00536486">
        <w:t xml:space="preserve">de souhaits </w:t>
      </w:r>
      <w:r w:rsidR="00044969">
        <w:t>subjecti</w:t>
      </w:r>
      <w:r w:rsidR="00536486">
        <w:t>fs</w:t>
      </w:r>
      <w:r w:rsidR="00044969">
        <w:t xml:space="preserve"> en matière de visibilité religieuse.</w:t>
      </w:r>
      <w:r w:rsidR="006161E5">
        <w:rPr>
          <w:rStyle w:val="Appelnotedebasdep"/>
        </w:rPr>
        <w:footnoteReference w:id="32"/>
      </w:r>
    </w:p>
    <w:p w14:paraId="16EEAB45" w14:textId="7AD765BB" w:rsidR="00F10CF3" w:rsidRDefault="00CD4C80" w:rsidP="00811C0B">
      <w:r>
        <w:t>Dans son arrêt de renvoi</w:t>
      </w:r>
      <w:r w:rsidR="00B64F4C">
        <w:rPr>
          <w:rStyle w:val="Appelnotedebasdep"/>
        </w:rPr>
        <w:footnoteReference w:id="33"/>
      </w:r>
      <w:r>
        <w:t>, l</w:t>
      </w:r>
      <w:r w:rsidR="00E35787">
        <w:t>a Co</w:t>
      </w:r>
      <w:r>
        <w:t>ur du travail de Gand</w:t>
      </w:r>
      <w:r w:rsidR="00777E2F">
        <w:t xml:space="preserve"> </w:t>
      </w:r>
      <w:r w:rsidR="00F10CF3">
        <w:t xml:space="preserve">conclut à l’absence complète de discrimination, tant directe qu’indirecte, vis-à-vis de Mme </w:t>
      </w:r>
      <w:proofErr w:type="spellStart"/>
      <w:r w:rsidR="00F10CF3">
        <w:t>Achbita</w:t>
      </w:r>
      <w:proofErr w:type="spellEnd"/>
      <w:r w:rsidR="00F10CF3">
        <w:t>.</w:t>
      </w:r>
      <w:r w:rsidR="001E16E7">
        <w:t xml:space="preserve"> La Cour insiste sur </w:t>
      </w:r>
      <w:r w:rsidR="00640E3B">
        <w:t>le caractère</w:t>
      </w:r>
      <w:r w:rsidR="001E16E7">
        <w:t xml:space="preserve"> </w:t>
      </w:r>
      <w:r w:rsidR="001E16E7" w:rsidRPr="00586A0E">
        <w:rPr>
          <w:i/>
          <w:iCs/>
        </w:rPr>
        <w:t>objecti</w:t>
      </w:r>
      <w:r w:rsidR="00640E3B" w:rsidRPr="00586A0E">
        <w:rPr>
          <w:i/>
          <w:iCs/>
        </w:rPr>
        <w:t>f</w:t>
      </w:r>
      <w:r w:rsidR="001E16E7">
        <w:t xml:space="preserve"> et raisonnable</w:t>
      </w:r>
      <w:r w:rsidR="003D217A">
        <w:t xml:space="preserve"> </w:t>
      </w:r>
      <w:r w:rsidR="0048617E">
        <w:t>de</w:t>
      </w:r>
      <w:r w:rsidR="00640E3B">
        <w:t xml:space="preserve"> la neutralité, en tant que justification de l’interdiction du port de signes religieux.</w:t>
      </w:r>
      <w:r w:rsidR="006161E5">
        <w:t xml:space="preserve"> </w:t>
      </w:r>
      <w:r w:rsidR="000722E9">
        <w:t>Celle-</w:t>
      </w:r>
      <w:r w:rsidR="000722E9">
        <w:lastRenderedPageBreak/>
        <w:t xml:space="preserve">ci refuse à l’inverse, comme l’y invitaient pourtant </w:t>
      </w:r>
      <w:r w:rsidR="00AC60DE">
        <w:t>les parties contestant la politique de neutralité</w:t>
      </w:r>
      <w:r w:rsidR="00587696">
        <w:t xml:space="preserve"> de G4S</w:t>
      </w:r>
      <w:r w:rsidR="00AC60DE">
        <w:t xml:space="preserve">, de tenir compte du caractère </w:t>
      </w:r>
      <w:r w:rsidR="00E03511">
        <w:t xml:space="preserve">obligatoire ou non </w:t>
      </w:r>
      <w:r w:rsidR="00587696">
        <w:t xml:space="preserve">de la manifestation religieuse en question sur le plan de la définition du groupe de comparaison du point de vue de la non-discrimination. Aux yeux de la Cour, </w:t>
      </w:r>
      <w:r w:rsidR="00451199">
        <w:t xml:space="preserve">un tel exercice, en ce qu’il implique une appréciation </w:t>
      </w:r>
      <w:r w:rsidR="00451199" w:rsidRPr="00586A0E">
        <w:rPr>
          <w:i/>
          <w:iCs/>
        </w:rPr>
        <w:t>subjective</w:t>
      </w:r>
      <w:r w:rsidR="00451199">
        <w:t xml:space="preserve"> du contenu </w:t>
      </w:r>
      <w:r w:rsidR="00586A0E">
        <w:t xml:space="preserve">et de la valeur </w:t>
      </w:r>
      <w:r w:rsidR="00451199">
        <w:t xml:space="preserve">des convictions religieuses concernées, </w:t>
      </w:r>
      <w:r w:rsidR="00586A0E">
        <w:t>reviendrait</w:t>
      </w:r>
      <w:r w:rsidR="00451199">
        <w:t xml:space="preserve"> à rompre avec le principe de séparation de l’Église et de l’État</w:t>
      </w:r>
      <w:r w:rsidR="00586A0E">
        <w:t>.</w:t>
      </w:r>
    </w:p>
    <w:p w14:paraId="3466A395" w14:textId="436F059A" w:rsidR="00177F20" w:rsidRDefault="00177F20" w:rsidP="00811C0B">
      <w:r>
        <w:t>Un</w:t>
      </w:r>
      <w:r w:rsidR="00E51963">
        <w:t xml:space="preserve"> tel positionnement </w:t>
      </w:r>
      <w:r>
        <w:t xml:space="preserve">fait d’ailleurs globalement écho </w:t>
      </w:r>
      <w:r w:rsidR="00E51963">
        <w:t xml:space="preserve">à la ligne jurisprudentielle suivie par les juridictions belges depuis l’arrêt </w:t>
      </w:r>
      <w:proofErr w:type="spellStart"/>
      <w:r w:rsidR="00E51963">
        <w:rPr>
          <w:i/>
          <w:iCs/>
        </w:rPr>
        <w:t>Achbita</w:t>
      </w:r>
      <w:proofErr w:type="spellEnd"/>
      <w:r w:rsidR="00E51963">
        <w:rPr>
          <w:i/>
          <w:iCs/>
        </w:rPr>
        <w:t xml:space="preserve"> </w:t>
      </w:r>
      <w:r w:rsidR="00E51963">
        <w:t xml:space="preserve">de la </w:t>
      </w:r>
      <w:proofErr w:type="spellStart"/>
      <w:r w:rsidR="00E51963">
        <w:t>CJUE</w:t>
      </w:r>
      <w:proofErr w:type="spellEnd"/>
      <w:r w:rsidR="00E51963">
        <w:t>, celles-ci concluant généralement à l’absence d’atteinte à la liberté religieuse ou de discrimination religieuse</w:t>
      </w:r>
      <w:r w:rsidR="00E87907">
        <w:t>,</w:t>
      </w:r>
      <w:r w:rsidR="00E51963">
        <w:t xml:space="preserve"> dès lors qu</w:t>
      </w:r>
      <w:r w:rsidR="00700BD1">
        <w:t>e l’entreprise peut s’appuyer sur une politique de neutralité aux fins de justifier l’interdiction des signes convictionnels sur le lieu de travail</w:t>
      </w:r>
      <w:r w:rsidR="00E51963">
        <w:t>.</w:t>
      </w:r>
      <w:r w:rsidR="00700BD1">
        <w:rPr>
          <w:rStyle w:val="Appelnotedebasdep"/>
        </w:rPr>
        <w:footnoteReference w:id="34"/>
      </w:r>
    </w:p>
    <w:p w14:paraId="444A7540" w14:textId="13D88963" w:rsidR="008B6120" w:rsidRDefault="008B6120" w:rsidP="008B6120">
      <w:pPr>
        <w:pStyle w:val="Titre2"/>
      </w:pPr>
      <w:r>
        <w:t>Neutralité de l’entreprise publique : l’impossibilité d’une neutralité subjective</w:t>
      </w:r>
      <w:r w:rsidR="00573088">
        <w:t> ?</w:t>
      </w:r>
    </w:p>
    <w:p w14:paraId="60A43316" w14:textId="40CFB912" w:rsidR="00741943" w:rsidRDefault="00F426EE" w:rsidP="00741943">
      <w:pPr>
        <w:rPr>
          <w:lang w:val="fr-FR"/>
        </w:rPr>
      </w:pPr>
      <w:r>
        <w:rPr>
          <w:lang w:val="fr-FR"/>
        </w:rPr>
        <w:t xml:space="preserve">De cette jurisprudence </w:t>
      </w:r>
      <w:r w:rsidR="00A57CB9">
        <w:rPr>
          <w:lang w:val="fr-FR"/>
        </w:rPr>
        <w:t xml:space="preserve">conciliante </w:t>
      </w:r>
      <w:r w:rsidR="00817304">
        <w:rPr>
          <w:lang w:val="fr-FR"/>
        </w:rPr>
        <w:t xml:space="preserve">vis-à-vis de l’invocation de la neutralité par les employeurs privés, </w:t>
      </w:r>
      <w:r>
        <w:rPr>
          <w:lang w:val="fr-FR"/>
        </w:rPr>
        <w:t xml:space="preserve">une </w:t>
      </w:r>
      <w:r w:rsidR="00605101">
        <w:rPr>
          <w:lang w:val="fr-FR"/>
        </w:rPr>
        <w:t xml:space="preserve">récente </w:t>
      </w:r>
      <w:r>
        <w:rPr>
          <w:lang w:val="fr-FR"/>
        </w:rPr>
        <w:t>décision du Tribunal du travail de Bruxelles</w:t>
      </w:r>
      <w:r w:rsidR="003E3A03">
        <w:rPr>
          <w:rStyle w:val="Appelnotedebasdep"/>
          <w:lang w:val="fr-FR"/>
        </w:rPr>
        <w:footnoteReference w:id="35"/>
      </w:r>
      <w:r>
        <w:rPr>
          <w:lang w:val="fr-FR"/>
        </w:rPr>
        <w:t xml:space="preserve"> prend néanmoins l’exact contre-pied.</w:t>
      </w:r>
    </w:p>
    <w:p w14:paraId="4674514B" w14:textId="02C6EB57" w:rsidR="00605101" w:rsidRDefault="00605101" w:rsidP="00741943">
      <w:pPr>
        <w:rPr>
          <w:lang w:val="fr-FR"/>
        </w:rPr>
      </w:pPr>
      <w:r>
        <w:rPr>
          <w:lang w:val="fr-FR"/>
        </w:rPr>
        <w:t>Largement médiatisée et</w:t>
      </w:r>
      <w:r w:rsidR="00995D2D">
        <w:rPr>
          <w:lang w:val="fr-FR"/>
        </w:rPr>
        <w:t>, plus encore, politisée</w:t>
      </w:r>
      <w:r w:rsidR="006B2DA0">
        <w:rPr>
          <w:rStyle w:val="Appelnotedebasdep"/>
          <w:lang w:val="fr-FR"/>
        </w:rPr>
        <w:footnoteReference w:id="36"/>
      </w:r>
      <w:r w:rsidR="00995D2D">
        <w:rPr>
          <w:lang w:val="fr-FR"/>
        </w:rPr>
        <w:t>, cette affaire</w:t>
      </w:r>
      <w:r w:rsidR="00AC7F5F">
        <w:rPr>
          <w:lang w:val="fr-FR"/>
        </w:rPr>
        <w:t xml:space="preserve"> </w:t>
      </w:r>
      <w:r w:rsidR="00FB6850">
        <w:rPr>
          <w:lang w:val="fr-FR"/>
        </w:rPr>
        <w:t xml:space="preserve">oppose, d’une part, </w:t>
      </w:r>
      <w:r w:rsidR="00BE4BC9">
        <w:rPr>
          <w:lang w:val="fr-FR"/>
        </w:rPr>
        <w:t>la STIB, entreprise publique bruxelloise de transports public</w:t>
      </w:r>
      <w:r w:rsidR="00214C72">
        <w:rPr>
          <w:lang w:val="fr-FR"/>
        </w:rPr>
        <w:t xml:space="preserve"> </w:t>
      </w:r>
      <w:r w:rsidR="00D33C74">
        <w:rPr>
          <w:lang w:val="fr-FR"/>
        </w:rPr>
        <w:t>qui constitue</w:t>
      </w:r>
      <w:r w:rsidR="000E6F94">
        <w:rPr>
          <w:lang w:val="fr-FR"/>
        </w:rPr>
        <w:t xml:space="preserve"> le plus gros employeur de la capitale belge</w:t>
      </w:r>
      <w:r w:rsidR="00FB6850">
        <w:rPr>
          <w:lang w:val="fr-FR"/>
        </w:rPr>
        <w:t>, d’autre part, u</w:t>
      </w:r>
      <w:r w:rsidR="00D85D57">
        <w:rPr>
          <w:lang w:val="fr-FR"/>
        </w:rPr>
        <w:t>ne jeune femme dont la candidature avait manifestement été rejetée</w:t>
      </w:r>
      <w:r w:rsidR="009E769F">
        <w:rPr>
          <w:lang w:val="fr-FR"/>
        </w:rPr>
        <w:t xml:space="preserve"> </w:t>
      </w:r>
      <w:r w:rsidR="00D85D57">
        <w:rPr>
          <w:lang w:val="fr-FR"/>
        </w:rPr>
        <w:t>en raison de son souhait</w:t>
      </w:r>
      <w:r w:rsidR="00FB6850">
        <w:rPr>
          <w:lang w:val="fr-FR"/>
        </w:rPr>
        <w:t xml:space="preserve"> de pouvoir porter le voile islamique sur son lieu de travail.</w:t>
      </w:r>
    </w:p>
    <w:p w14:paraId="69A8D220" w14:textId="5E0B9555" w:rsidR="00C957DB" w:rsidRDefault="00FB6850" w:rsidP="00741943">
      <w:pPr>
        <w:rPr>
          <w:lang w:val="fr-FR"/>
        </w:rPr>
      </w:pPr>
      <w:r>
        <w:rPr>
          <w:lang w:val="fr-FR"/>
        </w:rPr>
        <w:t xml:space="preserve">Dans une décision rendue en mai 2021, </w:t>
      </w:r>
      <w:r w:rsidR="0042235F">
        <w:rPr>
          <w:lang w:val="fr-FR"/>
        </w:rPr>
        <w:t xml:space="preserve">le Tribunal du travail de Bruxelles se montre </w:t>
      </w:r>
      <w:r w:rsidR="00BD1E54">
        <w:rPr>
          <w:lang w:val="fr-FR"/>
        </w:rPr>
        <w:t>fortement</w:t>
      </w:r>
      <w:r w:rsidR="0042235F">
        <w:rPr>
          <w:lang w:val="fr-FR"/>
        </w:rPr>
        <w:t xml:space="preserve"> critique vis-à-vis de l’invocation de la neutralité en tant que justification de l’interdiction des signes religieux </w:t>
      </w:r>
      <w:r w:rsidR="001F259D">
        <w:rPr>
          <w:lang w:val="fr-FR"/>
        </w:rPr>
        <w:t>à la STIB.</w:t>
      </w:r>
      <w:r w:rsidR="00354F46">
        <w:rPr>
          <w:lang w:val="fr-FR"/>
        </w:rPr>
        <w:t xml:space="preserve"> </w:t>
      </w:r>
      <w:r w:rsidR="00F044A0">
        <w:rPr>
          <w:lang w:val="fr-FR"/>
        </w:rPr>
        <w:t>Concluant en premier lieu à l’existence d’une discrimination directe fondée sur la religion</w:t>
      </w:r>
      <w:r w:rsidR="00354F46">
        <w:rPr>
          <w:lang w:val="fr-FR"/>
        </w:rPr>
        <w:t xml:space="preserve">, le juge insiste sur </w:t>
      </w:r>
      <w:r w:rsidR="003A5231" w:rsidRPr="001E35E0">
        <w:rPr>
          <w:i/>
          <w:iCs/>
          <w:lang w:val="fr-FR"/>
        </w:rPr>
        <w:t>l’absence d’objectivité</w:t>
      </w:r>
      <w:r w:rsidR="003A5231">
        <w:rPr>
          <w:lang w:val="fr-FR"/>
        </w:rPr>
        <w:t xml:space="preserve"> dans les justifications apportées par l’entreprise publique afin d’attester la nécessité d’une telle interdiction des signes convictionnels. Est en particulier pointée l’incohérence </w:t>
      </w:r>
      <w:r w:rsidR="000F64C1" w:rsidRPr="000F64C1">
        <w:rPr>
          <w:lang w:val="fr-FR"/>
        </w:rPr>
        <w:t>consistant à interdire, sur le fondement de la neutralité, les signes convictionnels tels que le foulard islamique, tout en tolérant le port de la barbe – y compris</w:t>
      </w:r>
      <w:r w:rsidR="000F64C1">
        <w:rPr>
          <w:lang w:val="fr-FR"/>
        </w:rPr>
        <w:t xml:space="preserve"> lorsque cette dernière est manifestement portée </w:t>
      </w:r>
      <w:r w:rsidR="00B5234E">
        <w:rPr>
          <w:lang w:val="fr-FR"/>
        </w:rPr>
        <w:t xml:space="preserve">en référence à </w:t>
      </w:r>
      <w:r w:rsidR="004A0655">
        <w:rPr>
          <w:lang w:val="fr-FR"/>
        </w:rPr>
        <w:t>la religion islamique.</w:t>
      </w:r>
      <w:r w:rsidR="00E87907">
        <w:rPr>
          <w:lang w:val="fr-FR"/>
        </w:rPr>
        <w:t xml:space="preserve"> Cette différence de traitement entre employés – ou candidats – masculins et féminins conduit par ailleurs le tribunal à </w:t>
      </w:r>
      <w:r w:rsidR="0077073E">
        <w:rPr>
          <w:lang w:val="fr-FR"/>
        </w:rPr>
        <w:t>conclure à l’existence d’une discrimination indirecte fondée sur le sexe</w:t>
      </w:r>
      <w:r w:rsidR="006B2DA0">
        <w:rPr>
          <w:lang w:val="fr-FR"/>
        </w:rPr>
        <w:t>.</w:t>
      </w:r>
      <w:r w:rsidR="001E35E0">
        <w:rPr>
          <w:lang w:val="fr-FR"/>
        </w:rPr>
        <w:t xml:space="preserve"> Telle qu’invoquée par la STIB, la neutralité apparaît ici </w:t>
      </w:r>
      <w:r w:rsidR="001E35E0">
        <w:rPr>
          <w:lang w:val="fr-FR"/>
        </w:rPr>
        <w:lastRenderedPageBreak/>
        <w:t xml:space="preserve">précisément, aux yeux du tribunal, comme une </w:t>
      </w:r>
      <w:r w:rsidR="00C957DB">
        <w:rPr>
          <w:lang w:val="fr-FR"/>
        </w:rPr>
        <w:t>forme illégitime d’objectivation de certains choix subjectifs de l’employeur en matière religieuse</w:t>
      </w:r>
      <w:r w:rsidR="00E61893">
        <w:rPr>
          <w:lang w:val="fr-FR"/>
        </w:rPr>
        <w:t>.</w:t>
      </w:r>
    </w:p>
    <w:p w14:paraId="045D4E61" w14:textId="64EE1419" w:rsidR="00CA3CE3" w:rsidRPr="008C47BD" w:rsidRDefault="00A43102" w:rsidP="00811C0B">
      <w:pPr>
        <w:rPr>
          <w:lang w:val="fr-FR"/>
        </w:rPr>
      </w:pPr>
      <w:r>
        <w:rPr>
          <w:lang w:val="fr-FR"/>
        </w:rPr>
        <w:t xml:space="preserve">De cette </w:t>
      </w:r>
      <w:r w:rsidR="00391B87">
        <w:rPr>
          <w:lang w:val="fr-FR"/>
        </w:rPr>
        <w:t>confrontation</w:t>
      </w:r>
      <w:r>
        <w:rPr>
          <w:lang w:val="fr-FR"/>
        </w:rPr>
        <w:t xml:space="preserve"> entre le</w:t>
      </w:r>
      <w:r w:rsidR="005C0F5E">
        <w:rPr>
          <w:lang w:val="fr-FR"/>
        </w:rPr>
        <w:t>s secteurs public et privé, ressort paradoxalement un</w:t>
      </w:r>
      <w:r w:rsidR="00BF364A">
        <w:rPr>
          <w:lang w:val="fr-FR"/>
        </w:rPr>
        <w:t xml:space="preserve">e appréciation plus sévère de la mise en œuvre d’une neutralité des apparences </w:t>
      </w:r>
      <w:r w:rsidR="00391B87">
        <w:rPr>
          <w:lang w:val="fr-FR"/>
        </w:rPr>
        <w:t>à la STIB, entreprise publique, en comparaison de</w:t>
      </w:r>
      <w:r w:rsidR="008C47BD">
        <w:rPr>
          <w:lang w:val="fr-FR"/>
        </w:rPr>
        <w:t xml:space="preserve"> la jurisprudence relative </w:t>
      </w:r>
      <w:r w:rsidR="00CB4134">
        <w:rPr>
          <w:lang w:val="fr-FR"/>
        </w:rPr>
        <w:t>à la neutralité des</w:t>
      </w:r>
      <w:r w:rsidR="008C47BD">
        <w:rPr>
          <w:lang w:val="fr-FR"/>
        </w:rPr>
        <w:t xml:space="preserve"> entreprises privées. Rappelons </w:t>
      </w:r>
      <w:r w:rsidR="00C53DF9">
        <w:rPr>
          <w:lang w:val="fr-FR"/>
        </w:rPr>
        <w:t>pourtant q</w:t>
      </w:r>
      <w:r w:rsidR="008C47BD">
        <w:rPr>
          <w:lang w:val="fr-FR"/>
        </w:rPr>
        <w:t xml:space="preserve">ue le principe de neutralité trouve </w:t>
      </w:r>
      <w:r w:rsidR="00C53DF9">
        <w:rPr>
          <w:lang w:val="fr-FR"/>
        </w:rPr>
        <w:t>originellement à s’appliquer à</w:t>
      </w:r>
      <w:r w:rsidR="008C47BD">
        <w:rPr>
          <w:lang w:val="fr-FR"/>
        </w:rPr>
        <w:t xml:space="preserve"> </w:t>
      </w:r>
      <w:r w:rsidR="00C53DF9">
        <w:rPr>
          <w:lang w:val="fr-FR"/>
        </w:rPr>
        <w:t xml:space="preserve">la sphère </w:t>
      </w:r>
      <w:r w:rsidR="008C47BD">
        <w:rPr>
          <w:lang w:val="fr-FR"/>
        </w:rPr>
        <w:t>de l’État</w:t>
      </w:r>
      <w:r w:rsidR="00443070">
        <w:rPr>
          <w:lang w:val="fr-FR"/>
        </w:rPr>
        <w:t xml:space="preserve">, et que </w:t>
      </w:r>
      <w:r w:rsidR="00526EB1">
        <w:rPr>
          <w:lang w:val="fr-FR"/>
        </w:rPr>
        <w:t>le phénomène d</w:t>
      </w:r>
      <w:r w:rsidR="0026386A">
        <w:rPr>
          <w:lang w:val="fr-FR"/>
        </w:rPr>
        <w:t>e privatisation</w:t>
      </w:r>
      <w:r w:rsidR="00CB4134">
        <w:rPr>
          <w:lang w:val="fr-FR"/>
        </w:rPr>
        <w:t> </w:t>
      </w:r>
      <w:r w:rsidR="0026386A">
        <w:rPr>
          <w:lang w:val="fr-FR"/>
        </w:rPr>
        <w:t xml:space="preserve">– </w:t>
      </w:r>
      <w:r w:rsidR="00CB4134">
        <w:rPr>
          <w:lang w:val="fr-FR"/>
        </w:rPr>
        <w:t>ou</w:t>
      </w:r>
      <w:r w:rsidR="0026386A">
        <w:rPr>
          <w:lang w:val="fr-FR"/>
        </w:rPr>
        <w:t xml:space="preserve"> d</w:t>
      </w:r>
      <w:proofErr w:type="gramStart"/>
      <w:r w:rsidR="0026386A">
        <w:rPr>
          <w:lang w:val="fr-FR"/>
        </w:rPr>
        <w:t>’</w:t>
      </w:r>
      <w:r w:rsidR="00443070">
        <w:rPr>
          <w:lang w:val="fr-FR"/>
        </w:rPr>
        <w:t>«</w:t>
      </w:r>
      <w:proofErr w:type="gramEnd"/>
      <w:r w:rsidR="00443070">
        <w:rPr>
          <w:lang w:val="fr-FR"/>
        </w:rPr>
        <w:t> horizontalisation »</w:t>
      </w:r>
      <w:r w:rsidR="00526EB1">
        <w:rPr>
          <w:rStyle w:val="Appelnotedebasdep"/>
          <w:lang w:val="fr-FR"/>
        </w:rPr>
        <w:footnoteReference w:id="37"/>
      </w:r>
      <w:r w:rsidR="0026386A">
        <w:rPr>
          <w:lang w:val="fr-FR"/>
        </w:rPr>
        <w:t xml:space="preserve"> – d</w:t>
      </w:r>
      <w:r w:rsidR="00526EB1">
        <w:rPr>
          <w:lang w:val="fr-FR"/>
        </w:rPr>
        <w:t xml:space="preserve">’un tel principe </w:t>
      </w:r>
      <w:r w:rsidR="00CB4134">
        <w:rPr>
          <w:lang w:val="fr-FR"/>
        </w:rPr>
        <w:t>par</w:t>
      </w:r>
      <w:r w:rsidR="00443070">
        <w:rPr>
          <w:lang w:val="fr-FR"/>
        </w:rPr>
        <w:t xml:space="preserve"> l’entreprise privée s’avère plus </w:t>
      </w:r>
      <w:r w:rsidR="00526EB1">
        <w:rPr>
          <w:lang w:val="fr-FR"/>
        </w:rPr>
        <w:t>sujet à discussion</w:t>
      </w:r>
      <w:r w:rsidR="002B14B0">
        <w:rPr>
          <w:lang w:val="fr-FR"/>
        </w:rPr>
        <w:t>.</w:t>
      </w:r>
    </w:p>
    <w:p w14:paraId="77067C79" w14:textId="29132F69" w:rsidR="00CA3CE3" w:rsidRDefault="00CA3CE3" w:rsidP="00CB4134">
      <w:pPr>
        <w:pStyle w:val="Titre1"/>
        <w:numPr>
          <w:ilvl w:val="0"/>
          <w:numId w:val="0"/>
        </w:numPr>
      </w:pPr>
      <w:r>
        <w:t>Conclusion</w:t>
      </w:r>
    </w:p>
    <w:p w14:paraId="4E96024A" w14:textId="5B89CE83" w:rsidR="00CA3CE3" w:rsidRDefault="0091143F" w:rsidP="00CA3CE3">
      <w:pPr>
        <w:rPr>
          <w:lang w:val="fr-FR"/>
        </w:rPr>
      </w:pPr>
      <w:r>
        <w:rPr>
          <w:lang w:val="fr-FR"/>
        </w:rPr>
        <w:t>L</w:t>
      </w:r>
      <w:r w:rsidR="00CA3CE3">
        <w:rPr>
          <w:lang w:val="fr-FR"/>
        </w:rPr>
        <w:t xml:space="preserve">es divers épisodes jurisprudentiels évoqués </w:t>
      </w:r>
      <w:r>
        <w:rPr>
          <w:lang w:val="fr-FR"/>
        </w:rPr>
        <w:t>ci-avant</w:t>
      </w:r>
      <w:r w:rsidR="00CA3CE3">
        <w:rPr>
          <w:lang w:val="fr-FR"/>
        </w:rPr>
        <w:t xml:space="preserve"> </w:t>
      </w:r>
      <w:r>
        <w:rPr>
          <w:lang w:val="fr-FR"/>
        </w:rPr>
        <w:t>semblent s’inscrire</w:t>
      </w:r>
      <w:r w:rsidR="004B435D">
        <w:rPr>
          <w:lang w:val="fr-FR"/>
        </w:rPr>
        <w:t>, chacun à leur manière,</w:t>
      </w:r>
      <w:r w:rsidR="00CA3CE3">
        <w:rPr>
          <w:lang w:val="fr-FR"/>
        </w:rPr>
        <w:t xml:space="preserve"> dans la perspective globale d’un mouvement de subjectivisation</w:t>
      </w:r>
      <w:r w:rsidR="00CA3CE3">
        <w:rPr>
          <w:rStyle w:val="Appelnotedebasdep"/>
          <w:lang w:val="fr-FR"/>
        </w:rPr>
        <w:footnoteReference w:id="38"/>
      </w:r>
      <w:r w:rsidR="00CA3CE3">
        <w:rPr>
          <w:lang w:val="fr-FR"/>
        </w:rPr>
        <w:t xml:space="preserve"> de la croyance au sein de nos ordres juridiques occidentaux. Nombre des défis rencontrés dans ces contentieux</w:t>
      </w:r>
      <w:r w:rsidR="004B435D">
        <w:rPr>
          <w:lang w:val="fr-FR"/>
        </w:rPr>
        <w:t xml:space="preserve"> belges</w:t>
      </w:r>
      <w:r w:rsidR="00CA3CE3">
        <w:rPr>
          <w:lang w:val="fr-FR"/>
        </w:rPr>
        <w:t>, s’agissant de l’articulation entre les droits et intérêts en présence, trouvent ainsi leur source – ou, à tout le moins, leur pierre d’achoppement – dans la difficulté grandissante consistant, pour le droit, à fournir une réponse juste et satisfaisante à des oppositions marquées par un degré élevé de subjectivité et de casuistique.</w:t>
      </w:r>
    </w:p>
    <w:p w14:paraId="6BE2A541" w14:textId="15C97F6D" w:rsidR="00CA3CE3" w:rsidRDefault="00CA3CE3" w:rsidP="00CA3CE3">
      <w:pPr>
        <w:rPr>
          <w:lang w:val="fr-FR"/>
        </w:rPr>
      </w:pPr>
      <w:r>
        <w:rPr>
          <w:lang w:val="fr-FR"/>
        </w:rPr>
        <w:t>En témoigne la compréhension hautement variable du sens et de la portée attachés à la notion de neutralité en droit belge, dont le rang de principe constitutionnel</w:t>
      </w:r>
      <w:r>
        <w:rPr>
          <w:rStyle w:val="Appelnotedebasdep"/>
          <w:lang w:val="fr-FR"/>
        </w:rPr>
        <w:footnoteReference w:id="39"/>
      </w:r>
      <w:r>
        <w:rPr>
          <w:lang w:val="fr-FR"/>
        </w:rPr>
        <w:t xml:space="preserve"> ne l’empêche pas d’être invoqué par l’une et l’autre partie à une même affaire, à l’appui d’arguments opposés.</w:t>
      </w:r>
    </w:p>
    <w:p w14:paraId="1E0D6288" w14:textId="738247E7" w:rsidR="008638CF" w:rsidRPr="006C1778" w:rsidRDefault="004B435D" w:rsidP="006C1778">
      <w:pPr>
        <w:rPr>
          <w:lang w:val="fr-FR"/>
        </w:rPr>
      </w:pPr>
      <w:r>
        <w:rPr>
          <w:lang w:val="fr-FR"/>
        </w:rPr>
        <w:t xml:space="preserve">Sans qu’il soit </w:t>
      </w:r>
      <w:r w:rsidR="00E1111D">
        <w:rPr>
          <w:lang w:val="fr-FR"/>
        </w:rPr>
        <w:t>ainsi</w:t>
      </w:r>
      <w:r w:rsidR="00947214">
        <w:rPr>
          <w:lang w:val="fr-FR"/>
        </w:rPr>
        <w:t xml:space="preserve"> possible de </w:t>
      </w:r>
      <w:r w:rsidR="00376F20">
        <w:rPr>
          <w:lang w:val="fr-FR"/>
        </w:rPr>
        <w:t>dégager</w:t>
      </w:r>
      <w:r w:rsidR="00947214">
        <w:rPr>
          <w:lang w:val="fr-FR"/>
        </w:rPr>
        <w:t xml:space="preserve"> </w:t>
      </w:r>
      <w:r w:rsidR="00E1111D">
        <w:rPr>
          <w:lang w:val="fr-FR"/>
        </w:rPr>
        <w:t>un quelconque</w:t>
      </w:r>
      <w:r w:rsidR="00947214">
        <w:rPr>
          <w:lang w:val="fr-FR"/>
        </w:rPr>
        <w:t xml:space="preserve"> sens univoque </w:t>
      </w:r>
      <w:r w:rsidR="00E1111D">
        <w:rPr>
          <w:lang w:val="fr-FR"/>
        </w:rPr>
        <w:t xml:space="preserve">de cette neutralité – ou laïcité – « à la belge », </w:t>
      </w:r>
      <w:r w:rsidR="002D29AF">
        <w:rPr>
          <w:lang w:val="fr-FR"/>
        </w:rPr>
        <w:t>les</w:t>
      </w:r>
      <w:r w:rsidR="00534770">
        <w:rPr>
          <w:lang w:val="fr-FR"/>
        </w:rPr>
        <w:t xml:space="preserve"> récentes</w:t>
      </w:r>
      <w:r w:rsidR="002D29AF">
        <w:rPr>
          <w:lang w:val="fr-FR"/>
        </w:rPr>
        <w:t xml:space="preserve"> </w:t>
      </w:r>
      <w:r w:rsidR="00534770">
        <w:rPr>
          <w:lang w:val="fr-FR"/>
        </w:rPr>
        <w:t xml:space="preserve">affaires abordées ici laissent </w:t>
      </w:r>
      <w:r w:rsidR="00325469">
        <w:rPr>
          <w:lang w:val="fr-FR"/>
        </w:rPr>
        <w:t xml:space="preserve">en tout cas </w:t>
      </w:r>
      <w:r w:rsidR="00534770">
        <w:rPr>
          <w:lang w:val="fr-FR"/>
        </w:rPr>
        <w:t xml:space="preserve">entrevoir </w:t>
      </w:r>
      <w:r w:rsidR="00AD2563">
        <w:rPr>
          <w:lang w:val="fr-FR"/>
        </w:rPr>
        <w:t>l’idée selon laquelle ce</w:t>
      </w:r>
      <w:r w:rsidR="00E84E38">
        <w:rPr>
          <w:lang w:val="fr-FR"/>
        </w:rPr>
        <w:t>t hypothétique modèle belge de neutralité se caractérise</w:t>
      </w:r>
      <w:r w:rsidR="005034BF">
        <w:rPr>
          <w:lang w:val="fr-FR"/>
        </w:rPr>
        <w:t>rait</w:t>
      </w:r>
      <w:r w:rsidR="00E84E38">
        <w:rPr>
          <w:lang w:val="fr-FR"/>
        </w:rPr>
        <w:t xml:space="preserve"> par l’acceptation</w:t>
      </w:r>
      <w:r w:rsidR="005034BF">
        <w:rPr>
          <w:lang w:val="fr-FR"/>
        </w:rPr>
        <w:t xml:space="preserve">, sinon l’exigence, d’une </w:t>
      </w:r>
      <w:r w:rsidR="008A67CF">
        <w:rPr>
          <w:lang w:val="fr-FR"/>
        </w:rPr>
        <w:t>neutralité intrinsèquement plurielle</w:t>
      </w:r>
      <w:r w:rsidR="00F3452B">
        <w:rPr>
          <w:lang w:val="fr-FR"/>
        </w:rPr>
        <w:t xml:space="preserve">. </w:t>
      </w:r>
      <w:r w:rsidR="00325469">
        <w:rPr>
          <w:lang w:val="fr-FR"/>
        </w:rPr>
        <w:t>Dans cette perspective, l</w:t>
      </w:r>
      <w:r w:rsidR="00F3452B" w:rsidRPr="00F3452B">
        <w:rPr>
          <w:lang w:val="fr-FR"/>
        </w:rPr>
        <w:t>a neutralité s’entend</w:t>
      </w:r>
      <w:r w:rsidR="00F3452B">
        <w:rPr>
          <w:lang w:val="fr-FR"/>
        </w:rPr>
        <w:t>rait</w:t>
      </w:r>
      <w:r w:rsidR="00F3452B" w:rsidRPr="00F3452B">
        <w:rPr>
          <w:lang w:val="fr-FR"/>
        </w:rPr>
        <w:t xml:space="preserve"> ainsi non plus comme simple arbitre face à la pluralité des convictions, mais comme principe impliquant la pluralité des formes de neutralité</w:t>
      </w:r>
      <w:r w:rsidR="00F3452B">
        <w:rPr>
          <w:lang w:val="fr-FR"/>
        </w:rPr>
        <w:t xml:space="preserve">. </w:t>
      </w:r>
      <w:r w:rsidR="008075C1">
        <w:rPr>
          <w:lang w:val="fr-FR"/>
        </w:rPr>
        <w:t>Pure émanation d’un énième s</w:t>
      </w:r>
      <w:r w:rsidR="00C74E88">
        <w:rPr>
          <w:lang w:val="fr-FR"/>
        </w:rPr>
        <w:t xml:space="preserve">urréalisme à la belge ou authentique respect des principes de subsidiarité et de pluralisme ? </w:t>
      </w:r>
      <w:r w:rsidR="008075C1">
        <w:rPr>
          <w:lang w:val="fr-FR"/>
        </w:rPr>
        <w:t xml:space="preserve">Les contentieux à venir </w:t>
      </w:r>
      <w:r w:rsidR="00181497">
        <w:rPr>
          <w:lang w:val="fr-FR"/>
        </w:rPr>
        <w:t>ne manqueront pas de nous éclairer à cet égard</w:t>
      </w:r>
      <w:r w:rsidR="008075C1">
        <w:rPr>
          <w:lang w:val="fr-FR"/>
        </w:rPr>
        <w:t>.</w:t>
      </w:r>
    </w:p>
    <w:sectPr w:rsidR="008638CF" w:rsidRPr="006C177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1224E1" w14:textId="77777777" w:rsidR="00BB24EE" w:rsidRDefault="00BB24EE" w:rsidP="005559D6">
      <w:r>
        <w:separator/>
      </w:r>
    </w:p>
  </w:endnote>
  <w:endnote w:type="continuationSeparator" w:id="0">
    <w:p w14:paraId="036DCE28" w14:textId="77777777" w:rsidR="00BB24EE" w:rsidRDefault="00BB24EE" w:rsidP="005559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1B52C7" w14:textId="77777777" w:rsidR="00BB24EE" w:rsidRDefault="00BB24EE" w:rsidP="005559D6">
      <w:r>
        <w:separator/>
      </w:r>
    </w:p>
  </w:footnote>
  <w:footnote w:type="continuationSeparator" w:id="0">
    <w:p w14:paraId="6BD785CE" w14:textId="77777777" w:rsidR="00BB24EE" w:rsidRDefault="00BB24EE" w:rsidP="005559D6">
      <w:r>
        <w:continuationSeparator/>
      </w:r>
    </w:p>
  </w:footnote>
  <w:footnote w:type="continuationNotice" w:id="1">
    <w:p w14:paraId="017541E7" w14:textId="77777777" w:rsidR="00BB24EE" w:rsidRPr="006861F3" w:rsidRDefault="00BB24EE" w:rsidP="006861F3">
      <w:pPr>
        <w:pStyle w:val="Pieddepage"/>
      </w:pPr>
    </w:p>
  </w:footnote>
  <w:footnote w:id="2">
    <w:p w14:paraId="65103024" w14:textId="7250C4D4" w:rsidR="00E15D7B" w:rsidRPr="0060427D" w:rsidRDefault="00E15D7B" w:rsidP="001E35E0">
      <w:pPr>
        <w:pStyle w:val="Notedebasdepage"/>
        <w:spacing w:after="0" w:line="240" w:lineRule="auto"/>
        <w:rPr>
          <w:rFonts w:eastAsia="Times New Roman" w:cs="Times New Roman"/>
        </w:rPr>
      </w:pPr>
      <w:r>
        <w:rPr>
          <w:rStyle w:val="Appelnotedebasdep"/>
        </w:rPr>
        <w:footnoteRef/>
      </w:r>
      <w:r>
        <w:t xml:space="preserve"> </w:t>
      </w:r>
      <w:r w:rsidR="00336EEA">
        <w:rPr>
          <w:rFonts w:eastAsia="Times New Roman" w:cs="Times New Roman"/>
        </w:rPr>
        <w:t>Par « affaire », nous nous référons à</w:t>
      </w:r>
      <w:r w:rsidR="0060427D" w:rsidRPr="0060427D">
        <w:rPr>
          <w:rFonts w:eastAsia="Times New Roman" w:cs="Times New Roman"/>
        </w:rPr>
        <w:t xml:space="preserve"> l’idée d’une forme capable de « configurer autrement […] un état de choses ou certains de ses éléments »</w:t>
      </w:r>
      <w:r w:rsidR="00336EEA">
        <w:rPr>
          <w:rFonts w:eastAsia="Times New Roman" w:cs="Times New Roman"/>
        </w:rPr>
        <w:t> :</w:t>
      </w:r>
      <w:r w:rsidR="0060427D" w:rsidRPr="0060427D">
        <w:rPr>
          <w:rFonts w:eastAsia="Times New Roman" w:cs="Times New Roman"/>
        </w:rPr>
        <w:t xml:space="preserve"> </w:t>
      </w:r>
      <w:proofErr w:type="spellStart"/>
      <w:r w:rsidR="0060427D" w:rsidRPr="0060427D">
        <w:rPr>
          <w:rFonts w:eastAsia="Times New Roman" w:cs="Times New Roman"/>
        </w:rPr>
        <w:t>voy</w:t>
      </w:r>
      <w:proofErr w:type="spellEnd"/>
      <w:r w:rsidR="0060427D" w:rsidRPr="0060427D">
        <w:rPr>
          <w:rFonts w:eastAsia="Times New Roman" w:cs="Times New Roman"/>
        </w:rPr>
        <w:t xml:space="preserve">. </w:t>
      </w:r>
      <w:r w:rsidR="0060427D" w:rsidRPr="0060427D">
        <w:rPr>
          <w:rFonts w:eastAsia="Times New Roman" w:cs="Times New Roman"/>
        </w:rPr>
        <w:fldChar w:fldCharType="begin"/>
      </w:r>
      <w:r w:rsidR="00ED0AA5">
        <w:rPr>
          <w:rFonts w:eastAsia="Times New Roman" w:cs="Times New Roman"/>
        </w:rPr>
        <w:instrText xml:space="preserve"> ADDIN ZOTERO_ITEM CSL_CITATION {"citationID":"eXqGaIIl","properties":{"formattedCitation":"L. {\\scaps Boltanski} et E. {\\scaps Claverie}, \\uc0\\u171{}\\uc0\\u160{}Du monde social en tant que sc\\uc0\\u232{}ne d\\uc0\\u8217{}un proc\\uc0\\u232{}s. N. Offenstadt, S. Van Damme.\\uc0\\u160{}\\uc0\\u187{}, {\\i{}in} L. {\\scaps Boltanski} (\\uc0\\u233{}d.), {\\i{}Affaires, scandales et grandes causes: de Socrate \\uc0\\u224{} Pinochet}, Les essais, Paris, Stock, 2007, p. 397\\uc0\\u160{}; cit\\uc0\\u233{} par S. {\\scaps Hennette-Vauchez} et V. {\\scaps Valentin}, {\\i{}L\\uc0\\u8217{}affaire Baby Loup ou la Nouvelle La\\uc0\\u239{}cit\\uc0\\u233{}}, Paris, LGDJ, 2014, pp. 12\\uc0\\u8209{}13.","plainCitation":"L. Boltanski et E. Claverie, « Du monde social en tant que scène d’un procès. N. Offenstadt, S. Van Damme. », in L. Boltanski (éd.), Affaires, scandales et grandes causes: de Socrate à Pinochet, Les essais, Paris, Stock, 2007, p. 397 ; cité par S. Hennette-Vauchez et V. Valentin, L’affaire Baby Loup ou la Nouvelle Laïcité, Paris, LGDJ, 2014, pp. 12‑13.","noteIndex":1},"citationItems":[{"id":2974,"uris":["http://zotero.org/users/5133869/items/XWW2QCQ8"],"uri":["http://zotero.org/users/5133869/items/XWW2QCQ8"],"itemData":{"id":2974,"type":"chapter","call-number":"D10 .A44 2007","collection-title":"Les essais","container-title":"Affaires, scandales et grandes causes: de Socrate à Pinochet","event-place":"Paris","ISBN":"978-2-234-05891-0","page":"395-452","publisher":"Stock","publisher-place":"Paris","source":"Library of Congress ISBN","title":"Du monde social en tant que scène d’un procès. N. Offenstadt, S. Van Damme.","editor":[{"family":"Boltanski","given":"Luc"}],"author":[{"family":"Boltanski","given":"Luc"},{"family":"Claverie","given":"Elisabeth"}],"issued":{"date-parts":[["2007"]]}},"locator":"397"},{"id":1189,"uris":["http://zotero.org/users/5133869/items/H2JFE7DP"],"uri":["http://zotero.org/users/5133869/items/H2JFE7DP"],"itemData":{"id":1189,"type":"book","event-place":"Paris","ISBN":"978-2-275-04446-0","language":"fre","number-of-pages":"115","publisher":"LGDJ","publisher-place":"Paris","source":"Gemeinsamer Bibliotheksverbund ISBN","title":"L'affaire Baby Loup ou la Nouvelle Laïcité","author":[{"family":"Hennette-Vauchez","given":"Stéphanie"},{"family":"Valentin","given":"Vincent"}],"issued":{"date-parts":[["2014"]]}},"locator":"12-13","prefix":"cité par"}],"schema":"https://github.com/citation-style-language/schema/raw/master/csl-citation.json"} </w:instrText>
      </w:r>
      <w:r w:rsidR="0060427D" w:rsidRPr="0060427D">
        <w:rPr>
          <w:rFonts w:eastAsia="Times New Roman" w:cs="Times New Roman"/>
        </w:rPr>
        <w:fldChar w:fldCharType="separate"/>
      </w:r>
      <w:r w:rsidR="0060427D" w:rsidRPr="0060427D">
        <w:rPr>
          <w:rFonts w:eastAsia="Times New Roman" w:cs="Times New Roman"/>
          <w:szCs w:val="24"/>
        </w:rPr>
        <w:t xml:space="preserve">L. </w:t>
      </w:r>
      <w:r w:rsidR="0060427D" w:rsidRPr="0060427D">
        <w:rPr>
          <w:rFonts w:eastAsia="Times New Roman" w:cs="Times New Roman"/>
          <w:smallCaps/>
          <w:szCs w:val="24"/>
        </w:rPr>
        <w:t>Boltanski</w:t>
      </w:r>
      <w:r w:rsidR="0060427D" w:rsidRPr="0060427D">
        <w:rPr>
          <w:rFonts w:eastAsia="Times New Roman" w:cs="Times New Roman"/>
          <w:szCs w:val="24"/>
        </w:rPr>
        <w:t xml:space="preserve"> et E. </w:t>
      </w:r>
      <w:r w:rsidR="0060427D" w:rsidRPr="0060427D">
        <w:rPr>
          <w:rFonts w:eastAsia="Times New Roman" w:cs="Times New Roman"/>
          <w:smallCaps/>
          <w:szCs w:val="24"/>
        </w:rPr>
        <w:t>Claverie</w:t>
      </w:r>
      <w:r w:rsidR="0060427D" w:rsidRPr="0060427D">
        <w:rPr>
          <w:rFonts w:eastAsia="Times New Roman" w:cs="Times New Roman"/>
          <w:szCs w:val="24"/>
        </w:rPr>
        <w:t xml:space="preserve">, « Du monde social en tant que scène d’un procès. N. Offenstadt, S. Van Damme. », </w:t>
      </w:r>
      <w:r w:rsidR="0060427D" w:rsidRPr="0060427D">
        <w:rPr>
          <w:rFonts w:eastAsia="Times New Roman" w:cs="Times New Roman"/>
          <w:i/>
          <w:iCs/>
          <w:szCs w:val="24"/>
        </w:rPr>
        <w:t>in</w:t>
      </w:r>
      <w:r w:rsidR="0060427D" w:rsidRPr="0060427D">
        <w:rPr>
          <w:rFonts w:eastAsia="Times New Roman" w:cs="Times New Roman"/>
          <w:szCs w:val="24"/>
        </w:rPr>
        <w:t xml:space="preserve"> L. </w:t>
      </w:r>
      <w:r w:rsidR="0060427D" w:rsidRPr="0060427D">
        <w:rPr>
          <w:rFonts w:eastAsia="Times New Roman" w:cs="Times New Roman"/>
          <w:smallCaps/>
          <w:szCs w:val="24"/>
        </w:rPr>
        <w:t>Boltanski</w:t>
      </w:r>
      <w:r w:rsidR="0060427D" w:rsidRPr="0060427D">
        <w:rPr>
          <w:rFonts w:eastAsia="Times New Roman" w:cs="Times New Roman"/>
          <w:szCs w:val="24"/>
        </w:rPr>
        <w:t xml:space="preserve"> (éd.), </w:t>
      </w:r>
      <w:r w:rsidR="0060427D" w:rsidRPr="0060427D">
        <w:rPr>
          <w:rFonts w:eastAsia="Times New Roman" w:cs="Times New Roman"/>
          <w:i/>
          <w:iCs/>
          <w:szCs w:val="24"/>
        </w:rPr>
        <w:t>Affaires, scandales et grandes causes: de Socrate à Pinochet</w:t>
      </w:r>
      <w:r w:rsidR="0060427D" w:rsidRPr="0060427D">
        <w:rPr>
          <w:rFonts w:eastAsia="Times New Roman" w:cs="Times New Roman"/>
          <w:szCs w:val="24"/>
        </w:rPr>
        <w:t xml:space="preserve">, Les essais, Paris, Stock, 2007, p. 397 ; cité par S. </w:t>
      </w:r>
      <w:r w:rsidR="0060427D" w:rsidRPr="0060427D">
        <w:rPr>
          <w:rFonts w:eastAsia="Times New Roman" w:cs="Times New Roman"/>
          <w:smallCaps/>
          <w:szCs w:val="24"/>
        </w:rPr>
        <w:t>Hennette-Vauchez</w:t>
      </w:r>
      <w:r w:rsidR="0060427D" w:rsidRPr="0060427D">
        <w:rPr>
          <w:rFonts w:eastAsia="Times New Roman" w:cs="Times New Roman"/>
          <w:szCs w:val="24"/>
        </w:rPr>
        <w:t xml:space="preserve"> et V. </w:t>
      </w:r>
      <w:r w:rsidR="0060427D" w:rsidRPr="0060427D">
        <w:rPr>
          <w:rFonts w:eastAsia="Times New Roman" w:cs="Times New Roman"/>
          <w:smallCaps/>
          <w:szCs w:val="24"/>
        </w:rPr>
        <w:t>Valentin</w:t>
      </w:r>
      <w:r w:rsidR="0060427D" w:rsidRPr="0060427D">
        <w:rPr>
          <w:rFonts w:eastAsia="Times New Roman" w:cs="Times New Roman"/>
          <w:szCs w:val="24"/>
        </w:rPr>
        <w:t xml:space="preserve">, </w:t>
      </w:r>
      <w:r w:rsidR="0060427D" w:rsidRPr="0060427D">
        <w:rPr>
          <w:rFonts w:eastAsia="Times New Roman" w:cs="Times New Roman"/>
          <w:i/>
          <w:iCs/>
          <w:szCs w:val="24"/>
        </w:rPr>
        <w:t>L’affaire Baby Loup ou la Nouvelle Laïcité</w:t>
      </w:r>
      <w:r w:rsidR="0060427D" w:rsidRPr="0060427D">
        <w:rPr>
          <w:rFonts w:eastAsia="Times New Roman" w:cs="Times New Roman"/>
          <w:szCs w:val="24"/>
        </w:rPr>
        <w:t>, Paris, LGDJ, 2014, pp. 12‑13.</w:t>
      </w:r>
      <w:r w:rsidR="0060427D" w:rsidRPr="0060427D">
        <w:rPr>
          <w:rFonts w:eastAsia="Times New Roman" w:cs="Times New Roman"/>
        </w:rPr>
        <w:fldChar w:fldCharType="end"/>
      </w:r>
    </w:p>
  </w:footnote>
  <w:footnote w:id="3">
    <w:p w14:paraId="3901432A" w14:textId="292C28D7" w:rsidR="00211420" w:rsidRPr="00E1233F" w:rsidRDefault="00211420" w:rsidP="001E35E0">
      <w:pPr>
        <w:spacing w:after="0" w:line="240" w:lineRule="auto"/>
        <w:rPr>
          <w:sz w:val="20"/>
          <w:szCs w:val="20"/>
        </w:rPr>
      </w:pPr>
      <w:r>
        <w:rPr>
          <w:rStyle w:val="Appelnotedebasdep"/>
        </w:rPr>
        <w:footnoteRef/>
      </w:r>
      <w:r>
        <w:t xml:space="preserve"> </w:t>
      </w:r>
      <w:r w:rsidR="00041CFD">
        <w:rPr>
          <w:sz w:val="20"/>
          <w:szCs w:val="20"/>
        </w:rPr>
        <w:t>Dé</w:t>
      </w:r>
      <w:r w:rsidR="00041CFD" w:rsidRPr="00041CFD">
        <w:rPr>
          <w:sz w:val="20"/>
          <w:szCs w:val="20"/>
        </w:rPr>
        <w:t>cret de la Région wallonne du 4 octobre 2018 relatif au Code wallon du Bien-être des animaux</w:t>
      </w:r>
      <w:r w:rsidR="00041CFD">
        <w:rPr>
          <w:sz w:val="20"/>
          <w:szCs w:val="20"/>
        </w:rPr>
        <w:t xml:space="preserve">, </w:t>
      </w:r>
      <w:proofErr w:type="spellStart"/>
      <w:r w:rsidR="008E33EB">
        <w:rPr>
          <w:i/>
          <w:iCs/>
          <w:sz w:val="20"/>
          <w:szCs w:val="20"/>
        </w:rPr>
        <w:t>M.B</w:t>
      </w:r>
      <w:proofErr w:type="spellEnd"/>
      <w:r w:rsidR="008E33EB">
        <w:rPr>
          <w:i/>
          <w:iCs/>
          <w:sz w:val="20"/>
          <w:szCs w:val="20"/>
        </w:rPr>
        <w:t>.</w:t>
      </w:r>
      <w:r w:rsidR="008E33EB">
        <w:rPr>
          <w:sz w:val="20"/>
          <w:szCs w:val="20"/>
        </w:rPr>
        <w:t xml:space="preserve">, 31 décembre 2018, </w:t>
      </w:r>
      <w:r w:rsidR="008E33EB" w:rsidRPr="008E33EB">
        <w:rPr>
          <w:sz w:val="20"/>
          <w:szCs w:val="20"/>
        </w:rPr>
        <w:t>articles D.57, § 1er, D.105</w:t>
      </w:r>
      <w:r w:rsidR="008E33EB">
        <w:rPr>
          <w:sz w:val="20"/>
          <w:szCs w:val="20"/>
        </w:rPr>
        <w:t xml:space="preserve"> et 26.</w:t>
      </w:r>
      <w:r w:rsidR="00E1233F">
        <w:rPr>
          <w:sz w:val="20"/>
          <w:szCs w:val="20"/>
        </w:rPr>
        <w:t xml:space="preserve"> </w:t>
      </w:r>
      <w:proofErr w:type="spellStart"/>
      <w:r w:rsidR="00E1233F">
        <w:rPr>
          <w:sz w:val="20"/>
          <w:szCs w:val="20"/>
        </w:rPr>
        <w:t>Voy</w:t>
      </w:r>
      <w:proofErr w:type="spellEnd"/>
      <w:r w:rsidR="00E1233F">
        <w:rPr>
          <w:sz w:val="20"/>
          <w:szCs w:val="20"/>
        </w:rPr>
        <w:t>. en particulier l’article D.57, § 1</w:t>
      </w:r>
      <w:r w:rsidR="00E1233F" w:rsidRPr="00E1233F">
        <w:rPr>
          <w:sz w:val="20"/>
          <w:szCs w:val="20"/>
          <w:vertAlign w:val="superscript"/>
        </w:rPr>
        <w:t>er</w:t>
      </w:r>
      <w:r w:rsidR="00E1233F">
        <w:rPr>
          <w:sz w:val="20"/>
          <w:szCs w:val="20"/>
        </w:rPr>
        <w:t xml:space="preserve"> du décret, aux termes duquel il est prévu que « [l</w:t>
      </w:r>
      <w:r w:rsidR="00E1233F" w:rsidRPr="00E1233F">
        <w:rPr>
          <w:sz w:val="20"/>
          <w:szCs w:val="20"/>
        </w:rPr>
        <w:t>orsque</w:t>
      </w:r>
      <w:r w:rsidR="00E1233F">
        <w:rPr>
          <w:sz w:val="20"/>
          <w:szCs w:val="20"/>
        </w:rPr>
        <w:t>]</w:t>
      </w:r>
      <w:r w:rsidR="00E1233F" w:rsidRPr="00E1233F">
        <w:rPr>
          <w:sz w:val="20"/>
          <w:szCs w:val="20"/>
        </w:rPr>
        <w:t xml:space="preserve"> la mise à mort d'animaux fait l'objet de méthodes particulières d'abattage prescrites par des rites religieux, le procédé d'étourdissement doit être réversible et ne peut entraîner la mort de l'animal</w:t>
      </w:r>
      <w:r w:rsidR="00E1233F">
        <w:rPr>
          <w:sz w:val="20"/>
          <w:szCs w:val="20"/>
        </w:rPr>
        <w:t> »</w:t>
      </w:r>
      <w:r w:rsidR="009779A5">
        <w:rPr>
          <w:sz w:val="20"/>
          <w:szCs w:val="20"/>
        </w:rPr>
        <w:t>.</w:t>
      </w:r>
      <w:r w:rsidR="008344D8">
        <w:rPr>
          <w:sz w:val="20"/>
          <w:szCs w:val="20"/>
        </w:rPr>
        <w:t xml:space="preserve"> Notons qu’une version non coordonnée de ces dispositions avait préalablement été adoptée par le législateur wallon à travers un décret du </w:t>
      </w:r>
      <w:r w:rsidR="008344D8" w:rsidRPr="008344D8">
        <w:rPr>
          <w:sz w:val="20"/>
          <w:szCs w:val="20"/>
        </w:rPr>
        <w:t>18 mai 2017</w:t>
      </w:r>
      <w:r w:rsidR="008344D8">
        <w:rPr>
          <w:sz w:val="20"/>
          <w:szCs w:val="20"/>
        </w:rPr>
        <w:t xml:space="preserve"> (</w:t>
      </w:r>
      <w:proofErr w:type="spellStart"/>
      <w:r w:rsidR="008344D8">
        <w:rPr>
          <w:i/>
          <w:iCs/>
          <w:sz w:val="20"/>
          <w:szCs w:val="20"/>
        </w:rPr>
        <w:t>M.B</w:t>
      </w:r>
      <w:proofErr w:type="spellEnd"/>
      <w:r w:rsidR="008344D8">
        <w:rPr>
          <w:i/>
          <w:iCs/>
          <w:sz w:val="20"/>
          <w:szCs w:val="20"/>
        </w:rPr>
        <w:t>.</w:t>
      </w:r>
      <w:r w:rsidR="008344D8">
        <w:rPr>
          <w:sz w:val="20"/>
          <w:szCs w:val="20"/>
        </w:rPr>
        <w:t xml:space="preserve">, </w:t>
      </w:r>
      <w:r w:rsidR="00EB6E75">
        <w:rPr>
          <w:sz w:val="20"/>
          <w:szCs w:val="20"/>
        </w:rPr>
        <w:t>1</w:t>
      </w:r>
      <w:r w:rsidR="00EB6E75" w:rsidRPr="00EB6E75">
        <w:rPr>
          <w:sz w:val="20"/>
          <w:szCs w:val="20"/>
          <w:vertAlign w:val="superscript"/>
        </w:rPr>
        <w:t>er</w:t>
      </w:r>
      <w:r w:rsidR="00EB6E75">
        <w:rPr>
          <w:sz w:val="20"/>
          <w:szCs w:val="20"/>
        </w:rPr>
        <w:t xml:space="preserve"> juin 2017).</w:t>
      </w:r>
    </w:p>
  </w:footnote>
  <w:footnote w:id="4">
    <w:p w14:paraId="79937B9B" w14:textId="1C0A1AB2" w:rsidR="00211420" w:rsidRPr="00F43F1A" w:rsidRDefault="00211420" w:rsidP="001E35E0">
      <w:pPr>
        <w:spacing w:after="0" w:line="240" w:lineRule="auto"/>
        <w:rPr>
          <w:sz w:val="20"/>
          <w:szCs w:val="20"/>
        </w:rPr>
      </w:pPr>
      <w:r w:rsidRPr="009779A5">
        <w:rPr>
          <w:rStyle w:val="Appelnotedebasdep"/>
          <w:sz w:val="20"/>
          <w:szCs w:val="20"/>
        </w:rPr>
        <w:footnoteRef/>
      </w:r>
      <w:r w:rsidRPr="009779A5">
        <w:rPr>
          <w:sz w:val="20"/>
          <w:szCs w:val="20"/>
        </w:rPr>
        <w:t xml:space="preserve"> </w:t>
      </w:r>
      <w:r w:rsidR="003F5419" w:rsidRPr="009779A5">
        <w:rPr>
          <w:sz w:val="20"/>
          <w:szCs w:val="20"/>
        </w:rPr>
        <w:t xml:space="preserve">Décret de la Région flamande du 7 juillet 2017 portant modification de la loi du 14 août 1986 relative à la protection et au bien-être des animaux, en ce qui concerne les méthodes autorisées pour l’abattage des animaux, </w:t>
      </w:r>
      <w:proofErr w:type="spellStart"/>
      <w:r w:rsidR="003F5419" w:rsidRPr="009779A5">
        <w:rPr>
          <w:i/>
          <w:iCs/>
          <w:sz w:val="20"/>
          <w:szCs w:val="20"/>
        </w:rPr>
        <w:t>M.B</w:t>
      </w:r>
      <w:proofErr w:type="spellEnd"/>
      <w:r w:rsidR="003F5419" w:rsidRPr="009779A5">
        <w:rPr>
          <w:i/>
          <w:iCs/>
          <w:sz w:val="20"/>
          <w:szCs w:val="20"/>
        </w:rPr>
        <w:t>.</w:t>
      </w:r>
      <w:r w:rsidR="003F5419" w:rsidRPr="009779A5">
        <w:rPr>
          <w:sz w:val="20"/>
          <w:szCs w:val="20"/>
        </w:rPr>
        <w:t xml:space="preserve">, 18 juillet 2017. L’article </w:t>
      </w:r>
      <w:r w:rsidR="009779A5" w:rsidRPr="009779A5">
        <w:rPr>
          <w:sz w:val="20"/>
          <w:szCs w:val="20"/>
        </w:rPr>
        <w:t>15 § 2 du décret prévoit en particulier que « </w:t>
      </w:r>
      <w:r w:rsidR="009779A5">
        <w:rPr>
          <w:sz w:val="20"/>
          <w:szCs w:val="20"/>
        </w:rPr>
        <w:t>[s</w:t>
      </w:r>
      <w:r w:rsidR="009779A5" w:rsidRPr="009779A5">
        <w:rPr>
          <w:sz w:val="20"/>
          <w:szCs w:val="20"/>
        </w:rPr>
        <w:t>i</w:t>
      </w:r>
      <w:r w:rsidR="009779A5">
        <w:rPr>
          <w:sz w:val="20"/>
          <w:szCs w:val="20"/>
        </w:rPr>
        <w:t>]</w:t>
      </w:r>
      <w:r w:rsidR="009779A5" w:rsidRPr="009779A5">
        <w:rPr>
          <w:sz w:val="20"/>
          <w:szCs w:val="20"/>
        </w:rPr>
        <w:t xml:space="preserve"> les animaux sont abattus selon des méthodes spéciales requises pour des rites religieux, l'étourdissement est réversible et la mort de l'animal n'est pas provoquée par l'étourdissement »</w:t>
      </w:r>
      <w:r w:rsidR="009779A5">
        <w:rPr>
          <w:sz w:val="20"/>
          <w:szCs w:val="20"/>
        </w:rPr>
        <w:t>.</w:t>
      </w:r>
    </w:p>
  </w:footnote>
  <w:footnote w:id="5">
    <w:p w14:paraId="7D0D5508" w14:textId="77AEC8A2" w:rsidR="00A21072" w:rsidRDefault="00A21072" w:rsidP="001E35E0">
      <w:pPr>
        <w:pStyle w:val="Notedebasdepage"/>
        <w:spacing w:after="0" w:line="240" w:lineRule="auto"/>
      </w:pPr>
      <w:r>
        <w:rPr>
          <w:rStyle w:val="Appelnotedebasdep"/>
        </w:rPr>
        <w:footnoteRef/>
      </w:r>
      <w:r w:rsidRPr="00F43F1A">
        <w:rPr>
          <w:lang w:val="nl-BE"/>
        </w:rPr>
        <w:t xml:space="preserve"> </w:t>
      </w:r>
      <w:proofErr w:type="spellStart"/>
      <w:r w:rsidRPr="00F43F1A">
        <w:rPr>
          <w:lang w:val="nl-BE"/>
        </w:rPr>
        <w:t>CJUE</w:t>
      </w:r>
      <w:proofErr w:type="spellEnd"/>
      <w:r w:rsidR="00F43F1A" w:rsidRPr="00F43F1A">
        <w:rPr>
          <w:lang w:val="nl-BE"/>
        </w:rPr>
        <w:t xml:space="preserve">, 29 </w:t>
      </w:r>
      <w:proofErr w:type="spellStart"/>
      <w:r w:rsidR="00F43F1A" w:rsidRPr="00F43F1A">
        <w:rPr>
          <w:lang w:val="nl-BE"/>
        </w:rPr>
        <w:t>mai</w:t>
      </w:r>
      <w:proofErr w:type="spellEnd"/>
      <w:r w:rsidR="00F43F1A" w:rsidRPr="00F43F1A">
        <w:rPr>
          <w:lang w:val="nl-BE"/>
        </w:rPr>
        <w:t xml:space="preserve"> 2018 (</w:t>
      </w:r>
      <w:r w:rsidR="00F43F1A" w:rsidRPr="00F43F1A">
        <w:rPr>
          <w:i/>
          <w:iCs/>
          <w:lang w:val="nl-BE"/>
        </w:rPr>
        <w:t>Liga van Moskeeën en Islamitische Organisaties Provincie Antwerpen VZW e.a. c. Vlaams Gewest</w:t>
      </w:r>
      <w:r w:rsidR="00F43F1A" w:rsidRPr="00F43F1A">
        <w:rPr>
          <w:lang w:val="nl-BE"/>
        </w:rPr>
        <w:t xml:space="preserve">), C-426/16. </w:t>
      </w:r>
      <w:r w:rsidRPr="00A21072">
        <w:t xml:space="preserve">La </w:t>
      </w:r>
      <w:proofErr w:type="spellStart"/>
      <w:r w:rsidRPr="00A21072">
        <w:t>CJUE</w:t>
      </w:r>
      <w:proofErr w:type="spellEnd"/>
      <w:r w:rsidRPr="00A21072">
        <w:t xml:space="preserve"> considère </w:t>
      </w:r>
      <w:r w:rsidR="00F43F1A">
        <w:t xml:space="preserve">en particulier </w:t>
      </w:r>
      <w:r w:rsidRPr="00A21072">
        <w:t>que l’atteinte à la liberté des croyants juifs et musulmans concernés de manifester leur religion est légitime et proportionnée au regard de l’article 10 de la Charte des droits fondamentaux de l’UE, relatif à la liberté de religion. Les juges européens considèrent par ailleurs qu’imposer l’étourdissement réversible lors de l’abattage rituel tout en permettant la mise à mort d’animaux lors de la chasse, de la pêche ou de manifestations culturelles et sportives n’est pas constitutif d’une discrimination au sens du droit européen.</w:t>
      </w:r>
    </w:p>
  </w:footnote>
  <w:footnote w:id="6">
    <w:p w14:paraId="50A88A22" w14:textId="3C181F34" w:rsidR="00EB6E75" w:rsidRDefault="00EB6E75" w:rsidP="001E35E0">
      <w:pPr>
        <w:pStyle w:val="Notedebasdepage"/>
        <w:spacing w:after="0" w:line="240" w:lineRule="auto"/>
      </w:pPr>
      <w:r>
        <w:rPr>
          <w:rStyle w:val="Appelnotedebasdep"/>
        </w:rPr>
        <w:footnoteRef/>
      </w:r>
      <w:r>
        <w:t xml:space="preserve"> C.</w:t>
      </w:r>
      <w:r w:rsidR="00C2754C">
        <w:t xml:space="preserve"> </w:t>
      </w:r>
      <w:proofErr w:type="spellStart"/>
      <w:r>
        <w:t>Const</w:t>
      </w:r>
      <w:proofErr w:type="spellEnd"/>
      <w:r>
        <w:t xml:space="preserve">. </w:t>
      </w:r>
      <w:r w:rsidR="0025195A">
        <w:t xml:space="preserve">30 septembre 2021, </w:t>
      </w:r>
      <w:proofErr w:type="spellStart"/>
      <w:r w:rsidR="00C2754C">
        <w:t>R.G</w:t>
      </w:r>
      <w:proofErr w:type="spellEnd"/>
      <w:r w:rsidR="00C2754C">
        <w:t xml:space="preserve">. </w:t>
      </w:r>
      <w:r w:rsidRPr="00EB6E75">
        <w:t>n° 117/2021 et 118/2021</w:t>
      </w:r>
      <w:r w:rsidR="0025195A">
        <w:t>.</w:t>
      </w:r>
    </w:p>
  </w:footnote>
  <w:footnote w:id="7">
    <w:p w14:paraId="2ED7A321" w14:textId="7CE07483" w:rsidR="00E72850" w:rsidRPr="00E72850" w:rsidRDefault="00E72850" w:rsidP="001E35E0">
      <w:pPr>
        <w:pStyle w:val="Notedebasdepage"/>
        <w:spacing w:after="0" w:line="240" w:lineRule="auto"/>
      </w:pPr>
      <w:r>
        <w:rPr>
          <w:rStyle w:val="Appelnotedebasdep"/>
        </w:rPr>
        <w:footnoteRef/>
      </w:r>
      <w:r>
        <w:t xml:space="preserve"> </w:t>
      </w:r>
      <w:r>
        <w:rPr>
          <w:i/>
          <w:iCs/>
        </w:rPr>
        <w:t>Ibid</w:t>
      </w:r>
      <w:r>
        <w:t xml:space="preserve">., </w:t>
      </w:r>
      <w:r w:rsidR="00FE3C70">
        <w:t>§</w:t>
      </w:r>
      <w:r>
        <w:t xml:space="preserve"> </w:t>
      </w:r>
      <w:r w:rsidRPr="00E72850">
        <w:t>B.31.4</w:t>
      </w:r>
      <w:r>
        <w:t>.</w:t>
      </w:r>
    </w:p>
  </w:footnote>
  <w:footnote w:id="8">
    <w:p w14:paraId="2F19226B" w14:textId="7D65AA72" w:rsidR="000D05A1" w:rsidRPr="004A67C2" w:rsidRDefault="000D05A1" w:rsidP="001E35E0">
      <w:pPr>
        <w:pStyle w:val="Notedebasdepage"/>
        <w:spacing w:after="0" w:line="240" w:lineRule="auto"/>
      </w:pPr>
      <w:r>
        <w:rPr>
          <w:rStyle w:val="Appelnotedebasdep"/>
        </w:rPr>
        <w:footnoteRef/>
      </w:r>
      <w:r>
        <w:t xml:space="preserve"> </w:t>
      </w:r>
      <w:r w:rsidR="00BE42A5">
        <w:t>« </w:t>
      </w:r>
      <w:r w:rsidR="00BE42A5" w:rsidRPr="00BE42A5">
        <w:t>Abattage sans étourdissement : le grand rabbin de Bruxelles introduit un recours devant la Cour européenne des droits de l'homme</w:t>
      </w:r>
      <w:r w:rsidR="00BE42A5">
        <w:t xml:space="preserve"> », </w:t>
      </w:r>
      <w:r w:rsidR="00BE42A5">
        <w:rPr>
          <w:i/>
          <w:iCs/>
        </w:rPr>
        <w:t>La Libre</w:t>
      </w:r>
      <w:r w:rsidR="00B82596">
        <w:rPr>
          <w:i/>
          <w:iCs/>
        </w:rPr>
        <w:t xml:space="preserve"> Belgique</w:t>
      </w:r>
      <w:r w:rsidR="00BE42A5">
        <w:t xml:space="preserve">, </w:t>
      </w:r>
      <w:r w:rsidR="00B82596">
        <w:t>17 décembre 2021</w:t>
      </w:r>
      <w:r w:rsidR="00B21A20">
        <w:t xml:space="preserve"> </w:t>
      </w:r>
      <w:r w:rsidR="00B82596">
        <w:t xml:space="preserve">; </w:t>
      </w:r>
      <w:r w:rsidR="004A67C2">
        <w:t>« </w:t>
      </w:r>
      <w:r w:rsidR="004A67C2" w:rsidRPr="004A67C2">
        <w:t>Abattage sans étourdissement</w:t>
      </w:r>
      <w:r w:rsidR="004A67C2">
        <w:t> </w:t>
      </w:r>
      <w:r w:rsidR="004A67C2" w:rsidRPr="004A67C2">
        <w:t>: le grand rabbin de Bruxelles introduit un recours devant la Cour européenne des droits de l'homme</w:t>
      </w:r>
      <w:r w:rsidR="004A67C2">
        <w:t xml:space="preserve"> », </w:t>
      </w:r>
      <w:r w:rsidR="004A67C2">
        <w:rPr>
          <w:i/>
          <w:iCs/>
        </w:rPr>
        <w:t>RTBF</w:t>
      </w:r>
      <w:r w:rsidR="004A67C2">
        <w:t xml:space="preserve">, 5 avril 2022, </w:t>
      </w:r>
      <w:r w:rsidR="00B21A20">
        <w:t xml:space="preserve">disponible sur </w:t>
      </w:r>
      <w:hyperlink r:id="rId1" w:history="1">
        <w:r w:rsidR="00B21A20" w:rsidRPr="00277CF1">
          <w:rPr>
            <w:rStyle w:val="Lienhypertexte"/>
          </w:rPr>
          <w:t>www.rtbf.be/info</w:t>
        </w:r>
      </w:hyperlink>
      <w:r w:rsidR="004A67C2">
        <w:t>.</w:t>
      </w:r>
    </w:p>
  </w:footnote>
  <w:footnote w:id="9">
    <w:p w14:paraId="25E3FC57" w14:textId="02EBBB4D" w:rsidR="004A67C2" w:rsidRPr="00DF0044" w:rsidRDefault="004A67C2" w:rsidP="001E35E0">
      <w:pPr>
        <w:pStyle w:val="Notedebasdepage"/>
        <w:spacing w:after="0" w:line="240" w:lineRule="auto"/>
      </w:pPr>
      <w:r>
        <w:rPr>
          <w:rStyle w:val="Appelnotedebasdep"/>
        </w:rPr>
        <w:footnoteRef/>
      </w:r>
      <w:r>
        <w:t xml:space="preserve"> </w:t>
      </w:r>
      <w:proofErr w:type="spellStart"/>
      <w:r w:rsidR="00EB0BB2">
        <w:t>Voy</w:t>
      </w:r>
      <w:proofErr w:type="spellEnd"/>
      <w:r w:rsidR="00EB0BB2">
        <w:t xml:space="preserve">. en particulier la proposition d’ordonnance </w:t>
      </w:r>
      <w:r w:rsidR="001F0367">
        <w:t>du 22 octobre 2021</w:t>
      </w:r>
      <w:r w:rsidR="00EB0BB2">
        <w:t xml:space="preserve"> modifiant la loi du 14 août 1986 relative à la protection et au bien-être des animaux</w:t>
      </w:r>
      <w:r w:rsidR="00C66DAF">
        <w:t xml:space="preserve">, </w:t>
      </w:r>
      <w:r w:rsidR="00DF0044">
        <w:rPr>
          <w:i/>
          <w:iCs/>
        </w:rPr>
        <w:t xml:space="preserve">Doc. </w:t>
      </w:r>
      <w:proofErr w:type="spellStart"/>
      <w:r w:rsidR="00DF0044">
        <w:rPr>
          <w:i/>
          <w:iCs/>
        </w:rPr>
        <w:t>Parl</w:t>
      </w:r>
      <w:proofErr w:type="spellEnd"/>
      <w:r w:rsidR="00DF0044">
        <w:rPr>
          <w:i/>
          <w:iCs/>
        </w:rPr>
        <w:t>.</w:t>
      </w:r>
      <w:r w:rsidR="00C66DAF">
        <w:rPr>
          <w:i/>
          <w:iCs/>
        </w:rPr>
        <w:t xml:space="preserve"> Bxl.</w:t>
      </w:r>
      <w:r w:rsidR="00DF0044">
        <w:t xml:space="preserve">, </w:t>
      </w:r>
      <w:r w:rsidR="00C66DAF">
        <w:t xml:space="preserve">2021-2022, n° </w:t>
      </w:r>
      <w:r w:rsidR="00C66DAF" w:rsidRPr="00C66DAF">
        <w:t>A-444/</w:t>
      </w:r>
      <w:r w:rsidR="00C66DAF">
        <w:t>1.</w:t>
      </w:r>
    </w:p>
  </w:footnote>
  <w:footnote w:id="10">
    <w:p w14:paraId="0225BC73" w14:textId="77777777" w:rsidR="00440798" w:rsidRPr="00387C65" w:rsidRDefault="00440798" w:rsidP="001E35E0">
      <w:pPr>
        <w:pStyle w:val="Notedebasdepage"/>
        <w:spacing w:after="0" w:line="240" w:lineRule="auto"/>
      </w:pPr>
      <w:r>
        <w:rPr>
          <w:rStyle w:val="Appelnotedebasdep"/>
        </w:rPr>
        <w:footnoteRef/>
      </w:r>
      <w:r>
        <w:t xml:space="preserve"> Constitution belge, art. 24, § 1</w:t>
      </w:r>
      <w:r w:rsidRPr="00387C65">
        <w:rPr>
          <w:vertAlign w:val="superscript"/>
        </w:rPr>
        <w:t>er</w:t>
      </w:r>
      <w:r>
        <w:t>, al. 4 : « </w:t>
      </w:r>
      <w:r w:rsidRPr="00387C65">
        <w:t>Les écoles organisées par les pouvoirs publics offrent, jusqu’à la fin de l’obligation scolaire, le choix entre l’enseignement d’une des religions reconnues et celui de la morale non confessionnelle</w:t>
      </w:r>
      <w:r>
        <w:t> »</w:t>
      </w:r>
      <w:r w:rsidRPr="00387C65">
        <w:t>.</w:t>
      </w:r>
    </w:p>
  </w:footnote>
  <w:footnote w:id="11">
    <w:p w14:paraId="5F5EE362" w14:textId="368BA2EB" w:rsidR="00B2372F" w:rsidRPr="00822D05" w:rsidRDefault="00B2372F" w:rsidP="001E35E0">
      <w:pPr>
        <w:pStyle w:val="Notedebasdepage"/>
        <w:spacing w:after="0" w:line="240" w:lineRule="auto"/>
        <w:rPr>
          <w:rFonts w:cs="Times New Roman"/>
        </w:rPr>
      </w:pPr>
      <w:r w:rsidRPr="00822D05">
        <w:rPr>
          <w:rStyle w:val="Appelnotedebasdep"/>
          <w:rFonts w:cs="Times New Roman"/>
        </w:rPr>
        <w:footnoteRef/>
      </w:r>
      <w:r w:rsidRPr="00822D05">
        <w:rPr>
          <w:rFonts w:cs="Times New Roman"/>
        </w:rPr>
        <w:t xml:space="preserve"> </w:t>
      </w:r>
      <w:proofErr w:type="spellStart"/>
      <w:r w:rsidRPr="00822D05">
        <w:rPr>
          <w:rFonts w:cs="Times New Roman"/>
        </w:rPr>
        <w:t>C.E</w:t>
      </w:r>
      <w:proofErr w:type="spellEnd"/>
      <w:r w:rsidRPr="00822D05">
        <w:rPr>
          <w:rFonts w:cs="Times New Roman"/>
        </w:rPr>
        <w:t>.,</w:t>
      </w:r>
      <w:r w:rsidR="00E81029" w:rsidRPr="00E81029">
        <w:rPr>
          <w:rFonts w:cs="Times New Roman"/>
        </w:rPr>
        <w:t xml:space="preserve"> </w:t>
      </w:r>
      <w:r w:rsidR="00E81029" w:rsidRPr="00822D05">
        <w:rPr>
          <w:rFonts w:cs="Times New Roman"/>
        </w:rPr>
        <w:t xml:space="preserve">arrêt n° 25.326 du 14 mai 1985, affaire </w:t>
      </w:r>
      <w:proofErr w:type="spellStart"/>
      <w:r w:rsidR="00E81029" w:rsidRPr="00822D05">
        <w:rPr>
          <w:rFonts w:cs="Times New Roman"/>
          <w:i/>
          <w:iCs/>
        </w:rPr>
        <w:t>Sluijs</w:t>
      </w:r>
      <w:proofErr w:type="spellEnd"/>
      <w:r w:rsidR="00E81029">
        <w:rPr>
          <w:rFonts w:cs="Times New Roman"/>
          <w:i/>
          <w:iCs/>
        </w:rPr>
        <w:t>.</w:t>
      </w:r>
    </w:p>
  </w:footnote>
  <w:footnote w:id="12">
    <w:p w14:paraId="5645FDD1" w14:textId="77777777" w:rsidR="00B2372F" w:rsidRPr="00822D05" w:rsidRDefault="00B2372F" w:rsidP="001E35E0">
      <w:pPr>
        <w:pStyle w:val="Notedebasdepage"/>
        <w:spacing w:after="0" w:line="240" w:lineRule="auto"/>
        <w:rPr>
          <w:rFonts w:cs="Times New Roman"/>
        </w:rPr>
      </w:pPr>
      <w:r w:rsidRPr="00822D05">
        <w:rPr>
          <w:rStyle w:val="Appelnotedebasdep"/>
          <w:rFonts w:cs="Times New Roman"/>
        </w:rPr>
        <w:footnoteRef/>
      </w:r>
      <w:r w:rsidRPr="00822D05">
        <w:rPr>
          <w:rFonts w:cs="Times New Roman"/>
        </w:rPr>
        <w:t xml:space="preserve"> </w:t>
      </w:r>
      <w:proofErr w:type="spellStart"/>
      <w:r w:rsidRPr="00822D05">
        <w:rPr>
          <w:rFonts w:cs="Times New Roman"/>
        </w:rPr>
        <w:t>C.E</w:t>
      </w:r>
      <w:proofErr w:type="spellEnd"/>
      <w:r w:rsidRPr="00822D05">
        <w:rPr>
          <w:rFonts w:cs="Times New Roman"/>
        </w:rPr>
        <w:t xml:space="preserve">., arrêt n° 35.442 du 10 juillet 1990, affaire </w:t>
      </w:r>
      <w:r w:rsidRPr="00822D05">
        <w:rPr>
          <w:rFonts w:cs="Times New Roman"/>
          <w:i/>
          <w:iCs/>
        </w:rPr>
        <w:t>Vermeersch</w:t>
      </w:r>
      <w:r w:rsidRPr="00822D05">
        <w:rPr>
          <w:rFonts w:cs="Times New Roman"/>
        </w:rPr>
        <w:t>.</w:t>
      </w:r>
    </w:p>
  </w:footnote>
  <w:footnote w:id="13">
    <w:p w14:paraId="3B0E713D" w14:textId="1F9BBD45" w:rsidR="00440798" w:rsidRPr="00822D05" w:rsidRDefault="00440798" w:rsidP="001E35E0">
      <w:pPr>
        <w:pStyle w:val="Notedebasdepage"/>
        <w:spacing w:after="0" w:line="240" w:lineRule="auto"/>
        <w:rPr>
          <w:rFonts w:cs="Times New Roman"/>
        </w:rPr>
      </w:pPr>
      <w:r w:rsidRPr="00822D05">
        <w:rPr>
          <w:rStyle w:val="Appelnotedebasdep"/>
          <w:rFonts w:cs="Times New Roman"/>
        </w:rPr>
        <w:footnoteRef/>
      </w:r>
      <w:r w:rsidRPr="00822D05">
        <w:rPr>
          <w:rFonts w:cs="Times New Roman"/>
        </w:rPr>
        <w:t xml:space="preserve"> </w:t>
      </w:r>
      <w:proofErr w:type="spellStart"/>
      <w:r w:rsidRPr="00822D05">
        <w:rPr>
          <w:rFonts w:cs="Times New Roman"/>
        </w:rPr>
        <w:t>Voy</w:t>
      </w:r>
      <w:proofErr w:type="spellEnd"/>
      <w:r w:rsidRPr="00822D05">
        <w:rPr>
          <w:rFonts w:cs="Times New Roman"/>
        </w:rPr>
        <w:t xml:space="preserve">. en particulier l'arrêt </w:t>
      </w:r>
      <w:proofErr w:type="spellStart"/>
      <w:r w:rsidRPr="00822D05">
        <w:rPr>
          <w:rFonts w:cs="Times New Roman"/>
          <w:i/>
          <w:iCs/>
        </w:rPr>
        <w:t>Folgerø</w:t>
      </w:r>
      <w:proofErr w:type="spellEnd"/>
      <w:r w:rsidRPr="00822D05">
        <w:rPr>
          <w:rFonts w:cs="Times New Roman"/>
          <w:i/>
          <w:iCs/>
        </w:rPr>
        <w:t xml:space="preserve"> e.a. c. Norvège</w:t>
      </w:r>
      <w:r w:rsidRPr="00822D05">
        <w:rPr>
          <w:rFonts w:cs="Times New Roman"/>
        </w:rPr>
        <w:t xml:space="preserve"> (29 juin 2007, </w:t>
      </w:r>
      <w:proofErr w:type="spellStart"/>
      <w:r w:rsidRPr="00822D05">
        <w:rPr>
          <w:rFonts w:cs="Times New Roman"/>
        </w:rPr>
        <w:t>req</w:t>
      </w:r>
      <w:proofErr w:type="spellEnd"/>
      <w:r w:rsidRPr="00822D05">
        <w:rPr>
          <w:rFonts w:cs="Times New Roman"/>
        </w:rPr>
        <w:t>. n° 15472/02), à travers lequel la C</w:t>
      </w:r>
      <w:r w:rsidR="0060220E">
        <w:rPr>
          <w:rFonts w:cs="Times New Roman"/>
        </w:rPr>
        <w:t xml:space="preserve">ourEDH </w:t>
      </w:r>
      <w:r w:rsidRPr="00822D05">
        <w:rPr>
          <w:rFonts w:cs="Times New Roman"/>
        </w:rPr>
        <w:t>précise que, dans le cas où les cours de religion dispensés à l’école publique ne peuvent faire l’objet d’une dispense en droit national, il s’avère nécessaire, du point de vue du respect de l’article 9 de la CEDH et du Protocole n°1, que leur contenu présente un caractère suffisamment neutre, ou, à tout le moins, « objectif, critique et pluraliste » (</w:t>
      </w:r>
      <w:r w:rsidR="00FE3C70">
        <w:rPr>
          <w:rFonts w:cs="Times New Roman"/>
        </w:rPr>
        <w:t>§</w:t>
      </w:r>
      <w:r w:rsidRPr="00822D05">
        <w:rPr>
          <w:rFonts w:cs="Times New Roman"/>
        </w:rPr>
        <w:t xml:space="preserve"> 85).</w:t>
      </w:r>
    </w:p>
  </w:footnote>
  <w:footnote w:id="14">
    <w:p w14:paraId="62FF65A9" w14:textId="2B9A9AE6" w:rsidR="000E1113" w:rsidRPr="00660820" w:rsidRDefault="000E1113" w:rsidP="001E35E0">
      <w:pPr>
        <w:pStyle w:val="Notedebasdepage"/>
        <w:spacing w:after="0" w:line="240" w:lineRule="auto"/>
      </w:pPr>
      <w:r>
        <w:rPr>
          <w:rStyle w:val="Appelnotedebasdep"/>
        </w:rPr>
        <w:footnoteRef/>
      </w:r>
      <w:r>
        <w:t xml:space="preserve"> </w:t>
      </w:r>
      <w:r w:rsidR="00660820">
        <w:t xml:space="preserve">Sur ce point, </w:t>
      </w:r>
      <w:proofErr w:type="spellStart"/>
      <w:r w:rsidR="00660820">
        <w:t>voy</w:t>
      </w:r>
      <w:proofErr w:type="spellEnd"/>
      <w:r w:rsidR="00660820">
        <w:t xml:space="preserve">. C. </w:t>
      </w:r>
      <w:proofErr w:type="spellStart"/>
      <w:r w:rsidR="00660820" w:rsidRPr="00660820">
        <w:rPr>
          <w:smallCaps/>
        </w:rPr>
        <w:t>Sägesser</w:t>
      </w:r>
      <w:proofErr w:type="spellEnd"/>
      <w:r w:rsidR="00660820">
        <w:t xml:space="preserve">, « L’organisation et la reconnaissance de la laïcité organisée en Belgique », </w:t>
      </w:r>
      <w:r w:rsidR="00F06009" w:rsidRPr="00F06009">
        <w:rPr>
          <w:i/>
          <w:iCs/>
        </w:rPr>
        <w:t xml:space="preserve">Les Analyses du </w:t>
      </w:r>
      <w:proofErr w:type="spellStart"/>
      <w:r w:rsidR="00F06009" w:rsidRPr="00F06009">
        <w:rPr>
          <w:i/>
          <w:iCs/>
        </w:rPr>
        <w:t>CRISP</w:t>
      </w:r>
      <w:proofErr w:type="spellEnd"/>
      <w:r w:rsidR="00F06009" w:rsidRPr="00F06009">
        <w:rPr>
          <w:i/>
          <w:iCs/>
        </w:rPr>
        <w:t xml:space="preserve"> en ligne</w:t>
      </w:r>
      <w:r w:rsidR="00F06009">
        <w:t xml:space="preserve">, </w:t>
      </w:r>
      <w:r w:rsidR="00F06009" w:rsidRPr="00F06009">
        <w:t xml:space="preserve">25 </w:t>
      </w:r>
      <w:r w:rsidR="00F06009">
        <w:t>mars</w:t>
      </w:r>
      <w:r w:rsidR="00F06009" w:rsidRPr="00F06009">
        <w:t xml:space="preserve"> 2021</w:t>
      </w:r>
      <w:r w:rsidR="003460F5">
        <w:t xml:space="preserve">, disponible sur </w:t>
      </w:r>
      <w:hyperlink r:id="rId2" w:history="1">
        <w:r w:rsidR="00037E92" w:rsidRPr="00E24C34">
          <w:rPr>
            <w:rStyle w:val="Lienhypertexte"/>
          </w:rPr>
          <w:t>www.crisp.be</w:t>
        </w:r>
      </w:hyperlink>
      <w:r w:rsidR="00F06009">
        <w:t>.</w:t>
      </w:r>
    </w:p>
  </w:footnote>
  <w:footnote w:id="15">
    <w:p w14:paraId="5B697D0F" w14:textId="3AFDF518" w:rsidR="00496F73" w:rsidRPr="00496F73" w:rsidRDefault="00496F73" w:rsidP="001E35E0">
      <w:pPr>
        <w:pStyle w:val="Notedebasdepage"/>
        <w:spacing w:after="0" w:line="240" w:lineRule="auto"/>
      </w:pPr>
      <w:r>
        <w:rPr>
          <w:rStyle w:val="Appelnotedebasdep"/>
        </w:rPr>
        <w:footnoteRef/>
      </w:r>
      <w:r>
        <w:t xml:space="preserve"> C. </w:t>
      </w:r>
      <w:proofErr w:type="spellStart"/>
      <w:r>
        <w:t>Const</w:t>
      </w:r>
      <w:proofErr w:type="spellEnd"/>
      <w:r>
        <w:t xml:space="preserve">, 12 mars 2015, </w:t>
      </w:r>
      <w:proofErr w:type="spellStart"/>
      <w:r>
        <w:t>R.G</w:t>
      </w:r>
      <w:proofErr w:type="spellEnd"/>
      <w:r>
        <w:t xml:space="preserve">. n° </w:t>
      </w:r>
      <w:r w:rsidR="00B46914">
        <w:t xml:space="preserve">34/2015, </w:t>
      </w:r>
      <w:r w:rsidR="00FE3C70">
        <w:t xml:space="preserve">§ </w:t>
      </w:r>
      <w:r>
        <w:t>B.6.4.</w:t>
      </w:r>
    </w:p>
  </w:footnote>
  <w:footnote w:id="16">
    <w:p w14:paraId="3E9A1EB2" w14:textId="20A6FA62" w:rsidR="00896E76" w:rsidRPr="00102EAB" w:rsidRDefault="00896E76" w:rsidP="001E35E0">
      <w:pPr>
        <w:pStyle w:val="Notedebasdepage"/>
        <w:spacing w:after="0" w:line="240" w:lineRule="auto"/>
        <w:rPr>
          <w:i/>
          <w:iCs/>
        </w:rPr>
      </w:pPr>
      <w:r>
        <w:rPr>
          <w:rStyle w:val="Appelnotedebasdep"/>
        </w:rPr>
        <w:footnoteRef/>
      </w:r>
      <w:r w:rsidRPr="00747134">
        <w:rPr>
          <w:lang w:val="en-GB"/>
        </w:rPr>
        <w:t xml:space="preserve"> </w:t>
      </w:r>
      <w:r w:rsidR="009D3503">
        <w:rPr>
          <w:lang w:val="en-GB"/>
        </w:rPr>
        <w:t xml:space="preserve">En </w:t>
      </w:r>
      <w:proofErr w:type="spellStart"/>
      <w:r w:rsidR="009D3503">
        <w:rPr>
          <w:lang w:val="en-GB"/>
        </w:rPr>
        <w:t>ce</w:t>
      </w:r>
      <w:proofErr w:type="spellEnd"/>
      <w:r w:rsidR="009D3503">
        <w:rPr>
          <w:lang w:val="en-GB"/>
        </w:rPr>
        <w:t xml:space="preserve"> </w:t>
      </w:r>
      <w:proofErr w:type="spellStart"/>
      <w:r w:rsidR="009D3503">
        <w:rPr>
          <w:lang w:val="en-GB"/>
        </w:rPr>
        <w:t>sens</w:t>
      </w:r>
      <w:proofErr w:type="spellEnd"/>
      <w:r w:rsidR="009D3503">
        <w:rPr>
          <w:lang w:val="en-GB"/>
        </w:rPr>
        <w:t xml:space="preserve">, </w:t>
      </w:r>
      <w:proofErr w:type="spellStart"/>
      <w:r w:rsidR="009D3503">
        <w:rPr>
          <w:lang w:val="en-GB"/>
        </w:rPr>
        <w:t>voy</w:t>
      </w:r>
      <w:proofErr w:type="spellEnd"/>
      <w:r w:rsidR="00747134" w:rsidRPr="00747134">
        <w:rPr>
          <w:lang w:val="en-GB"/>
        </w:rPr>
        <w:t xml:space="preserve">. </w:t>
      </w:r>
      <w:proofErr w:type="spellStart"/>
      <w:r w:rsidR="00747134" w:rsidRPr="00747134">
        <w:rPr>
          <w:lang w:val="en-GB"/>
        </w:rPr>
        <w:t>notamment</w:t>
      </w:r>
      <w:proofErr w:type="spellEnd"/>
      <w:r w:rsidR="00747134" w:rsidRPr="00747134">
        <w:rPr>
          <w:lang w:val="en-GB"/>
        </w:rPr>
        <w:t xml:space="preserve"> </w:t>
      </w:r>
      <w:r w:rsidR="00747134">
        <w:rPr>
          <w:lang w:val="en-GB"/>
        </w:rPr>
        <w:t xml:space="preserve">L. </w:t>
      </w:r>
      <w:r w:rsidR="00747134" w:rsidRPr="00747134">
        <w:rPr>
          <w:smallCaps/>
          <w:lang w:val="en-GB"/>
        </w:rPr>
        <w:t>Franken</w:t>
      </w:r>
      <w:r w:rsidR="00747134">
        <w:rPr>
          <w:lang w:val="en-GB"/>
        </w:rPr>
        <w:t xml:space="preserve"> et P. </w:t>
      </w:r>
      <w:proofErr w:type="spellStart"/>
      <w:r w:rsidR="00747134" w:rsidRPr="00747134">
        <w:rPr>
          <w:smallCaps/>
          <w:lang w:val="en-GB"/>
        </w:rPr>
        <w:t>Loobuyck</w:t>
      </w:r>
      <w:proofErr w:type="spellEnd"/>
      <w:r w:rsidR="00747134">
        <w:rPr>
          <w:lang w:val="en-GB"/>
        </w:rPr>
        <w:t xml:space="preserve">, </w:t>
      </w:r>
      <w:r w:rsidR="00747134" w:rsidRPr="00747134">
        <w:rPr>
          <w:lang w:val="en-GB"/>
        </w:rPr>
        <w:t>«</w:t>
      </w:r>
      <w:r w:rsidR="00747134">
        <w:rPr>
          <w:lang w:val="en-GB"/>
        </w:rPr>
        <w:t xml:space="preserve"> </w:t>
      </w:r>
      <w:r w:rsidR="00747134" w:rsidRPr="00747134">
        <w:rPr>
          <w:lang w:val="en-GB"/>
        </w:rPr>
        <w:t>The future of religious education on the Flemish school curriculum: a plea for integrative religious education for all</w:t>
      </w:r>
      <w:r w:rsidR="00747134">
        <w:rPr>
          <w:lang w:val="en-GB"/>
        </w:rPr>
        <w:t xml:space="preserve"> </w:t>
      </w:r>
      <w:r w:rsidR="00747134" w:rsidRPr="00747134">
        <w:rPr>
          <w:lang w:val="en-GB"/>
        </w:rPr>
        <w:t>»</w:t>
      </w:r>
      <w:r w:rsidR="00747134">
        <w:rPr>
          <w:lang w:val="en-GB"/>
        </w:rPr>
        <w:t xml:space="preserve">, </w:t>
      </w:r>
      <w:r w:rsidR="00FD3248" w:rsidRPr="00A105FA">
        <w:rPr>
          <w:i/>
          <w:iCs/>
          <w:lang w:val="en-GB"/>
        </w:rPr>
        <w:t>Religious Education</w:t>
      </w:r>
      <w:r w:rsidR="00FD3248" w:rsidRPr="00FD3248">
        <w:rPr>
          <w:lang w:val="en-GB"/>
        </w:rPr>
        <w:t xml:space="preserve">, </w:t>
      </w:r>
      <w:r w:rsidR="00B9012F">
        <w:rPr>
          <w:lang w:val="en-GB"/>
        </w:rPr>
        <w:t xml:space="preserve">2013, vol. </w:t>
      </w:r>
      <w:r w:rsidR="00FD3248" w:rsidRPr="00FD3248">
        <w:rPr>
          <w:lang w:val="en-GB"/>
        </w:rPr>
        <w:t>108</w:t>
      </w:r>
      <w:r w:rsidR="00B9012F">
        <w:rPr>
          <w:lang w:val="en-GB"/>
        </w:rPr>
        <w:t>, n°</w:t>
      </w:r>
      <w:r w:rsidR="00FD3248" w:rsidRPr="00FD3248">
        <w:rPr>
          <w:lang w:val="en-GB"/>
        </w:rPr>
        <w:t xml:space="preserve">5, </w:t>
      </w:r>
      <w:r w:rsidR="00B9012F">
        <w:rPr>
          <w:lang w:val="en-GB"/>
        </w:rPr>
        <w:t xml:space="preserve">pp. </w:t>
      </w:r>
      <w:r w:rsidR="00FD3248" w:rsidRPr="00FD3248">
        <w:rPr>
          <w:lang w:val="en-GB"/>
        </w:rPr>
        <w:t>482-498</w:t>
      </w:r>
      <w:r w:rsidR="009D3503">
        <w:rPr>
          <w:lang w:val="en-GB"/>
        </w:rPr>
        <w:t xml:space="preserve">. </w:t>
      </w:r>
      <w:r w:rsidR="009D3503" w:rsidRPr="00A105FA">
        <w:t xml:space="preserve">Sur </w:t>
      </w:r>
      <w:r w:rsidR="00A105FA" w:rsidRPr="00A105FA">
        <w:t xml:space="preserve">ce point, </w:t>
      </w:r>
      <w:proofErr w:type="spellStart"/>
      <w:r w:rsidR="00A105FA" w:rsidRPr="00A105FA">
        <w:t>voy</w:t>
      </w:r>
      <w:proofErr w:type="spellEnd"/>
      <w:r w:rsidR="00A105FA" w:rsidRPr="00A105FA">
        <w:t xml:space="preserve">. aussi X. </w:t>
      </w:r>
      <w:proofErr w:type="spellStart"/>
      <w:r w:rsidR="00A105FA" w:rsidRPr="00102EAB">
        <w:rPr>
          <w:smallCaps/>
        </w:rPr>
        <w:t>Delgrange</w:t>
      </w:r>
      <w:proofErr w:type="spellEnd"/>
      <w:r w:rsidR="00A105FA" w:rsidRPr="00A105FA">
        <w:t>, « L’enchâssement du cours de</w:t>
      </w:r>
      <w:r w:rsidR="00A105FA">
        <w:t xml:space="preserve"> </w:t>
      </w:r>
      <w:r w:rsidR="00A105FA" w:rsidRPr="00A105FA">
        <w:t>religion dans la Constitution.</w:t>
      </w:r>
      <w:r w:rsidR="00A105FA">
        <w:t xml:space="preserve"> </w:t>
      </w:r>
      <w:r w:rsidR="00A105FA" w:rsidRPr="00A105FA">
        <w:t>Une nouvelle version de la fable</w:t>
      </w:r>
      <w:r w:rsidR="00A105FA">
        <w:t xml:space="preserve"> </w:t>
      </w:r>
      <w:r w:rsidR="00A105FA" w:rsidRPr="00A105FA">
        <w:t>du chêne et du roseau »,</w:t>
      </w:r>
      <w:r w:rsidR="00A105FA">
        <w:t xml:space="preserve"> </w:t>
      </w:r>
      <w:proofErr w:type="spellStart"/>
      <w:r w:rsidR="00102EAB" w:rsidRPr="00102EAB">
        <w:rPr>
          <w:i/>
          <w:iCs/>
        </w:rPr>
        <w:t>Tijdschrift</w:t>
      </w:r>
      <w:proofErr w:type="spellEnd"/>
      <w:r w:rsidR="00102EAB" w:rsidRPr="00102EAB">
        <w:rPr>
          <w:i/>
          <w:iCs/>
        </w:rPr>
        <w:t xml:space="preserve"> </w:t>
      </w:r>
      <w:proofErr w:type="spellStart"/>
      <w:r w:rsidR="00102EAB" w:rsidRPr="00102EAB">
        <w:rPr>
          <w:i/>
          <w:iCs/>
        </w:rPr>
        <w:t>voor</w:t>
      </w:r>
      <w:proofErr w:type="spellEnd"/>
      <w:r w:rsidR="00102EAB" w:rsidRPr="00102EAB">
        <w:rPr>
          <w:i/>
          <w:iCs/>
        </w:rPr>
        <w:t xml:space="preserve"> </w:t>
      </w:r>
      <w:proofErr w:type="spellStart"/>
      <w:r w:rsidR="00102EAB" w:rsidRPr="00102EAB">
        <w:rPr>
          <w:i/>
          <w:iCs/>
        </w:rPr>
        <w:t>Onderwijsrecht</w:t>
      </w:r>
      <w:proofErr w:type="spellEnd"/>
      <w:r w:rsidR="00102EAB" w:rsidRPr="00102EAB">
        <w:rPr>
          <w:i/>
          <w:iCs/>
        </w:rPr>
        <w:t xml:space="preserve"> en </w:t>
      </w:r>
      <w:proofErr w:type="spellStart"/>
      <w:r w:rsidR="00102EAB" w:rsidRPr="00102EAB">
        <w:rPr>
          <w:i/>
          <w:iCs/>
        </w:rPr>
        <w:t>Onderwijsbeleid</w:t>
      </w:r>
      <w:proofErr w:type="spellEnd"/>
      <w:r w:rsidR="00102EAB" w:rsidRPr="00102EAB">
        <w:rPr>
          <w:i/>
          <w:iCs/>
        </w:rPr>
        <w:t>,</w:t>
      </w:r>
      <w:r w:rsidR="00102EAB">
        <w:t xml:space="preserve"> 2018-2019, n° 4-5, pp. 341-349.</w:t>
      </w:r>
    </w:p>
  </w:footnote>
  <w:footnote w:id="17">
    <w:p w14:paraId="78C1C386" w14:textId="6ACD1FF2" w:rsidR="00896E76" w:rsidRPr="00804066" w:rsidRDefault="00896E76" w:rsidP="001E35E0">
      <w:pPr>
        <w:pStyle w:val="Notedebasdepage"/>
        <w:spacing w:after="0" w:line="240" w:lineRule="auto"/>
      </w:pPr>
      <w:r>
        <w:rPr>
          <w:rStyle w:val="Appelnotedebasdep"/>
        </w:rPr>
        <w:footnoteRef/>
      </w:r>
      <w:r>
        <w:t xml:space="preserve"> </w:t>
      </w:r>
      <w:proofErr w:type="spellStart"/>
      <w:r>
        <w:t>Voy</w:t>
      </w:r>
      <w:proofErr w:type="spellEnd"/>
      <w:r>
        <w:t xml:space="preserve">. à cet égard </w:t>
      </w:r>
      <w:r w:rsidR="0060220E" w:rsidRPr="0060220E">
        <w:t>CourEDH</w:t>
      </w:r>
      <w:r w:rsidR="00804066">
        <w:t xml:space="preserve">, </w:t>
      </w:r>
      <w:r w:rsidR="00263E5B">
        <w:t xml:space="preserve">arrêt </w:t>
      </w:r>
      <w:r w:rsidR="00804066">
        <w:rPr>
          <w:i/>
          <w:iCs/>
        </w:rPr>
        <w:t>Assemblée chrétienne des Témoins de Jéhovah d’Anderlecht e.a. c. Belgique</w:t>
      </w:r>
      <w:r w:rsidR="00804066">
        <w:t xml:space="preserve">, </w:t>
      </w:r>
      <w:r w:rsidR="003A2A96">
        <w:t xml:space="preserve">5 avril 2022, </w:t>
      </w:r>
      <w:proofErr w:type="spellStart"/>
      <w:r w:rsidR="00263E5B">
        <w:t>req</w:t>
      </w:r>
      <w:proofErr w:type="spellEnd"/>
      <w:r w:rsidR="00263E5B">
        <w:t>. n° 20165/20</w:t>
      </w:r>
      <w:r w:rsidR="00170070">
        <w:t xml:space="preserve"> : est considérée </w:t>
      </w:r>
      <w:r w:rsidR="0003345A">
        <w:t xml:space="preserve">comme contraire à l’article </w:t>
      </w:r>
      <w:r w:rsidR="009C6CCB">
        <w:t>14</w:t>
      </w:r>
      <w:r w:rsidR="0003345A">
        <w:t xml:space="preserve"> de la CEDH</w:t>
      </w:r>
      <w:r w:rsidR="009C6CCB">
        <w:t xml:space="preserve">, lu en combinaison avec l’article 9 et </w:t>
      </w:r>
      <w:r w:rsidR="00170070" w:rsidRPr="00170070">
        <w:t>l’article 1 du Protocole n</w:t>
      </w:r>
      <w:r w:rsidR="00170070">
        <w:t>°</w:t>
      </w:r>
      <w:r w:rsidR="00170070" w:rsidRPr="00170070">
        <w:t xml:space="preserve"> 1 à la Convention</w:t>
      </w:r>
      <w:r w:rsidR="00FC0B8F">
        <w:t>, l</w:t>
      </w:r>
      <w:r w:rsidR="00A572AF">
        <w:t>a</w:t>
      </w:r>
      <w:r w:rsidR="00FC0B8F">
        <w:t xml:space="preserve"> </w:t>
      </w:r>
      <w:r w:rsidR="00037E92">
        <w:t xml:space="preserve">mise en œuvre de la </w:t>
      </w:r>
      <w:r w:rsidR="00FC0B8F">
        <w:t>procédure de reconnaissance des cultes en Belgique</w:t>
      </w:r>
      <w:r w:rsidR="00A572AF">
        <w:t xml:space="preserve">, ayant en l’espèce conduit </w:t>
      </w:r>
      <w:r w:rsidR="00452E1F">
        <w:t xml:space="preserve">au refus d’octroi d’une exonération fiscale pour </w:t>
      </w:r>
      <w:r w:rsidR="00452E1F" w:rsidRPr="00452E1F">
        <w:t>neuf communautés bruxelloises des Témoins de Jéhovah</w:t>
      </w:r>
      <w:r w:rsidR="00FC0B8F">
        <w:t>.</w:t>
      </w:r>
      <w:r w:rsidR="0093744E">
        <w:t xml:space="preserve"> </w:t>
      </w:r>
      <w:r w:rsidR="00A55AD5">
        <w:t xml:space="preserve">Si les juges de Strasbourg pointent </w:t>
      </w:r>
      <w:r w:rsidR="00FB1CDC">
        <w:t xml:space="preserve">effectivement </w:t>
      </w:r>
      <w:r w:rsidR="00A55AD5">
        <w:t xml:space="preserve">le manque de transparence et de prévisibilité du système belge de reconnaissance </w:t>
      </w:r>
      <w:r w:rsidR="00FB1CDC">
        <w:t>des organisations cultuelles et philosophiques, certains</w:t>
      </w:r>
      <w:r w:rsidR="00037E92">
        <w:t xml:space="preserve"> </w:t>
      </w:r>
      <w:r w:rsidR="00FB1CDC">
        <w:t xml:space="preserve">ont </w:t>
      </w:r>
      <w:r w:rsidR="006F6414">
        <w:t xml:space="preserve">en ont </w:t>
      </w:r>
      <w:r w:rsidR="00CA1D0D">
        <w:t xml:space="preserve">erronément déduit </w:t>
      </w:r>
      <w:r w:rsidR="003A7A29">
        <w:t>la remise en question globale, par la CourEDH, du régime belg</w:t>
      </w:r>
      <w:r w:rsidR="00BD6745">
        <w:t xml:space="preserve">e de reconnaissance et de financement publics des </w:t>
      </w:r>
      <w:r w:rsidR="00936897">
        <w:t>cultes</w:t>
      </w:r>
      <w:r w:rsidR="00BD6745">
        <w:t>.</w:t>
      </w:r>
      <w:r w:rsidR="00936897">
        <w:t xml:space="preserve"> </w:t>
      </w:r>
      <w:r w:rsidR="00DD060C">
        <w:t>À ce propos</w:t>
      </w:r>
      <w:r w:rsidR="00936897">
        <w:t xml:space="preserve">, </w:t>
      </w:r>
      <w:proofErr w:type="spellStart"/>
      <w:r w:rsidR="00936897">
        <w:t>voy</w:t>
      </w:r>
      <w:proofErr w:type="spellEnd"/>
      <w:r w:rsidR="00936897">
        <w:t xml:space="preserve">. </w:t>
      </w:r>
      <w:proofErr w:type="spellStart"/>
      <w:r w:rsidR="00936897">
        <w:t>L.-L</w:t>
      </w:r>
      <w:proofErr w:type="spellEnd"/>
      <w:r w:rsidR="00936897">
        <w:t xml:space="preserve">. </w:t>
      </w:r>
      <w:r w:rsidR="00936897" w:rsidRPr="00936897">
        <w:rPr>
          <w:smallCaps/>
        </w:rPr>
        <w:t>Christians</w:t>
      </w:r>
      <w:r w:rsidR="00936897">
        <w:t>, « </w:t>
      </w:r>
      <w:r w:rsidR="008C097F" w:rsidRPr="008C097F">
        <w:t>Le régime belge des cultes reconnus : pas de problème en soi pour Strasbourg, mais…</w:t>
      </w:r>
      <w:r w:rsidR="00037E92">
        <w:t xml:space="preserve"> </w:t>
      </w:r>
      <w:r w:rsidR="008C097F" w:rsidRPr="008C097F">
        <w:t>où est la procédure de reconnaissance fédérale</w:t>
      </w:r>
      <w:r w:rsidR="00037E92">
        <w:t xml:space="preserve"> </w:t>
      </w:r>
      <w:r w:rsidR="008C097F" w:rsidRPr="008C097F">
        <w:t>?</w:t>
      </w:r>
      <w:r w:rsidR="008C097F">
        <w:t xml:space="preserve"> », </w:t>
      </w:r>
      <w:r w:rsidR="008C097F">
        <w:rPr>
          <w:i/>
          <w:iCs/>
        </w:rPr>
        <w:t>Observatoire juridique du fait religieux en Belgique</w:t>
      </w:r>
      <w:r w:rsidR="008C097F">
        <w:t>,</w:t>
      </w:r>
      <w:r w:rsidR="008C097F" w:rsidRPr="008C097F">
        <w:t xml:space="preserve"> 28 avril</w:t>
      </w:r>
      <w:r w:rsidR="008C097F">
        <w:t xml:space="preserve"> 2022, </w:t>
      </w:r>
      <w:r w:rsidR="003460F5">
        <w:t xml:space="preserve">disponible sur </w:t>
      </w:r>
      <w:hyperlink r:id="rId3" w:history="1">
        <w:r w:rsidR="003460F5" w:rsidRPr="00E24C34">
          <w:rPr>
            <w:rStyle w:val="Lienhypertexte"/>
          </w:rPr>
          <w:t>www.belgianlawreligion.unblog.fr</w:t>
        </w:r>
      </w:hyperlink>
      <w:r w:rsidR="008C097F">
        <w:t xml:space="preserve">. </w:t>
      </w:r>
    </w:p>
  </w:footnote>
  <w:footnote w:id="18">
    <w:p w14:paraId="0EE7614E" w14:textId="685DEE5C" w:rsidR="000B04FA" w:rsidRPr="006E3F4B" w:rsidRDefault="000B04FA" w:rsidP="001E35E0">
      <w:pPr>
        <w:pStyle w:val="Notedebasdepage"/>
        <w:spacing w:after="0" w:line="240" w:lineRule="auto"/>
        <w:rPr>
          <w:rFonts w:cs="Times New Roman"/>
          <w:i/>
          <w:iCs/>
        </w:rPr>
      </w:pPr>
      <w:r w:rsidRPr="00822D05">
        <w:rPr>
          <w:rStyle w:val="Appelnotedebasdep"/>
          <w:rFonts w:cs="Times New Roman"/>
        </w:rPr>
        <w:footnoteRef/>
      </w:r>
      <w:r w:rsidRPr="00822D05">
        <w:rPr>
          <w:rFonts w:cs="Times New Roman"/>
        </w:rPr>
        <w:t xml:space="preserve"> C. </w:t>
      </w:r>
      <w:proofErr w:type="spellStart"/>
      <w:r w:rsidRPr="00822D05">
        <w:rPr>
          <w:rFonts w:cs="Times New Roman"/>
        </w:rPr>
        <w:t>Const</w:t>
      </w:r>
      <w:proofErr w:type="spellEnd"/>
      <w:r w:rsidRPr="00822D05">
        <w:rPr>
          <w:rFonts w:cs="Times New Roman"/>
        </w:rPr>
        <w:t xml:space="preserve">., 4 juin 2020, </w:t>
      </w:r>
      <w:proofErr w:type="spellStart"/>
      <w:r w:rsidRPr="00822D05">
        <w:rPr>
          <w:rFonts w:cs="Times New Roman"/>
        </w:rPr>
        <w:t>R.G</w:t>
      </w:r>
      <w:proofErr w:type="spellEnd"/>
      <w:r w:rsidRPr="00822D05">
        <w:rPr>
          <w:rFonts w:cs="Times New Roman"/>
        </w:rPr>
        <w:t>. n° 81/2020.</w:t>
      </w:r>
      <w:r>
        <w:rPr>
          <w:rFonts w:cs="Times New Roman"/>
        </w:rPr>
        <w:t xml:space="preserve"> Sur cet arrêt, </w:t>
      </w:r>
      <w:proofErr w:type="spellStart"/>
      <w:r>
        <w:rPr>
          <w:rFonts w:cs="Times New Roman"/>
        </w:rPr>
        <w:t>voy</w:t>
      </w:r>
      <w:proofErr w:type="spellEnd"/>
      <w:r>
        <w:rPr>
          <w:rFonts w:cs="Times New Roman"/>
        </w:rPr>
        <w:t xml:space="preserve">. plus largement S. </w:t>
      </w:r>
      <w:r w:rsidRPr="006E3F4B">
        <w:rPr>
          <w:rFonts w:cs="Times New Roman"/>
          <w:smallCaps/>
        </w:rPr>
        <w:t>Wattier</w:t>
      </w:r>
      <w:r>
        <w:rPr>
          <w:rFonts w:cs="Times New Roman"/>
        </w:rPr>
        <w:t xml:space="preserve"> et L. </w:t>
      </w:r>
      <w:r w:rsidRPr="006E3F4B">
        <w:rPr>
          <w:rFonts w:cs="Times New Roman"/>
          <w:smallCaps/>
        </w:rPr>
        <w:t>Vanbellingen</w:t>
      </w:r>
      <w:r>
        <w:rPr>
          <w:rFonts w:cs="Times New Roman"/>
        </w:rPr>
        <w:t>, « </w:t>
      </w:r>
      <w:r w:rsidRPr="006E3F4B">
        <w:rPr>
          <w:rFonts w:cs="Times New Roman"/>
        </w:rPr>
        <w:t>L’arrêt n° 81/2020 de la</w:t>
      </w:r>
      <w:r>
        <w:rPr>
          <w:rFonts w:cs="Times New Roman"/>
        </w:rPr>
        <w:t xml:space="preserve"> </w:t>
      </w:r>
      <w:r w:rsidRPr="006E3F4B">
        <w:rPr>
          <w:rFonts w:cs="Times New Roman"/>
        </w:rPr>
        <w:t>Cour constitutionnelle :</w:t>
      </w:r>
      <w:r>
        <w:rPr>
          <w:rFonts w:cs="Times New Roman"/>
        </w:rPr>
        <w:t xml:space="preserve"> </w:t>
      </w:r>
      <w:r w:rsidRPr="006E3F4B">
        <w:rPr>
          <w:rFonts w:cs="Times New Roman"/>
        </w:rPr>
        <w:t>de la neutralité pluraliste à</w:t>
      </w:r>
      <w:r>
        <w:rPr>
          <w:rFonts w:cs="Times New Roman"/>
        </w:rPr>
        <w:t xml:space="preserve"> </w:t>
      </w:r>
      <w:r w:rsidRPr="006E3F4B">
        <w:rPr>
          <w:rFonts w:cs="Times New Roman"/>
        </w:rPr>
        <w:t>la pluralité des formes de</w:t>
      </w:r>
      <w:r>
        <w:rPr>
          <w:rFonts w:cs="Times New Roman"/>
        </w:rPr>
        <w:t xml:space="preserve"> </w:t>
      </w:r>
      <w:r w:rsidRPr="006E3F4B">
        <w:rPr>
          <w:rFonts w:cs="Times New Roman"/>
        </w:rPr>
        <w:t>neutralité</w:t>
      </w:r>
      <w:r w:rsidR="00123055">
        <w:rPr>
          <w:rFonts w:cs="Times New Roman"/>
        </w:rPr>
        <w:t> </w:t>
      </w:r>
      <w:r w:rsidRPr="006E3F4B">
        <w:rPr>
          <w:rFonts w:cs="Times New Roman"/>
        </w:rPr>
        <w:t>?</w:t>
      </w:r>
      <w:r>
        <w:rPr>
          <w:rFonts w:cs="Times New Roman"/>
        </w:rPr>
        <w:t xml:space="preserve"> », </w:t>
      </w:r>
      <w:proofErr w:type="spellStart"/>
      <w:r w:rsidRPr="00102EAB">
        <w:rPr>
          <w:i/>
          <w:iCs/>
        </w:rPr>
        <w:t>Tijdschrift</w:t>
      </w:r>
      <w:proofErr w:type="spellEnd"/>
      <w:r w:rsidRPr="00102EAB">
        <w:rPr>
          <w:i/>
          <w:iCs/>
        </w:rPr>
        <w:t xml:space="preserve"> </w:t>
      </w:r>
      <w:proofErr w:type="spellStart"/>
      <w:r w:rsidRPr="00102EAB">
        <w:rPr>
          <w:i/>
          <w:iCs/>
        </w:rPr>
        <w:t>voor</w:t>
      </w:r>
      <w:proofErr w:type="spellEnd"/>
      <w:r w:rsidRPr="00102EAB">
        <w:rPr>
          <w:i/>
          <w:iCs/>
        </w:rPr>
        <w:t xml:space="preserve"> </w:t>
      </w:r>
      <w:proofErr w:type="spellStart"/>
      <w:r w:rsidRPr="00102EAB">
        <w:rPr>
          <w:i/>
          <w:iCs/>
        </w:rPr>
        <w:t>Onderwijsrecht</w:t>
      </w:r>
      <w:proofErr w:type="spellEnd"/>
      <w:r w:rsidRPr="00102EAB">
        <w:rPr>
          <w:i/>
          <w:iCs/>
        </w:rPr>
        <w:t xml:space="preserve"> en </w:t>
      </w:r>
      <w:proofErr w:type="spellStart"/>
      <w:r w:rsidRPr="00102EAB">
        <w:rPr>
          <w:i/>
          <w:iCs/>
        </w:rPr>
        <w:t>Onderwijsbeleid</w:t>
      </w:r>
      <w:proofErr w:type="spellEnd"/>
      <w:r w:rsidRPr="00102EAB">
        <w:rPr>
          <w:i/>
          <w:iCs/>
        </w:rPr>
        <w:t>,</w:t>
      </w:r>
      <w:r>
        <w:t xml:space="preserve"> 2020-2021, n°4, pp. 333-340.</w:t>
      </w:r>
    </w:p>
  </w:footnote>
  <w:footnote w:id="19">
    <w:p w14:paraId="03E0856B" w14:textId="06888115" w:rsidR="006275C9" w:rsidRPr="00B63EDE" w:rsidRDefault="006275C9" w:rsidP="001E35E0">
      <w:pPr>
        <w:pStyle w:val="Notedebasdepage"/>
        <w:spacing w:after="0" w:line="240" w:lineRule="auto"/>
        <w:rPr>
          <w:rFonts w:cs="Times New Roman"/>
        </w:rPr>
      </w:pPr>
      <w:r w:rsidRPr="00B63EDE">
        <w:rPr>
          <w:rStyle w:val="Appelnotedebasdep"/>
          <w:rFonts w:cs="Times New Roman"/>
        </w:rPr>
        <w:footnoteRef/>
      </w:r>
      <w:r w:rsidRPr="00B63EDE">
        <w:rPr>
          <w:rFonts w:cs="Times New Roman"/>
        </w:rPr>
        <w:t xml:space="preserve"> La Cour constitutionnelle n’est en effet pas compétente pour valider en l’espèce l’interdiction formulée au sein de la haute école, mais bien pour apprécier l’admissibilité d’une telle interprétation du décret sur lequel est fondée l’interdiction. Dans le jugement faisant suite à cet arrêt</w:t>
      </w:r>
      <w:r>
        <w:rPr>
          <w:rFonts w:cs="Times New Roman"/>
        </w:rPr>
        <w:t xml:space="preserve"> (Trib. Bruxelles, 24 novembre 2021, disponible sur www.unia.be)</w:t>
      </w:r>
      <w:r w:rsidRPr="00B63EDE">
        <w:rPr>
          <w:rFonts w:cs="Times New Roman"/>
        </w:rPr>
        <w:t xml:space="preserve">, le </w:t>
      </w:r>
      <w:r w:rsidR="003D3EEE">
        <w:rPr>
          <w:rFonts w:cs="Times New Roman"/>
        </w:rPr>
        <w:t>t</w:t>
      </w:r>
      <w:r w:rsidRPr="00B63EDE">
        <w:rPr>
          <w:rFonts w:cs="Times New Roman"/>
        </w:rPr>
        <w:t xml:space="preserve">ribunal conclut toutefois à l’existence d’une discrimination indirecte, considérant que l’autorité en question – la Ville de Bruxelles – n’était pas compétente pour formuler une telle interdiction et qu’était ainsi violé le principe de légalité de l’atteinte aux droits fondamentaux. Notons qu’en l’absence d’appel interjeté par la Ville de Bruxelles, plusieurs dizaines de professeurs de la haute école concernée ont introduit une tierce opposition contre le jugement du </w:t>
      </w:r>
      <w:r w:rsidR="003D3EEE">
        <w:rPr>
          <w:rFonts w:cs="Times New Roman"/>
        </w:rPr>
        <w:t>t</w:t>
      </w:r>
      <w:r w:rsidRPr="00B63EDE">
        <w:rPr>
          <w:rFonts w:cs="Times New Roman"/>
        </w:rPr>
        <w:t>ribunal.</w:t>
      </w:r>
    </w:p>
  </w:footnote>
  <w:footnote w:id="20">
    <w:p w14:paraId="576B01F5" w14:textId="5F72695E" w:rsidR="006275C9" w:rsidRPr="00822D05" w:rsidRDefault="006275C9" w:rsidP="001E35E0">
      <w:pPr>
        <w:pStyle w:val="Notedebasdepage"/>
        <w:spacing w:after="0" w:line="240" w:lineRule="auto"/>
        <w:rPr>
          <w:rFonts w:cs="Times New Roman"/>
        </w:rPr>
      </w:pPr>
      <w:r w:rsidRPr="00822D05">
        <w:rPr>
          <w:rStyle w:val="Appelnotedebasdep"/>
          <w:rFonts w:cs="Times New Roman"/>
        </w:rPr>
        <w:footnoteRef/>
      </w:r>
      <w:r w:rsidRPr="00822D05">
        <w:rPr>
          <w:rFonts w:cs="Times New Roman"/>
        </w:rPr>
        <w:t xml:space="preserve"> </w:t>
      </w:r>
      <w:r w:rsidRPr="00822D05">
        <w:rPr>
          <w:rFonts w:cs="Times New Roman"/>
          <w:i/>
          <w:iCs/>
        </w:rPr>
        <w:t>Ibid</w:t>
      </w:r>
      <w:r w:rsidRPr="00822D05">
        <w:rPr>
          <w:rFonts w:cs="Times New Roman"/>
        </w:rPr>
        <w:t xml:space="preserve">., </w:t>
      </w:r>
      <w:r w:rsidR="00FE3C70">
        <w:rPr>
          <w:rFonts w:cs="Times New Roman"/>
        </w:rPr>
        <w:t>§§</w:t>
      </w:r>
      <w:r w:rsidRPr="00822D05">
        <w:rPr>
          <w:rFonts w:cs="Times New Roman"/>
        </w:rPr>
        <w:t xml:space="preserve"> B.17.3 et B.18.1.</w:t>
      </w:r>
    </w:p>
  </w:footnote>
  <w:footnote w:id="21">
    <w:p w14:paraId="3F36F4A9" w14:textId="77777777" w:rsidR="006275C9" w:rsidRPr="00822D05" w:rsidRDefault="006275C9" w:rsidP="001E35E0">
      <w:pPr>
        <w:pStyle w:val="Notedebasdepage"/>
        <w:spacing w:after="0" w:line="240" w:lineRule="auto"/>
        <w:rPr>
          <w:rFonts w:cs="Times New Roman"/>
        </w:rPr>
      </w:pPr>
      <w:r w:rsidRPr="00822D05">
        <w:rPr>
          <w:rStyle w:val="Appelnotedebasdep"/>
          <w:rFonts w:cs="Times New Roman"/>
        </w:rPr>
        <w:footnoteRef/>
      </w:r>
      <w:r w:rsidRPr="00822D05">
        <w:rPr>
          <w:rFonts w:cs="Times New Roman"/>
        </w:rPr>
        <w:t xml:space="preserve"> Décret de la Communauté française du 31 mars 1994 définissant la neutralité de l'enseignement de la Communauté, </w:t>
      </w:r>
      <w:proofErr w:type="spellStart"/>
      <w:r w:rsidRPr="00822D05">
        <w:rPr>
          <w:rFonts w:cs="Times New Roman"/>
          <w:i/>
          <w:iCs/>
        </w:rPr>
        <w:t>M.B</w:t>
      </w:r>
      <w:proofErr w:type="spellEnd"/>
      <w:r w:rsidRPr="00822D05">
        <w:rPr>
          <w:rFonts w:cs="Times New Roman"/>
          <w:i/>
          <w:iCs/>
        </w:rPr>
        <w:t>.</w:t>
      </w:r>
      <w:r w:rsidRPr="00822D05">
        <w:rPr>
          <w:rFonts w:cs="Times New Roman"/>
        </w:rPr>
        <w:t>, 18 juin 1994.</w:t>
      </w:r>
    </w:p>
  </w:footnote>
  <w:footnote w:id="22">
    <w:p w14:paraId="3A54DD5F" w14:textId="47704403" w:rsidR="006275C9" w:rsidRPr="00822D05" w:rsidRDefault="006275C9" w:rsidP="001E35E0">
      <w:pPr>
        <w:pStyle w:val="Notedebasdepage"/>
        <w:spacing w:after="0" w:line="240" w:lineRule="auto"/>
        <w:rPr>
          <w:rFonts w:cs="Times New Roman"/>
        </w:rPr>
      </w:pPr>
      <w:r w:rsidRPr="00822D05">
        <w:rPr>
          <w:rStyle w:val="Appelnotedebasdep"/>
          <w:rFonts w:cs="Times New Roman"/>
        </w:rPr>
        <w:footnoteRef/>
      </w:r>
      <w:r w:rsidRPr="00822D05">
        <w:rPr>
          <w:rFonts w:cs="Times New Roman"/>
        </w:rPr>
        <w:t xml:space="preserve"> C. </w:t>
      </w:r>
      <w:proofErr w:type="spellStart"/>
      <w:r w:rsidRPr="00822D05">
        <w:rPr>
          <w:rFonts w:cs="Times New Roman"/>
        </w:rPr>
        <w:t>Const</w:t>
      </w:r>
      <w:proofErr w:type="spellEnd"/>
      <w:r w:rsidRPr="00822D05">
        <w:rPr>
          <w:rFonts w:cs="Times New Roman"/>
        </w:rPr>
        <w:t xml:space="preserve">., 4 juin 2020, </w:t>
      </w:r>
      <w:proofErr w:type="spellStart"/>
      <w:r w:rsidRPr="00822D05">
        <w:rPr>
          <w:rFonts w:cs="Times New Roman"/>
        </w:rPr>
        <w:t>R.G</w:t>
      </w:r>
      <w:proofErr w:type="spellEnd"/>
      <w:r w:rsidRPr="00822D05">
        <w:rPr>
          <w:rFonts w:cs="Times New Roman"/>
        </w:rPr>
        <w:t xml:space="preserve">. n° 81/2020, </w:t>
      </w:r>
      <w:r w:rsidR="00FE3C70">
        <w:rPr>
          <w:rFonts w:cs="Times New Roman"/>
        </w:rPr>
        <w:t>§</w:t>
      </w:r>
      <w:r w:rsidRPr="00822D05">
        <w:rPr>
          <w:rFonts w:cs="Times New Roman"/>
        </w:rPr>
        <w:t xml:space="preserve"> B.18.1.</w:t>
      </w:r>
    </w:p>
  </w:footnote>
  <w:footnote w:id="23">
    <w:p w14:paraId="64BD6784" w14:textId="768B5D0A" w:rsidR="006275C9" w:rsidRPr="00822D05" w:rsidRDefault="006275C9" w:rsidP="001E35E0">
      <w:pPr>
        <w:pStyle w:val="Notedebasdepage"/>
        <w:spacing w:after="0" w:line="240" w:lineRule="auto"/>
        <w:rPr>
          <w:rFonts w:cs="Times New Roman"/>
        </w:rPr>
      </w:pPr>
      <w:r w:rsidRPr="00822D05">
        <w:rPr>
          <w:rStyle w:val="Appelnotedebasdep"/>
          <w:rFonts w:cs="Times New Roman"/>
        </w:rPr>
        <w:footnoteRef/>
      </w:r>
      <w:r w:rsidRPr="00822D05">
        <w:rPr>
          <w:rFonts w:cs="Times New Roman"/>
        </w:rPr>
        <w:t xml:space="preserve"> </w:t>
      </w:r>
      <w:r w:rsidRPr="00822D05">
        <w:rPr>
          <w:rFonts w:cs="Times New Roman"/>
          <w:i/>
          <w:iCs/>
        </w:rPr>
        <w:t>Ibid.</w:t>
      </w:r>
      <w:r w:rsidRPr="00822D05">
        <w:rPr>
          <w:rFonts w:cs="Times New Roman"/>
        </w:rPr>
        <w:t xml:space="preserve">, </w:t>
      </w:r>
      <w:r w:rsidR="00FE3C70">
        <w:rPr>
          <w:rFonts w:cs="Times New Roman"/>
        </w:rPr>
        <w:t>§</w:t>
      </w:r>
      <w:r w:rsidRPr="00822D05">
        <w:rPr>
          <w:rFonts w:cs="Times New Roman"/>
        </w:rPr>
        <w:t xml:space="preserve"> B.17.2.</w:t>
      </w:r>
    </w:p>
  </w:footnote>
  <w:footnote w:id="24">
    <w:p w14:paraId="51392345" w14:textId="77777777" w:rsidR="006275C9" w:rsidRPr="00822D05" w:rsidRDefault="006275C9" w:rsidP="001E35E0">
      <w:pPr>
        <w:pStyle w:val="Notedebasdepage"/>
        <w:spacing w:after="0" w:line="240" w:lineRule="auto"/>
        <w:rPr>
          <w:rFonts w:cs="Times New Roman"/>
        </w:rPr>
      </w:pPr>
      <w:r w:rsidRPr="00822D05">
        <w:rPr>
          <w:rStyle w:val="Appelnotedebasdep"/>
          <w:rFonts w:cs="Times New Roman"/>
        </w:rPr>
        <w:footnoteRef/>
      </w:r>
      <w:r w:rsidRPr="00822D05">
        <w:rPr>
          <w:rFonts w:cs="Times New Roman"/>
        </w:rPr>
        <w:t xml:space="preserve"> En ce sens, </w:t>
      </w:r>
      <w:proofErr w:type="spellStart"/>
      <w:r w:rsidRPr="00822D05">
        <w:rPr>
          <w:rFonts w:cs="Times New Roman"/>
        </w:rPr>
        <w:t>voy</w:t>
      </w:r>
      <w:proofErr w:type="spellEnd"/>
      <w:r w:rsidRPr="00822D05">
        <w:rPr>
          <w:rFonts w:cs="Times New Roman"/>
        </w:rPr>
        <w:t xml:space="preserve">. </w:t>
      </w:r>
      <w:proofErr w:type="spellStart"/>
      <w:r w:rsidRPr="00822D05">
        <w:rPr>
          <w:rFonts w:cs="Times New Roman"/>
        </w:rPr>
        <w:t>C.E</w:t>
      </w:r>
      <w:proofErr w:type="spellEnd"/>
      <w:r w:rsidRPr="00822D05">
        <w:rPr>
          <w:rFonts w:cs="Times New Roman"/>
        </w:rPr>
        <w:t xml:space="preserve">., avis n° 44.521/AG du 20 mai 2008 sur une proposition de loi visant à appliquer la séparation de l’État et des organisations et communautés religieuses et philosophiques non confessionnelles, </w:t>
      </w:r>
      <w:r w:rsidRPr="00822D05">
        <w:rPr>
          <w:rFonts w:cs="Times New Roman"/>
          <w:i/>
          <w:iCs/>
        </w:rPr>
        <w:t xml:space="preserve">Doc. </w:t>
      </w:r>
      <w:proofErr w:type="spellStart"/>
      <w:r w:rsidRPr="00822D05">
        <w:rPr>
          <w:rFonts w:cs="Times New Roman"/>
          <w:i/>
          <w:iCs/>
        </w:rPr>
        <w:t>parl</w:t>
      </w:r>
      <w:proofErr w:type="spellEnd"/>
      <w:r w:rsidRPr="00822D05">
        <w:rPr>
          <w:rFonts w:cs="Times New Roman"/>
        </w:rPr>
        <w:t>., Sénat, 4-351/2, p. 9-11</w:t>
      </w:r>
    </w:p>
  </w:footnote>
  <w:footnote w:id="25">
    <w:p w14:paraId="180AF29F" w14:textId="273B446A" w:rsidR="006275C9" w:rsidRPr="00822D05" w:rsidRDefault="006275C9" w:rsidP="001E35E0">
      <w:pPr>
        <w:pStyle w:val="Notedebasdepage"/>
        <w:spacing w:after="0" w:line="240" w:lineRule="auto"/>
        <w:rPr>
          <w:rFonts w:cs="Times New Roman"/>
        </w:rPr>
      </w:pPr>
      <w:r w:rsidRPr="00822D05">
        <w:rPr>
          <w:rStyle w:val="Appelnotedebasdep"/>
          <w:rFonts w:cs="Times New Roman"/>
        </w:rPr>
        <w:footnoteRef/>
      </w:r>
      <w:r w:rsidRPr="00822D05">
        <w:rPr>
          <w:rFonts w:cs="Times New Roman"/>
        </w:rPr>
        <w:t xml:space="preserve"> </w:t>
      </w:r>
      <w:r w:rsidRPr="00822D05">
        <w:rPr>
          <w:rFonts w:cs="Times New Roman"/>
          <w:i/>
          <w:iCs/>
        </w:rPr>
        <w:t>Ibid</w:t>
      </w:r>
      <w:r w:rsidRPr="00822D05">
        <w:rPr>
          <w:rFonts w:cs="Times New Roman"/>
        </w:rPr>
        <w:t xml:space="preserve">., </w:t>
      </w:r>
      <w:r w:rsidR="00FE3C70">
        <w:rPr>
          <w:rFonts w:cs="Times New Roman"/>
        </w:rPr>
        <w:t>§</w:t>
      </w:r>
      <w:r w:rsidRPr="00822D05">
        <w:rPr>
          <w:rFonts w:cs="Times New Roman"/>
        </w:rPr>
        <w:t xml:space="preserve"> B.24.2.</w:t>
      </w:r>
    </w:p>
  </w:footnote>
  <w:footnote w:id="26">
    <w:p w14:paraId="770A8E75" w14:textId="77777777" w:rsidR="006275C9" w:rsidRPr="00822D05" w:rsidRDefault="006275C9" w:rsidP="001E35E0">
      <w:pPr>
        <w:pStyle w:val="Notedebasdepage"/>
        <w:spacing w:after="0" w:line="240" w:lineRule="auto"/>
        <w:rPr>
          <w:rFonts w:cs="Times New Roman"/>
        </w:rPr>
      </w:pPr>
      <w:r w:rsidRPr="00822D05">
        <w:rPr>
          <w:rStyle w:val="Appelnotedebasdep"/>
          <w:rFonts w:cs="Times New Roman"/>
        </w:rPr>
        <w:footnoteRef/>
      </w:r>
      <w:r w:rsidRPr="00822D05">
        <w:rPr>
          <w:rFonts w:cs="Times New Roman"/>
        </w:rPr>
        <w:t xml:space="preserve"> </w:t>
      </w:r>
      <w:proofErr w:type="spellStart"/>
      <w:r w:rsidRPr="00822D05">
        <w:rPr>
          <w:rFonts w:cs="Times New Roman"/>
        </w:rPr>
        <w:t>L.-L</w:t>
      </w:r>
      <w:proofErr w:type="spellEnd"/>
      <w:r w:rsidRPr="00822D05">
        <w:rPr>
          <w:rFonts w:cs="Times New Roman"/>
        </w:rPr>
        <w:t xml:space="preserve">. </w:t>
      </w:r>
      <w:r w:rsidRPr="00822D05">
        <w:rPr>
          <w:rFonts w:cs="Times New Roman"/>
          <w:smallCaps/>
        </w:rPr>
        <w:t>Christians</w:t>
      </w:r>
      <w:r w:rsidRPr="00822D05">
        <w:rPr>
          <w:rFonts w:cs="Times New Roman"/>
        </w:rPr>
        <w:t xml:space="preserve">, « La pluralité des formes de neutralité », </w:t>
      </w:r>
      <w:r w:rsidRPr="00822D05">
        <w:rPr>
          <w:rFonts w:cs="Times New Roman"/>
          <w:i/>
          <w:iCs/>
        </w:rPr>
        <w:t>Annuaire Droit et Religions</w:t>
      </w:r>
      <w:r w:rsidRPr="00822D05">
        <w:rPr>
          <w:rFonts w:cs="Times New Roman"/>
        </w:rPr>
        <w:t xml:space="preserve">, 2012-2013, p. 578 ; R. </w:t>
      </w:r>
      <w:proofErr w:type="spellStart"/>
      <w:r w:rsidRPr="00822D05">
        <w:rPr>
          <w:rFonts w:cs="Times New Roman"/>
          <w:smallCaps/>
        </w:rPr>
        <w:t>Pierik</w:t>
      </w:r>
      <w:proofErr w:type="spellEnd"/>
      <w:r w:rsidRPr="00822D05">
        <w:rPr>
          <w:rFonts w:cs="Times New Roman"/>
        </w:rPr>
        <w:t xml:space="preserve"> et W</w:t>
      </w:r>
      <w:r w:rsidRPr="00822D05">
        <w:rPr>
          <w:rFonts w:cs="Times New Roman"/>
          <w:smallCaps/>
        </w:rPr>
        <w:t>. van der Burg</w:t>
      </w:r>
      <w:r w:rsidRPr="00822D05">
        <w:rPr>
          <w:rFonts w:cs="Times New Roman"/>
        </w:rPr>
        <w:t xml:space="preserve">, « </w:t>
      </w:r>
      <w:proofErr w:type="spellStart"/>
      <w:r w:rsidRPr="00822D05">
        <w:rPr>
          <w:rFonts w:cs="Times New Roman"/>
        </w:rPr>
        <w:t>What</w:t>
      </w:r>
      <w:proofErr w:type="spellEnd"/>
      <w:r w:rsidRPr="00822D05">
        <w:rPr>
          <w:rFonts w:cs="Times New Roman"/>
        </w:rPr>
        <w:t xml:space="preserve"> Is </w:t>
      </w:r>
      <w:proofErr w:type="spellStart"/>
      <w:proofErr w:type="gramStart"/>
      <w:r w:rsidRPr="00822D05">
        <w:rPr>
          <w:rFonts w:cs="Times New Roman"/>
        </w:rPr>
        <w:t>Neutrality</w:t>
      </w:r>
      <w:proofErr w:type="spellEnd"/>
      <w:r w:rsidRPr="00822D05">
        <w:rPr>
          <w:rFonts w:cs="Times New Roman"/>
        </w:rPr>
        <w:t>?</w:t>
      </w:r>
      <w:proofErr w:type="gramEnd"/>
      <w:r w:rsidRPr="00822D05">
        <w:rPr>
          <w:rFonts w:cs="Times New Roman"/>
        </w:rPr>
        <w:t xml:space="preserve"> », </w:t>
      </w:r>
      <w:r w:rsidRPr="00822D05">
        <w:rPr>
          <w:rFonts w:cs="Times New Roman"/>
          <w:i/>
          <w:iCs/>
        </w:rPr>
        <w:t xml:space="preserve">Ratio </w:t>
      </w:r>
      <w:proofErr w:type="spellStart"/>
      <w:r w:rsidRPr="00822D05">
        <w:rPr>
          <w:rFonts w:cs="Times New Roman"/>
          <w:i/>
          <w:iCs/>
        </w:rPr>
        <w:t>Juris</w:t>
      </w:r>
      <w:proofErr w:type="spellEnd"/>
      <w:r w:rsidRPr="00822D05">
        <w:rPr>
          <w:rFonts w:cs="Times New Roman"/>
        </w:rPr>
        <w:t>, 2014, vol. 27, n° 4, p. 496-515.</w:t>
      </w:r>
    </w:p>
  </w:footnote>
  <w:footnote w:id="27">
    <w:p w14:paraId="6B081065" w14:textId="578B1873" w:rsidR="006275C9" w:rsidRPr="00FE3C70" w:rsidRDefault="006275C9" w:rsidP="001E35E0">
      <w:pPr>
        <w:pStyle w:val="Notedebasdepage"/>
        <w:spacing w:after="0" w:line="240" w:lineRule="auto"/>
        <w:rPr>
          <w:rFonts w:cs="Times New Roman"/>
        </w:rPr>
      </w:pPr>
      <w:r w:rsidRPr="00822D05">
        <w:rPr>
          <w:rStyle w:val="Appelnotedebasdep"/>
          <w:rFonts w:cs="Times New Roman"/>
        </w:rPr>
        <w:footnoteRef/>
      </w:r>
      <w:r w:rsidRPr="00822D05">
        <w:rPr>
          <w:rFonts w:cs="Times New Roman"/>
        </w:rPr>
        <w:t xml:space="preserve"> </w:t>
      </w:r>
      <w:r w:rsidR="0060220E" w:rsidRPr="0060220E">
        <w:rPr>
          <w:rFonts w:cs="Times New Roman"/>
        </w:rPr>
        <w:t>CourEDH</w:t>
      </w:r>
      <w:r w:rsidRPr="00822D05">
        <w:rPr>
          <w:rFonts w:cs="Times New Roman"/>
        </w:rPr>
        <w:t xml:space="preserve"> (GC), arrêt </w:t>
      </w:r>
      <w:proofErr w:type="spellStart"/>
      <w:r w:rsidRPr="00822D05">
        <w:rPr>
          <w:rFonts w:cs="Times New Roman"/>
          <w:i/>
          <w:iCs/>
        </w:rPr>
        <w:t>Lautsi</w:t>
      </w:r>
      <w:proofErr w:type="spellEnd"/>
      <w:r w:rsidRPr="00822D05">
        <w:rPr>
          <w:rFonts w:cs="Times New Roman"/>
          <w:i/>
          <w:iCs/>
        </w:rPr>
        <w:t xml:space="preserve"> e.a. c. Italie</w:t>
      </w:r>
      <w:r w:rsidRPr="00822D05">
        <w:rPr>
          <w:rFonts w:cs="Times New Roman"/>
        </w:rPr>
        <w:t xml:space="preserve">, 18 mars 2011, </w:t>
      </w:r>
      <w:proofErr w:type="spellStart"/>
      <w:r w:rsidRPr="00822D05">
        <w:rPr>
          <w:rFonts w:cs="Times New Roman"/>
        </w:rPr>
        <w:t>req</w:t>
      </w:r>
      <w:proofErr w:type="spellEnd"/>
      <w:r w:rsidRPr="00822D05">
        <w:rPr>
          <w:rFonts w:cs="Times New Roman"/>
        </w:rPr>
        <w:t xml:space="preserve">. n° 30814/06, </w:t>
      </w:r>
      <w:r w:rsidR="00FE3C70">
        <w:rPr>
          <w:rFonts w:cs="Times New Roman"/>
        </w:rPr>
        <w:t>§</w:t>
      </w:r>
      <w:r w:rsidRPr="00822D05">
        <w:rPr>
          <w:rFonts w:cs="Times New Roman"/>
        </w:rPr>
        <w:t xml:space="preserve"> </w:t>
      </w:r>
      <w:r w:rsidRPr="00FE3C70">
        <w:rPr>
          <w:rFonts w:cs="Times New Roman"/>
        </w:rPr>
        <w:t>74.</w:t>
      </w:r>
    </w:p>
  </w:footnote>
  <w:footnote w:id="28">
    <w:p w14:paraId="25C9205F" w14:textId="67E0B6DE" w:rsidR="00244EB5" w:rsidRPr="00ED7774" w:rsidRDefault="00244EB5" w:rsidP="001E35E0">
      <w:pPr>
        <w:pStyle w:val="Notedebasdepage"/>
        <w:spacing w:after="0" w:line="240" w:lineRule="auto"/>
      </w:pPr>
      <w:r>
        <w:rPr>
          <w:rStyle w:val="Appelnotedebasdep"/>
        </w:rPr>
        <w:footnoteRef/>
      </w:r>
      <w:r w:rsidRPr="00244EB5">
        <w:t xml:space="preserve"> Sur </w:t>
      </w:r>
      <w:r w:rsidR="00ED7774">
        <w:t>cette</w:t>
      </w:r>
      <w:r w:rsidRPr="00244EB5">
        <w:t xml:space="preserve"> question, </w:t>
      </w:r>
      <w:proofErr w:type="spellStart"/>
      <w:r w:rsidRPr="00244EB5">
        <w:t>voy</w:t>
      </w:r>
      <w:proofErr w:type="spellEnd"/>
      <w:r w:rsidRPr="00244EB5">
        <w:t>. plus largement L.</w:t>
      </w:r>
      <w:r>
        <w:t xml:space="preserve"> </w:t>
      </w:r>
      <w:r>
        <w:rPr>
          <w:smallCaps/>
        </w:rPr>
        <w:t>Vanbellingen</w:t>
      </w:r>
      <w:r>
        <w:t xml:space="preserve">, </w:t>
      </w:r>
      <w:r>
        <w:rPr>
          <w:i/>
          <w:iCs/>
        </w:rPr>
        <w:t xml:space="preserve">La neutralité </w:t>
      </w:r>
      <w:r w:rsidR="00ED7774">
        <w:rPr>
          <w:i/>
          <w:iCs/>
        </w:rPr>
        <w:t>de l’entreprise face aux expressions religieuses du travailleur</w:t>
      </w:r>
      <w:r w:rsidR="00ED7774">
        <w:t>, Bruxelles, Bruylant, 2022.</w:t>
      </w:r>
    </w:p>
  </w:footnote>
  <w:footnote w:id="29">
    <w:p w14:paraId="6A2AEB10" w14:textId="564E743B" w:rsidR="00AE2575" w:rsidRPr="00722EB9" w:rsidRDefault="00AE2575" w:rsidP="001E35E0">
      <w:pPr>
        <w:pStyle w:val="Notedebasdepage"/>
        <w:spacing w:after="0" w:line="240" w:lineRule="auto"/>
        <w:rPr>
          <w:lang w:val="nl-BE"/>
        </w:rPr>
      </w:pPr>
      <w:r>
        <w:rPr>
          <w:rStyle w:val="Appelnotedebasdep"/>
        </w:rPr>
        <w:footnoteRef/>
      </w:r>
      <w:r w:rsidRPr="00722EB9">
        <w:rPr>
          <w:lang w:val="nl-BE"/>
        </w:rPr>
        <w:t xml:space="preserve"> </w:t>
      </w:r>
      <w:proofErr w:type="spellStart"/>
      <w:r w:rsidR="00722EB9" w:rsidRPr="00722EB9">
        <w:rPr>
          <w:lang w:val="nl-BE"/>
        </w:rPr>
        <w:t>CJUE</w:t>
      </w:r>
      <w:proofErr w:type="spellEnd"/>
      <w:r w:rsidR="00722EB9" w:rsidRPr="00722EB9">
        <w:rPr>
          <w:lang w:val="nl-BE"/>
        </w:rPr>
        <w:t>, 14 mars 2017 (</w:t>
      </w:r>
      <w:r w:rsidR="00722EB9" w:rsidRPr="00722EB9">
        <w:rPr>
          <w:i/>
          <w:lang w:val="nl-BE"/>
        </w:rPr>
        <w:t xml:space="preserve">Samira </w:t>
      </w:r>
      <w:proofErr w:type="spellStart"/>
      <w:r w:rsidR="00722EB9" w:rsidRPr="00722EB9">
        <w:rPr>
          <w:i/>
          <w:lang w:val="nl-BE"/>
        </w:rPr>
        <w:t>Achbita</w:t>
      </w:r>
      <w:proofErr w:type="spellEnd"/>
      <w:r w:rsidR="00722EB9" w:rsidRPr="00722EB9">
        <w:rPr>
          <w:i/>
          <w:lang w:val="nl-BE"/>
        </w:rPr>
        <w:t>, Centrum voor gelijkheid van kansen en voor racismebestrijding c. G4S Secure Solutions NV)</w:t>
      </w:r>
      <w:r w:rsidR="00722EB9" w:rsidRPr="00722EB9">
        <w:rPr>
          <w:lang w:val="nl-BE"/>
        </w:rPr>
        <w:t>, C-157/15.</w:t>
      </w:r>
    </w:p>
  </w:footnote>
  <w:footnote w:id="30">
    <w:p w14:paraId="2F35FD58" w14:textId="2E77FE16" w:rsidR="00742FE2" w:rsidRPr="00734C2A" w:rsidRDefault="00742FE2" w:rsidP="001E35E0">
      <w:pPr>
        <w:pStyle w:val="Notedebasdepage"/>
        <w:spacing w:after="0" w:line="240" w:lineRule="auto"/>
      </w:pPr>
      <w:r>
        <w:rPr>
          <w:rStyle w:val="Appelnotedebasdep"/>
        </w:rPr>
        <w:footnoteRef/>
      </w:r>
      <w:r w:rsidRPr="00734C2A">
        <w:t xml:space="preserve"> </w:t>
      </w:r>
      <w:proofErr w:type="spellStart"/>
      <w:r w:rsidR="000066C0" w:rsidRPr="00734C2A">
        <w:t>CJUE</w:t>
      </w:r>
      <w:proofErr w:type="spellEnd"/>
      <w:r w:rsidR="000066C0" w:rsidRPr="00734C2A">
        <w:t xml:space="preserve">, </w:t>
      </w:r>
      <w:proofErr w:type="gramStart"/>
      <w:r w:rsidR="000066C0" w:rsidRPr="00734C2A">
        <w:rPr>
          <w:i/>
        </w:rPr>
        <w:t>IX .</w:t>
      </w:r>
      <w:proofErr w:type="gramEnd"/>
      <w:r w:rsidR="000066C0" w:rsidRPr="00734C2A">
        <w:rPr>
          <w:i/>
        </w:rPr>
        <w:t xml:space="preserve"> </w:t>
      </w:r>
      <w:r w:rsidR="00323C5E" w:rsidRPr="00734C2A">
        <w:t>15 juillet 2021 (</w:t>
      </w:r>
      <w:proofErr w:type="spellStart"/>
      <w:r w:rsidR="000066C0" w:rsidRPr="00734C2A">
        <w:rPr>
          <w:i/>
        </w:rPr>
        <w:t>WABE</w:t>
      </w:r>
      <w:proofErr w:type="spellEnd"/>
      <w:r w:rsidR="000066C0" w:rsidRPr="00734C2A">
        <w:rPr>
          <w:i/>
        </w:rPr>
        <w:t xml:space="preserve"> eV</w:t>
      </w:r>
      <w:r w:rsidR="000066C0" w:rsidRPr="00734C2A">
        <w:t xml:space="preserve"> et </w:t>
      </w:r>
      <w:proofErr w:type="spellStart"/>
      <w:r w:rsidR="000066C0" w:rsidRPr="00734C2A">
        <w:rPr>
          <w:i/>
        </w:rPr>
        <w:t>MH</w:t>
      </w:r>
      <w:proofErr w:type="spellEnd"/>
      <w:r w:rsidR="000066C0" w:rsidRPr="00734C2A">
        <w:rPr>
          <w:i/>
        </w:rPr>
        <w:t xml:space="preserve"> Müller </w:t>
      </w:r>
      <w:proofErr w:type="spellStart"/>
      <w:r w:rsidR="000066C0" w:rsidRPr="00734C2A">
        <w:rPr>
          <w:i/>
        </w:rPr>
        <w:t>Handels</w:t>
      </w:r>
      <w:proofErr w:type="spellEnd"/>
      <w:r w:rsidR="000066C0" w:rsidRPr="00734C2A">
        <w:rPr>
          <w:i/>
        </w:rPr>
        <w:t xml:space="preserve"> </w:t>
      </w:r>
      <w:proofErr w:type="spellStart"/>
      <w:r w:rsidR="000066C0" w:rsidRPr="00734C2A">
        <w:rPr>
          <w:i/>
        </w:rPr>
        <w:t>GmbH</w:t>
      </w:r>
      <w:proofErr w:type="spellEnd"/>
      <w:r w:rsidR="000066C0" w:rsidRPr="00734C2A">
        <w:rPr>
          <w:i/>
        </w:rPr>
        <w:t xml:space="preserve"> c. MJ</w:t>
      </w:r>
      <w:r w:rsidR="00323C5E" w:rsidRPr="00734C2A">
        <w:rPr>
          <w:iCs/>
        </w:rPr>
        <w:t>)</w:t>
      </w:r>
      <w:r w:rsidR="000066C0" w:rsidRPr="00734C2A">
        <w:t>, C-804/18 et C-341/19.</w:t>
      </w:r>
    </w:p>
  </w:footnote>
  <w:footnote w:id="31">
    <w:p w14:paraId="71785DC5" w14:textId="72DE2765" w:rsidR="002F5683" w:rsidRPr="002F5683" w:rsidRDefault="002F5683" w:rsidP="001E35E0">
      <w:pPr>
        <w:pStyle w:val="Notedebasdepage"/>
        <w:spacing w:after="0" w:line="240" w:lineRule="auto"/>
      </w:pPr>
      <w:r>
        <w:rPr>
          <w:rStyle w:val="Appelnotedebasdep"/>
        </w:rPr>
        <w:footnoteRef/>
      </w:r>
      <w:r w:rsidRPr="002F5683">
        <w:t xml:space="preserve"> Cette hypothèse éta</w:t>
      </w:r>
      <w:r>
        <w:t xml:space="preserve">it envisagée par la </w:t>
      </w:r>
      <w:proofErr w:type="spellStart"/>
      <w:r>
        <w:t>CJUE</w:t>
      </w:r>
      <w:proofErr w:type="spellEnd"/>
      <w:r>
        <w:t xml:space="preserve"> dans l’arrêt </w:t>
      </w:r>
      <w:r w:rsidR="00F05621">
        <w:t>rendu le même jour</w:t>
      </w:r>
      <w:r>
        <w:t xml:space="preserve"> </w:t>
      </w:r>
      <w:r w:rsidR="00F05621">
        <w:t xml:space="preserve">en réponse à une autre question préjudicielle, française cette fois : </w:t>
      </w:r>
      <w:proofErr w:type="spellStart"/>
      <w:r w:rsidR="00F05621">
        <w:t>voy</w:t>
      </w:r>
      <w:proofErr w:type="spellEnd"/>
      <w:r w:rsidR="00F05621">
        <w:t xml:space="preserve">. </w:t>
      </w:r>
      <w:proofErr w:type="spellStart"/>
      <w:r w:rsidR="00F05621" w:rsidRPr="00F05621">
        <w:t>CJUE</w:t>
      </w:r>
      <w:proofErr w:type="spellEnd"/>
      <w:r w:rsidR="00F05621" w:rsidRPr="00F05621">
        <w:t>, 14 mars 2017 (</w:t>
      </w:r>
      <w:r w:rsidR="00F05621" w:rsidRPr="00F05621">
        <w:rPr>
          <w:i/>
          <w:iCs/>
        </w:rPr>
        <w:t xml:space="preserve">Asma Bougnaoui, Association de défense des droits de l’homme c. </w:t>
      </w:r>
      <w:proofErr w:type="spellStart"/>
      <w:r w:rsidR="00F05621" w:rsidRPr="00F05621">
        <w:rPr>
          <w:i/>
          <w:iCs/>
        </w:rPr>
        <w:t>Micropole</w:t>
      </w:r>
      <w:proofErr w:type="spellEnd"/>
      <w:r w:rsidR="00F05621" w:rsidRPr="00F05621">
        <w:rPr>
          <w:i/>
          <w:iCs/>
        </w:rPr>
        <w:t xml:space="preserve"> S.A</w:t>
      </w:r>
      <w:r w:rsidR="00F05621" w:rsidRPr="00F05621">
        <w:t>.), C-188/15.</w:t>
      </w:r>
    </w:p>
  </w:footnote>
  <w:footnote w:id="32">
    <w:p w14:paraId="6221E94C" w14:textId="1886355F" w:rsidR="006161E5" w:rsidRDefault="006161E5" w:rsidP="001E35E0">
      <w:pPr>
        <w:pStyle w:val="Notedebasdepage"/>
        <w:spacing w:after="0" w:line="240" w:lineRule="auto"/>
      </w:pPr>
      <w:r>
        <w:rPr>
          <w:rStyle w:val="Appelnotedebasdep"/>
        </w:rPr>
        <w:footnoteRef/>
      </w:r>
      <w:r>
        <w:t xml:space="preserve"> </w:t>
      </w:r>
      <w:r w:rsidRPr="006161E5">
        <w:t xml:space="preserve">F. </w:t>
      </w:r>
      <w:r w:rsidRPr="006161E5">
        <w:rPr>
          <w:smallCaps/>
        </w:rPr>
        <w:t>Dorssemont</w:t>
      </w:r>
      <w:r w:rsidRPr="006161E5">
        <w:t xml:space="preserve"> voit </w:t>
      </w:r>
      <w:r>
        <w:t>ainsi</w:t>
      </w:r>
      <w:r w:rsidRPr="006161E5">
        <w:t xml:space="preserve"> dans cette neutralité objectivée de l’employeur une « sublimation freudienne » des préjugés subjectifs de la clientèle</w:t>
      </w:r>
      <w:r w:rsidRPr="006161E5">
        <w:fldChar w:fldCharType="begin"/>
      </w:r>
      <w:r w:rsidRPr="006161E5">
        <w:instrText xml:space="preserve"> XE "Clientèle" </w:instrText>
      </w:r>
      <w:r w:rsidRPr="006161E5">
        <w:fldChar w:fldCharType="end"/>
      </w:r>
      <w:r w:rsidRPr="006161E5">
        <w:t xml:space="preserve"> </w:t>
      </w:r>
      <w:r w:rsidRPr="006161E5">
        <w:fldChar w:fldCharType="begin"/>
      </w:r>
      <w:r w:rsidR="00ED0AA5">
        <w:instrText xml:space="preserve"> ADDIN ZOTERO_ITEM CSL_CITATION {"citationID":"0k5j3RxP","properties":{"formattedCitation":"(\\uc0\\u171{}\\uc0\\u160{}La libert\\uc0\\u233{} de religion sur le lieu de travail et la Cour de Justice de l\\uc0\\u8217{}Union Europ\\uc0\\u233{}enne\\uc0\\u8239{}: Retour au principe Cuius Regio, Illius Religio\\uc0\\u8239{}?\\uc0\\u160{}\\uc0\\u187{}, {\\i{}Revue de droit compar\\uc0\\u233{} du travail et de la s\\uc0\\u233{}curit\\uc0\\u233{} sociale}, 2017, n\\uc0\\u176{} 2, p. 109).","plainCitation":"(« La liberté de religion sur le lieu de travail et la Cour de Justice de l’Union Européenne : Retour au principe Cuius Regio, Illius Religio ? », Revue de droit comparé du travail et de la sécurité sociale, 2017, n° 2, p. 109).","noteIndex":31},"citationItems":[{"id":225,"uris":["http://zotero.org/users/5133869/items/RVE72QIN"],"uri":["http://zotero.org/users/5133869/items/RVE72QIN"],"itemData":{"id":225,"type":"article-journal","container-title":"Revue de droit comparé du travail et de la sécurité sociale","issue":"2","page":"96-111","title":"La liberté de religion sur le lieu de travail et la Cour de Justice de l'Union Européenne : Retour au principe Cuius Regio, Illius Religio ?","author":[{"family":"Dorssemont","given":"Filip"}],"issued":{"date-parts":[["2017"]]}},"locator":"109","suppress-author":true,"prefix":"(","suffix":")"}],"schema":"https://github.com/citation-style-language/schema/raw/master/csl-citation.json"} </w:instrText>
      </w:r>
      <w:r w:rsidRPr="006161E5">
        <w:fldChar w:fldCharType="separate"/>
      </w:r>
      <w:r w:rsidR="00ED0AA5" w:rsidRPr="00ED0AA5">
        <w:rPr>
          <w:rFonts w:cs="Times New Roman"/>
          <w:szCs w:val="24"/>
        </w:rPr>
        <w:t xml:space="preserve">(« La liberté de religion sur le lieu de travail et la Cour de Justice de l’Union Européenne : Retour au principe Cuius Regio, Illius Religio ? », </w:t>
      </w:r>
      <w:r w:rsidR="00ED0AA5" w:rsidRPr="00ED0AA5">
        <w:rPr>
          <w:rFonts w:cs="Times New Roman"/>
          <w:i/>
          <w:iCs/>
          <w:szCs w:val="24"/>
        </w:rPr>
        <w:t>Revue de droit comparé du travail et de la sécurité sociale</w:t>
      </w:r>
      <w:r w:rsidR="00ED0AA5" w:rsidRPr="00ED0AA5">
        <w:rPr>
          <w:rFonts w:cs="Times New Roman"/>
          <w:szCs w:val="24"/>
        </w:rPr>
        <w:t>, 2017, n° 2, p. 109).</w:t>
      </w:r>
      <w:r w:rsidRPr="006161E5">
        <w:fldChar w:fldCharType="end"/>
      </w:r>
      <w:r w:rsidRPr="006161E5">
        <w:t xml:space="preserve"> </w:t>
      </w:r>
      <w:r w:rsidRPr="006161E5">
        <w:rPr>
          <w:lang w:val="en-GB"/>
        </w:rPr>
        <w:t xml:space="preserve">Dans le </w:t>
      </w:r>
      <w:proofErr w:type="spellStart"/>
      <w:r w:rsidRPr="006161E5">
        <w:rPr>
          <w:lang w:val="en-GB"/>
        </w:rPr>
        <w:t>même</w:t>
      </w:r>
      <w:proofErr w:type="spellEnd"/>
      <w:r w:rsidRPr="006161E5">
        <w:rPr>
          <w:lang w:val="en-GB"/>
        </w:rPr>
        <w:t xml:space="preserve"> </w:t>
      </w:r>
      <w:proofErr w:type="spellStart"/>
      <w:r w:rsidRPr="006161E5">
        <w:rPr>
          <w:lang w:val="en-GB"/>
        </w:rPr>
        <w:t>sens</w:t>
      </w:r>
      <w:proofErr w:type="spellEnd"/>
      <w:r w:rsidRPr="006161E5">
        <w:rPr>
          <w:lang w:val="en-GB"/>
        </w:rPr>
        <w:t xml:space="preserve">, E. </w:t>
      </w:r>
      <w:proofErr w:type="spellStart"/>
      <w:r w:rsidRPr="006161E5">
        <w:rPr>
          <w:smallCaps/>
          <w:lang w:val="en-GB"/>
        </w:rPr>
        <w:t>Brems</w:t>
      </w:r>
      <w:proofErr w:type="spellEnd"/>
      <w:r w:rsidRPr="006161E5">
        <w:rPr>
          <w:lang w:val="en-GB"/>
        </w:rPr>
        <w:t xml:space="preserve"> </w:t>
      </w:r>
      <w:proofErr w:type="spellStart"/>
      <w:r w:rsidRPr="006161E5">
        <w:rPr>
          <w:lang w:val="en-GB"/>
        </w:rPr>
        <w:t>considère</w:t>
      </w:r>
      <w:proofErr w:type="spellEnd"/>
      <w:r w:rsidRPr="006161E5">
        <w:rPr>
          <w:lang w:val="en-GB"/>
        </w:rPr>
        <w:t xml:space="preserve"> que « [</w:t>
      </w:r>
      <w:r w:rsidRPr="006161E5">
        <w:rPr>
          <w:i/>
          <w:iCs/>
          <w:lang w:val="en-GB"/>
        </w:rPr>
        <w:t>when] neutrality coincides with corporate image, an oxymoronic subjective neutrality is legitimized</w:t>
      </w:r>
      <w:r w:rsidRPr="006161E5">
        <w:rPr>
          <w:lang w:val="en-GB"/>
        </w:rPr>
        <w:t xml:space="preserve"> » </w:t>
      </w:r>
      <w:r w:rsidRPr="006161E5">
        <w:fldChar w:fldCharType="begin"/>
      </w:r>
      <w:r w:rsidR="00ED0AA5">
        <w:rPr>
          <w:lang w:val="en-GB"/>
        </w:rPr>
        <w:instrText xml:space="preserve"> ADDIN ZOTERO_ITEM CSL_CITATION {"citationID":"Is4V3ePn","properties":{"formattedCitation":"(\\uc0\\u171{}\\uc0\\u160{}Analysis: European Court of Justice Allows Bans on Religious Dress in the Workplace\\uc0\\u160{}\\uc0\\u187{}, {\\i{}Blog de l\\uc0\\u8217{}Association Internationale de Droit Constitutionnel}, 25 mars 2017, disponible sur www.iacl-aidc-blog.org [Consult\\uc0\\u233{} le 16 avril 2017]).","plainCitation":"(« Analysis: European Court of Justice Allows Bans on Religious Dress in the Workplace », Blog de l’Association Internationale de Droit Constitutionnel, 25 mars 2017, disponible sur www.iacl-aidc-blog.org [Consulté le 16 avril 2017]).","noteIndex":31},"citationItems":[{"id":2577,"uris":["http://zotero.org/users/5133869/items/K8FY8KIS"],"uri":["http://zotero.org/users/5133869/items/K8FY8KIS"],"itemData":{"id":2577,"type":"post-weblog","container-title":"Blog de l’Association Internationale de Droit Constitutionnel","title":"Analysis: European Court of Justice Allows Bans on Religious Dress in the Workplace","URL":"www.iacl-aidc-blog.org","author":[{"family":"Brems","given":"Eva"}],"accessed":{"date-parts":[["2017",4,16]]},"issued":{"date-parts":[["2017",3,25]]}},"suppress-author":true,"prefix":"(","suffix":")"}],"schema":"https://github.com/citation-style-language/schema/raw/master/csl-citation.json"} </w:instrText>
      </w:r>
      <w:r w:rsidRPr="006161E5">
        <w:fldChar w:fldCharType="separate"/>
      </w:r>
      <w:r w:rsidR="00ED0AA5" w:rsidRPr="00ED0AA5">
        <w:rPr>
          <w:rFonts w:cs="Times New Roman"/>
          <w:szCs w:val="24"/>
          <w:lang w:val="en-GB"/>
        </w:rPr>
        <w:t xml:space="preserve">(« Analysis: European Court of Justice Allows Bans on Religious Dress in the Workplace », </w:t>
      </w:r>
      <w:r w:rsidR="00ED0AA5" w:rsidRPr="00ED0AA5">
        <w:rPr>
          <w:rFonts w:cs="Times New Roman"/>
          <w:i/>
          <w:iCs/>
          <w:szCs w:val="24"/>
          <w:lang w:val="en-GB"/>
        </w:rPr>
        <w:t>Blog de l’Association Internationale de Droit Constitutionnel</w:t>
      </w:r>
      <w:r w:rsidR="00ED0AA5" w:rsidRPr="00ED0AA5">
        <w:rPr>
          <w:rFonts w:cs="Times New Roman"/>
          <w:szCs w:val="24"/>
          <w:lang w:val="en-GB"/>
        </w:rPr>
        <w:t>, 25 mars 2017, disponible sur www.iacl-aidc-blog.org [Consulté le 16 avril 2017]).</w:t>
      </w:r>
      <w:r w:rsidRPr="006161E5">
        <w:fldChar w:fldCharType="end"/>
      </w:r>
      <w:r w:rsidRPr="006161E5">
        <w:rPr>
          <w:lang w:val="en-GB"/>
        </w:rPr>
        <w:t xml:space="preserve"> </w:t>
      </w:r>
      <w:r w:rsidRPr="006161E5">
        <w:rPr>
          <w:i/>
          <w:iCs/>
        </w:rPr>
        <w:t>Contra</w:t>
      </w:r>
      <w:r w:rsidRPr="006161E5">
        <w:t xml:space="preserve">, </w:t>
      </w:r>
      <w:proofErr w:type="spellStart"/>
      <w:r w:rsidRPr="006161E5">
        <w:t>voy</w:t>
      </w:r>
      <w:proofErr w:type="spellEnd"/>
      <w:r w:rsidRPr="006161E5">
        <w:t xml:space="preserve">. S. </w:t>
      </w:r>
      <w:r w:rsidRPr="006161E5">
        <w:rPr>
          <w:smallCaps/>
        </w:rPr>
        <w:t>Robin-Olivier</w:t>
      </w:r>
      <w:r w:rsidRPr="006161E5">
        <w:t xml:space="preserve">, selon laquelle, dans les affaires </w:t>
      </w:r>
      <w:proofErr w:type="spellStart"/>
      <w:r w:rsidRPr="006161E5">
        <w:rPr>
          <w:i/>
          <w:iCs/>
        </w:rPr>
        <w:t>Achbita</w:t>
      </w:r>
      <w:proofErr w:type="spellEnd"/>
      <w:r w:rsidRPr="006161E5">
        <w:rPr>
          <w:i/>
          <w:iCs/>
        </w:rPr>
        <w:t xml:space="preserve"> </w:t>
      </w:r>
      <w:r w:rsidRPr="006161E5">
        <w:t xml:space="preserve">et </w:t>
      </w:r>
      <w:r w:rsidRPr="006161E5">
        <w:rPr>
          <w:i/>
          <w:iCs/>
        </w:rPr>
        <w:t>Bougnaoui</w:t>
      </w:r>
      <w:r w:rsidRPr="006161E5">
        <w:t xml:space="preserve">, la </w:t>
      </w:r>
      <w:proofErr w:type="spellStart"/>
      <w:r w:rsidRPr="006161E5">
        <w:t>CJUE</w:t>
      </w:r>
      <w:proofErr w:type="spellEnd"/>
      <w:r w:rsidRPr="006161E5">
        <w:t xml:space="preserve"> « ne rejette pas toute justification tirée des ‘souhaits subjectifs du client’ : elle exclut seulement […] que les exigences de la clientèle soient qualifiées d’exigences professionnelles essentielles et déterminantes » </w:t>
      </w:r>
      <w:r w:rsidRPr="006161E5">
        <w:fldChar w:fldCharType="begin"/>
      </w:r>
      <w:r w:rsidR="00ED0AA5">
        <w:instrText xml:space="preserve"> ADDIN ZOTERO_ITEM CSL_CITATION {"citationID":"gauDU8Lm","properties":{"formattedCitation":"(\\uc0\\u171{}\\uc0\\u160{}Neutraliser la religion dans l\\uc0\\u8217{}entreprise\\uc0\\u8239{}?\\uc0\\u160{}\\uc0\\u187{}, {\\i{}Revue trimestrielle de droit europ\\uc0\\u233{}en}, 2017, p. 237).","plainCitation":"(« Neutraliser la religion dans l’entreprise ? », Revue trimestrielle de droit européen, 2017, p. 237).","noteIndex":31},"citationItems":[{"id":208,"uris":["http://zotero.org/users/5133869/items/YL5RF22I"],"uri":["http://zotero.org/users/5133869/items/YL5RF22I"],"itemData":{"id":208,"type":"article-journal","container-title":"Revue trimestrielle de droit européen","page":"229-239","title":"Neutraliser la religion dans l'entreprise ?","author":[{"family":"Robin-Olivier","given":"Sophie"}],"issued":{"date-parts":[["2017"]]}},"locator":"237","suppress-author":true,"prefix":"(","suffix":")"}],"schema":"https://github.com/citation-style-language/schema/raw/master/csl-citation.json"} </w:instrText>
      </w:r>
      <w:r w:rsidRPr="006161E5">
        <w:fldChar w:fldCharType="separate"/>
      </w:r>
      <w:r w:rsidRPr="006161E5">
        <w:t xml:space="preserve">(« Neutraliser la religion dans l’entreprise ? », </w:t>
      </w:r>
      <w:r w:rsidRPr="006161E5">
        <w:rPr>
          <w:i/>
          <w:iCs/>
        </w:rPr>
        <w:t>Revue trimestrielle de droit européen</w:t>
      </w:r>
      <w:r w:rsidRPr="006161E5">
        <w:t>, 2017, p. 237).</w:t>
      </w:r>
      <w:r w:rsidRPr="006161E5">
        <w:fldChar w:fldCharType="end"/>
      </w:r>
    </w:p>
  </w:footnote>
  <w:footnote w:id="33">
    <w:p w14:paraId="1A3A2FDF" w14:textId="5DFDA10D" w:rsidR="00B64F4C" w:rsidRPr="00B64F4C" w:rsidRDefault="00B64F4C" w:rsidP="001E35E0">
      <w:pPr>
        <w:pStyle w:val="Notedebasdepage"/>
        <w:spacing w:after="0" w:line="240" w:lineRule="auto"/>
      </w:pPr>
      <w:r>
        <w:rPr>
          <w:rStyle w:val="Appelnotedebasdep"/>
        </w:rPr>
        <w:footnoteRef/>
      </w:r>
      <w:r>
        <w:t xml:space="preserve"> Faisant suite à l’arrêt de la </w:t>
      </w:r>
      <w:proofErr w:type="spellStart"/>
      <w:r>
        <w:t>CJUE</w:t>
      </w:r>
      <w:proofErr w:type="spellEnd"/>
      <w:r>
        <w:t xml:space="preserve">, la Cour de cassation de Belgique avait </w:t>
      </w:r>
      <w:r w:rsidR="00C15742">
        <w:t>conclu au défaut</w:t>
      </w:r>
      <w:r w:rsidR="00140A55">
        <w:t xml:space="preserve"> partiel</w:t>
      </w:r>
      <w:r w:rsidR="00C15742">
        <w:t xml:space="preserve"> de motivation </w:t>
      </w:r>
      <w:r w:rsidR="00414CA2">
        <w:t>par les</w:t>
      </w:r>
      <w:r w:rsidR="00E1699E">
        <w:t xml:space="preserve"> premiers juges d’appel (</w:t>
      </w:r>
      <w:r w:rsidR="00AA4017" w:rsidRPr="00AA4017">
        <w:t>C. trav. Anvers, 23 décembre 2011, n° 2010/AA/453 et 2010/AA/467</w:t>
      </w:r>
      <w:r w:rsidR="00706803">
        <w:t xml:space="preserve">, disponible sur </w:t>
      </w:r>
      <w:hyperlink r:id="rId4" w:history="1">
        <w:r w:rsidR="00706803" w:rsidRPr="00E24C34">
          <w:rPr>
            <w:rStyle w:val="Lienhypertexte"/>
          </w:rPr>
          <w:t>www.unia.be</w:t>
        </w:r>
      </w:hyperlink>
      <w:r w:rsidR="00706803">
        <w:t xml:space="preserve"> </w:t>
      </w:r>
      <w:r w:rsidR="00AA4017">
        <w:t xml:space="preserve">), </w:t>
      </w:r>
      <w:r w:rsidR="00140A55">
        <w:t>en raison du fait que ceux-ci</w:t>
      </w:r>
      <w:r w:rsidR="00140A55" w:rsidRPr="00140A55">
        <w:t xml:space="preserve"> n’avai</w:t>
      </w:r>
      <w:r w:rsidR="000604C5">
        <w:t>en</w:t>
      </w:r>
      <w:r w:rsidR="00140A55" w:rsidRPr="00140A55">
        <w:t xml:space="preserve">t pas à vérifier </w:t>
      </w:r>
      <w:r w:rsidR="00414CA2">
        <w:t>l’existence d’une faute ou d’</w:t>
      </w:r>
      <w:r w:rsidR="00140A55" w:rsidRPr="00140A55">
        <w:t>une négligence</w:t>
      </w:r>
      <w:r w:rsidR="00414CA2">
        <w:t xml:space="preserve"> dans le chef de l’employeur</w:t>
      </w:r>
      <w:r w:rsidR="00140A55" w:rsidRPr="00140A55">
        <w:t xml:space="preserve">, mais </w:t>
      </w:r>
      <w:r w:rsidR="0001415D">
        <w:t>auraient dû</w:t>
      </w:r>
      <w:r w:rsidR="00140A55" w:rsidRPr="00140A55">
        <w:t xml:space="preserve"> concrètement analyser la </w:t>
      </w:r>
      <w:r w:rsidR="002C3C81">
        <w:t xml:space="preserve">conformité de la </w:t>
      </w:r>
      <w:r w:rsidR="00140A55" w:rsidRPr="00140A55">
        <w:t>politique de neutralité de l’employeur</w:t>
      </w:r>
      <w:r w:rsidR="002C3C81">
        <w:t xml:space="preserve"> avec le droit de la non-discrimination : </w:t>
      </w:r>
      <w:proofErr w:type="spellStart"/>
      <w:r w:rsidR="002C3C81">
        <w:t>voy</w:t>
      </w:r>
      <w:proofErr w:type="spellEnd"/>
      <w:r w:rsidR="002C3C81">
        <w:t xml:space="preserve">. </w:t>
      </w:r>
      <w:r w:rsidR="00DC3F01" w:rsidRPr="00DC3F01">
        <w:t xml:space="preserve">Cass. (Bel.), 9 octobre 2017, </w:t>
      </w:r>
      <w:proofErr w:type="spellStart"/>
      <w:r w:rsidR="004A7721" w:rsidRPr="004A7721">
        <w:rPr>
          <w:i/>
        </w:rPr>
        <w:t>J.L.M.B</w:t>
      </w:r>
      <w:proofErr w:type="spellEnd"/>
      <w:r w:rsidR="004A7721" w:rsidRPr="004A7721">
        <w:rPr>
          <w:i/>
        </w:rPr>
        <w:t>.</w:t>
      </w:r>
      <w:r w:rsidR="004A7721" w:rsidRPr="004A7721">
        <w:t xml:space="preserve">, 2018, p. 118-122, obs. F. </w:t>
      </w:r>
      <w:proofErr w:type="spellStart"/>
      <w:r w:rsidR="004A7721" w:rsidRPr="004A7721">
        <w:rPr>
          <w:smallCaps/>
        </w:rPr>
        <w:t>Kéfer</w:t>
      </w:r>
      <w:proofErr w:type="spellEnd"/>
      <w:r w:rsidR="004A7721" w:rsidRPr="004A7721">
        <w:t xml:space="preserve"> et R. </w:t>
      </w:r>
      <w:proofErr w:type="spellStart"/>
      <w:r w:rsidR="004A7721" w:rsidRPr="004A7721">
        <w:rPr>
          <w:smallCaps/>
        </w:rPr>
        <w:t>Linguelet</w:t>
      </w:r>
      <w:proofErr w:type="spellEnd"/>
      <w:r w:rsidR="004A7721" w:rsidRPr="004A7721">
        <w:t xml:space="preserve">, « L’affaire </w:t>
      </w:r>
      <w:proofErr w:type="spellStart"/>
      <w:r w:rsidR="004A7721" w:rsidRPr="004A7721">
        <w:rPr>
          <w:i/>
        </w:rPr>
        <w:t>Achbita</w:t>
      </w:r>
      <w:proofErr w:type="spellEnd"/>
      <w:r w:rsidR="004A7721" w:rsidRPr="004A7721">
        <w:rPr>
          <w:i/>
        </w:rPr>
        <w:t xml:space="preserve"> c. G4S Secure Solutions </w:t>
      </w:r>
      <w:r w:rsidR="004A7721" w:rsidRPr="004A7721">
        <w:t>: le suspense continue ».</w:t>
      </w:r>
    </w:p>
  </w:footnote>
  <w:footnote w:id="34">
    <w:p w14:paraId="2D6A946F" w14:textId="686C9873" w:rsidR="00700BD1" w:rsidRDefault="00700BD1" w:rsidP="001E35E0">
      <w:pPr>
        <w:pStyle w:val="Notedebasdepage"/>
        <w:spacing w:after="0" w:line="240" w:lineRule="auto"/>
      </w:pPr>
      <w:r>
        <w:rPr>
          <w:rStyle w:val="Appelnotedebasdep"/>
        </w:rPr>
        <w:footnoteRef/>
      </w:r>
      <w:r>
        <w:t xml:space="preserve"> </w:t>
      </w:r>
      <w:proofErr w:type="spellStart"/>
      <w:r>
        <w:t>Voy</w:t>
      </w:r>
      <w:proofErr w:type="spellEnd"/>
      <w:r>
        <w:t xml:space="preserve">. en particulier </w:t>
      </w:r>
      <w:r w:rsidR="00EE6E30">
        <w:t xml:space="preserve">C. trav. </w:t>
      </w:r>
      <w:r w:rsidR="00D42438">
        <w:t>Liège</w:t>
      </w:r>
      <w:r w:rsidR="00C1401A">
        <w:t xml:space="preserve"> (div. Liège)</w:t>
      </w:r>
      <w:r w:rsidR="00D42438">
        <w:t xml:space="preserve">, 30 avril 2021, </w:t>
      </w:r>
      <w:r w:rsidR="00C1401A">
        <w:t xml:space="preserve">disponible sur </w:t>
      </w:r>
      <w:hyperlink r:id="rId5" w:history="1">
        <w:r w:rsidR="00C1401A" w:rsidRPr="00277CF1">
          <w:rPr>
            <w:rStyle w:val="Lienhypertexte"/>
          </w:rPr>
          <w:t>www.unia.be</w:t>
        </w:r>
      </w:hyperlink>
      <w:r w:rsidR="00557962">
        <w:t xml:space="preserve"> ; Trib. trav. Bxl, </w:t>
      </w:r>
      <w:r w:rsidR="00557962" w:rsidRPr="00557962">
        <w:t xml:space="preserve">28 mai 2018, n° 16/7231/A, disponible sur </w:t>
      </w:r>
      <w:hyperlink r:id="rId6" w:history="1">
        <w:r w:rsidR="00557962" w:rsidRPr="00277CF1">
          <w:rPr>
            <w:rStyle w:val="Lienhypertexte"/>
          </w:rPr>
          <w:t>www.unia.be</w:t>
        </w:r>
      </w:hyperlink>
      <w:r w:rsidR="00557962">
        <w:t>.</w:t>
      </w:r>
      <w:r w:rsidR="00306175">
        <w:t xml:space="preserve"> </w:t>
      </w:r>
      <w:r w:rsidR="009F2FDB" w:rsidRPr="009F2FDB">
        <w:t xml:space="preserve">Notons par ailleurs les questions préjudicielles adressées le 17 juillet 2020 par le Tribunal du travail de Bruxelles à la </w:t>
      </w:r>
      <w:proofErr w:type="spellStart"/>
      <w:r w:rsidR="009F2FDB" w:rsidRPr="009F2FDB">
        <w:t>CJUE</w:t>
      </w:r>
      <w:proofErr w:type="spellEnd"/>
      <w:r w:rsidR="00244EB5">
        <w:t>, en cours d’instance</w:t>
      </w:r>
      <w:r w:rsidR="009F2FDB">
        <w:t xml:space="preserve"> (</w:t>
      </w:r>
      <w:r w:rsidR="00287D39">
        <w:t xml:space="preserve">C‑344/20, </w:t>
      </w:r>
      <w:proofErr w:type="spellStart"/>
      <w:r w:rsidR="00287D39" w:rsidRPr="00287D39">
        <w:rPr>
          <w:i/>
          <w:iCs/>
        </w:rPr>
        <w:t>LF</w:t>
      </w:r>
      <w:proofErr w:type="spellEnd"/>
      <w:r w:rsidR="00287D39" w:rsidRPr="00287D39">
        <w:rPr>
          <w:i/>
          <w:iCs/>
        </w:rPr>
        <w:t xml:space="preserve"> c. SCRL</w:t>
      </w:r>
      <w:r w:rsidR="00287D39">
        <w:t>)</w:t>
      </w:r>
      <w:r w:rsidR="00244EB5">
        <w:t>.</w:t>
      </w:r>
    </w:p>
  </w:footnote>
  <w:footnote w:id="35">
    <w:p w14:paraId="7BFBC545" w14:textId="637BEBE8" w:rsidR="003E3A03" w:rsidRDefault="003E3A03" w:rsidP="001E35E0">
      <w:pPr>
        <w:pStyle w:val="Notedebasdepage"/>
        <w:spacing w:after="0" w:line="240" w:lineRule="auto"/>
      </w:pPr>
      <w:r>
        <w:rPr>
          <w:rStyle w:val="Appelnotedebasdep"/>
        </w:rPr>
        <w:footnoteRef/>
      </w:r>
      <w:r>
        <w:t xml:space="preserve"> </w:t>
      </w:r>
      <w:r w:rsidR="00E859C0" w:rsidRPr="00E859C0">
        <w:t>Trib. trav. Bruxelles (</w:t>
      </w:r>
      <w:proofErr w:type="spellStart"/>
      <w:r w:rsidR="00E859C0" w:rsidRPr="00E859C0">
        <w:t>cess</w:t>
      </w:r>
      <w:proofErr w:type="spellEnd"/>
      <w:r w:rsidR="00E859C0" w:rsidRPr="00E859C0">
        <w:t xml:space="preserve">.), 3 mai 2021, disponible sur </w:t>
      </w:r>
      <w:hyperlink r:id="rId7" w:history="1">
        <w:r w:rsidR="00E859C0" w:rsidRPr="00277CF1">
          <w:rPr>
            <w:rStyle w:val="Lienhypertexte"/>
          </w:rPr>
          <w:t>www.unia.be</w:t>
        </w:r>
      </w:hyperlink>
      <w:r w:rsidR="00E859C0" w:rsidRPr="00E859C0">
        <w:t>.</w:t>
      </w:r>
    </w:p>
  </w:footnote>
  <w:footnote w:id="36">
    <w:p w14:paraId="636CAB5B" w14:textId="758BFFB1" w:rsidR="006B2DA0" w:rsidRDefault="006B2DA0" w:rsidP="001E35E0">
      <w:pPr>
        <w:pStyle w:val="Notedebasdepage"/>
        <w:spacing w:after="0" w:line="240" w:lineRule="auto"/>
      </w:pPr>
      <w:r>
        <w:rPr>
          <w:rStyle w:val="Appelnotedebasdep"/>
        </w:rPr>
        <w:footnoteRef/>
      </w:r>
      <w:r>
        <w:t xml:space="preserve"> La tournure politique prise par cette affaire explique d’ailleurs </w:t>
      </w:r>
      <w:r w:rsidR="005F50A8">
        <w:t xml:space="preserve">que la décision n’ait pas fait l’objet d’un appel, la direction de la STIB </w:t>
      </w:r>
      <w:r w:rsidR="001E35E0">
        <w:t>ayant été</w:t>
      </w:r>
      <w:r w:rsidR="005F50A8">
        <w:t xml:space="preserve"> contrainte de suivre le choix de son </w:t>
      </w:r>
      <w:r w:rsidR="001E35E0">
        <w:t>autorité de tutelle en l’espèce</w:t>
      </w:r>
      <w:r w:rsidR="005F50A8">
        <w:t>.</w:t>
      </w:r>
    </w:p>
  </w:footnote>
  <w:footnote w:id="37">
    <w:p w14:paraId="1890F958" w14:textId="3D725C59" w:rsidR="00526EB1" w:rsidRPr="0026386A" w:rsidRDefault="00526EB1" w:rsidP="0026386A">
      <w:pPr>
        <w:pStyle w:val="Notedebasdepage"/>
        <w:spacing w:after="0" w:line="240" w:lineRule="auto"/>
        <w:rPr>
          <w:i/>
          <w:iCs/>
        </w:rPr>
      </w:pPr>
      <w:r>
        <w:rPr>
          <w:rStyle w:val="Appelnotedebasdep"/>
        </w:rPr>
        <w:footnoteRef/>
      </w:r>
      <w:r>
        <w:t xml:space="preserve"> Sur </w:t>
      </w:r>
      <w:r w:rsidR="00D00F76">
        <w:t>l’</w:t>
      </w:r>
      <w:r>
        <w:t>idée d’horizontalisation de la neutralité</w:t>
      </w:r>
      <w:r w:rsidR="00D00F76">
        <w:t xml:space="preserve"> </w:t>
      </w:r>
      <w:r w:rsidR="0026386A" w:rsidRPr="0026386A">
        <w:t>comme corollaire de l’horizontalisation des droits fondamentaux</w:t>
      </w:r>
      <w:r w:rsidR="0026386A">
        <w:t xml:space="preserve">, </w:t>
      </w:r>
      <w:proofErr w:type="spellStart"/>
      <w:r w:rsidR="0026386A">
        <w:t>voy</w:t>
      </w:r>
      <w:proofErr w:type="spellEnd"/>
      <w:r w:rsidR="0026386A">
        <w:t xml:space="preserve">. L. </w:t>
      </w:r>
      <w:r w:rsidR="0026386A" w:rsidRPr="0026386A">
        <w:rPr>
          <w:smallCaps/>
        </w:rPr>
        <w:t>Vanbellingen</w:t>
      </w:r>
      <w:r w:rsidR="0026386A">
        <w:t xml:space="preserve">, « La neutralité de l’entreprise face aux expressions religieuses du travailleur », </w:t>
      </w:r>
      <w:r w:rsidR="0026386A">
        <w:rPr>
          <w:i/>
          <w:iCs/>
        </w:rPr>
        <w:t xml:space="preserve">op. </w:t>
      </w:r>
      <w:proofErr w:type="spellStart"/>
      <w:r w:rsidR="0026386A">
        <w:rPr>
          <w:i/>
          <w:iCs/>
        </w:rPr>
        <w:t>cit</w:t>
      </w:r>
      <w:proofErr w:type="spellEnd"/>
      <w:r w:rsidR="0026386A">
        <w:rPr>
          <w:i/>
          <w:iCs/>
        </w:rPr>
        <w:t>.</w:t>
      </w:r>
    </w:p>
  </w:footnote>
  <w:footnote w:id="38">
    <w:p w14:paraId="713C7367" w14:textId="11277AC7" w:rsidR="00CA3CE3" w:rsidRPr="002F5683" w:rsidRDefault="00CA3CE3" w:rsidP="001E35E0">
      <w:pPr>
        <w:pStyle w:val="Notedebasdepage"/>
        <w:spacing w:after="0" w:line="240" w:lineRule="auto"/>
        <w:rPr>
          <w:rFonts w:eastAsia="Times New Roman" w:cs="Times New Roman"/>
        </w:rPr>
      </w:pPr>
      <w:r w:rsidRPr="000F616F">
        <w:rPr>
          <w:rFonts w:eastAsia="Times New Roman" w:cs="Times New Roman"/>
          <w:vertAlign w:val="superscript"/>
          <w:lang w:val="en-GB"/>
        </w:rPr>
        <w:footnoteRef/>
      </w:r>
      <w:r w:rsidRPr="002F5683">
        <w:rPr>
          <w:rFonts w:eastAsia="Times New Roman" w:cs="Times New Roman"/>
        </w:rPr>
        <w:t xml:space="preserve"> </w:t>
      </w:r>
      <w:r w:rsidRPr="000F616F">
        <w:rPr>
          <w:rFonts w:eastAsia="Times New Roman" w:cs="Times New Roman"/>
        </w:rPr>
        <w:fldChar w:fldCharType="begin"/>
      </w:r>
      <w:r w:rsidR="00ED0AA5">
        <w:rPr>
          <w:rFonts w:eastAsia="Times New Roman" w:cs="Times New Roman"/>
        </w:rPr>
        <w:instrText xml:space="preserve"> ADDIN ZOTERO_ITEM CSL_CITATION {"citationID":"GnDVy5XK","properties":{"formattedCitation":"J. {\\scaps Velaers} et M.-C. {\\scaps Foblets}, \\uc0\\u171{}\\uc0\\u160{}Religion and the Secular State in Belgium - Le fait religieux dans ses rapports avec l\\uc0\\u8217{}\\uc0\\u201{}tat en droit belge\\uc0\\u160{}\\uc0\\u187{}, in {\\i{}Religion and the Secular State: National Reports}, Madrid, Complutense Universidad de Madrid, 2015, pp. 103\\uc0\\u8209{}128.","plainCitation":"J. Velaers et M.-C. Foblets, « Religion and the Secular State in Belgium - Le fait religieux dans ses rapports avec l’État en droit belge », in Religion and the Secular State: National Reports, Madrid, Complutense Universidad de Madrid, 2015, pp. 103‑128.","noteIndex":36},"citationItems":[{"id":951,"uris":["http://zotero.org/users/5133869/items/4SBK8IWR"],"uri":["http://zotero.org/users/5133869/items/4SBK8IWR"],"itemData":{"id":951,"type":"chapter","container-title":"Religion and the Secular State: National Reports","event-place":"Madrid","language":"fr","page":"103-128","publisher":"Complutense Universidad de Madrid","publisher-place":"Madrid","source":"Zotero","title":"Religion and the Secular State in Belgium - Le fait religieux dans ses rapports avec l’État en droit belge","author":[{"family":"Velaers","given":"Jan"},{"family":"Foblets","given":"Marie-Claire"}],"issued":{"date-parts":[["2015"]]}}}],"schema":"https://github.com/citation-style-language/schema/raw/master/csl-citation.json"} </w:instrText>
      </w:r>
      <w:r w:rsidRPr="000F616F">
        <w:rPr>
          <w:rFonts w:eastAsia="Times New Roman" w:cs="Times New Roman"/>
        </w:rPr>
        <w:fldChar w:fldCharType="separate"/>
      </w:r>
      <w:r w:rsidR="00ED0AA5" w:rsidRPr="00ED0AA5">
        <w:rPr>
          <w:rFonts w:cs="Times New Roman"/>
          <w:szCs w:val="24"/>
        </w:rPr>
        <w:t xml:space="preserve">J. </w:t>
      </w:r>
      <w:r w:rsidR="00ED0AA5" w:rsidRPr="00ED0AA5">
        <w:rPr>
          <w:rFonts w:cs="Times New Roman"/>
          <w:smallCaps/>
          <w:szCs w:val="24"/>
        </w:rPr>
        <w:t>Velaers</w:t>
      </w:r>
      <w:r w:rsidR="00ED0AA5" w:rsidRPr="00ED0AA5">
        <w:rPr>
          <w:rFonts w:cs="Times New Roman"/>
          <w:szCs w:val="24"/>
        </w:rPr>
        <w:t xml:space="preserve"> et M.-C. </w:t>
      </w:r>
      <w:r w:rsidR="00ED0AA5" w:rsidRPr="00ED0AA5">
        <w:rPr>
          <w:rFonts w:cs="Times New Roman"/>
          <w:smallCaps/>
          <w:szCs w:val="24"/>
        </w:rPr>
        <w:t>Foblets</w:t>
      </w:r>
      <w:r w:rsidR="00ED0AA5" w:rsidRPr="00ED0AA5">
        <w:rPr>
          <w:rFonts w:cs="Times New Roman"/>
          <w:szCs w:val="24"/>
        </w:rPr>
        <w:t xml:space="preserve">, « Religion and the Secular State in Belgium - Le fait religieux dans ses rapports avec l’État en droit belge », in </w:t>
      </w:r>
      <w:r w:rsidR="00ED0AA5" w:rsidRPr="00ED0AA5">
        <w:rPr>
          <w:rFonts w:cs="Times New Roman"/>
          <w:i/>
          <w:iCs/>
          <w:szCs w:val="24"/>
        </w:rPr>
        <w:t>Religion and the Secular State: National Reports</w:t>
      </w:r>
      <w:r w:rsidR="00ED0AA5" w:rsidRPr="00ED0AA5">
        <w:rPr>
          <w:rFonts w:cs="Times New Roman"/>
          <w:szCs w:val="24"/>
        </w:rPr>
        <w:t>, Madrid, Complutense Universidad de Madrid, 2015, pp. 103‑128.</w:t>
      </w:r>
      <w:r w:rsidRPr="000F616F">
        <w:rPr>
          <w:rFonts w:eastAsia="Times New Roman" w:cs="Times New Roman"/>
        </w:rPr>
        <w:fldChar w:fldCharType="end"/>
      </w:r>
    </w:p>
  </w:footnote>
  <w:footnote w:id="39">
    <w:p w14:paraId="372436EC" w14:textId="4F1D8D17" w:rsidR="00CA3CE3" w:rsidRDefault="00CA3CE3" w:rsidP="001E35E0">
      <w:pPr>
        <w:pStyle w:val="Notedebasdepage"/>
        <w:spacing w:after="0" w:line="240" w:lineRule="auto"/>
      </w:pPr>
      <w:r>
        <w:rPr>
          <w:rStyle w:val="Appelnotedebasdep"/>
        </w:rPr>
        <w:footnoteRef/>
      </w:r>
      <w:r>
        <w:t xml:space="preserve"> </w:t>
      </w:r>
      <w:r w:rsidRPr="00927D1B">
        <w:t xml:space="preserve">C. </w:t>
      </w:r>
      <w:proofErr w:type="spellStart"/>
      <w:r w:rsidRPr="00927D1B">
        <w:t>Const</w:t>
      </w:r>
      <w:proofErr w:type="spellEnd"/>
      <w:r w:rsidRPr="00927D1B">
        <w:t xml:space="preserve">., 15 mars 2011, </w:t>
      </w:r>
      <w:proofErr w:type="spellStart"/>
      <w:r w:rsidRPr="00927D1B">
        <w:t>R.G</w:t>
      </w:r>
      <w:proofErr w:type="spellEnd"/>
      <w:r w:rsidRPr="00927D1B">
        <w:t xml:space="preserve">. n° 40/2011, </w:t>
      </w:r>
      <w:r w:rsidR="00FE3C70">
        <w:t xml:space="preserve">§ </w:t>
      </w:r>
      <w:r w:rsidRPr="00927D1B">
        <w:t>B.9.5 al. 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052602"/>
    <w:multiLevelType w:val="hybridMultilevel"/>
    <w:tmpl w:val="9AB828F0"/>
    <w:lvl w:ilvl="0" w:tplc="FCD05486">
      <w:start w:val="1"/>
      <w:numFmt w:val="decimal"/>
      <w:lvlText w:val="%1."/>
      <w:lvlJc w:val="left"/>
      <w:pPr>
        <w:ind w:left="1068" w:hanging="360"/>
      </w:pPr>
    </w:lvl>
    <w:lvl w:ilvl="1" w:tplc="080C0019" w:tentative="1">
      <w:start w:val="1"/>
      <w:numFmt w:val="lowerLetter"/>
      <w:lvlText w:val="%2."/>
      <w:lvlJc w:val="left"/>
      <w:pPr>
        <w:ind w:left="1788" w:hanging="360"/>
      </w:pPr>
    </w:lvl>
    <w:lvl w:ilvl="2" w:tplc="080C001B" w:tentative="1">
      <w:start w:val="1"/>
      <w:numFmt w:val="lowerRoman"/>
      <w:lvlText w:val="%3."/>
      <w:lvlJc w:val="right"/>
      <w:pPr>
        <w:ind w:left="2508" w:hanging="180"/>
      </w:pPr>
    </w:lvl>
    <w:lvl w:ilvl="3" w:tplc="080C000F" w:tentative="1">
      <w:start w:val="1"/>
      <w:numFmt w:val="decimal"/>
      <w:lvlText w:val="%4."/>
      <w:lvlJc w:val="left"/>
      <w:pPr>
        <w:ind w:left="3228" w:hanging="360"/>
      </w:pPr>
    </w:lvl>
    <w:lvl w:ilvl="4" w:tplc="080C0019" w:tentative="1">
      <w:start w:val="1"/>
      <w:numFmt w:val="lowerLetter"/>
      <w:lvlText w:val="%5."/>
      <w:lvlJc w:val="left"/>
      <w:pPr>
        <w:ind w:left="3948" w:hanging="360"/>
      </w:pPr>
    </w:lvl>
    <w:lvl w:ilvl="5" w:tplc="080C001B" w:tentative="1">
      <w:start w:val="1"/>
      <w:numFmt w:val="lowerRoman"/>
      <w:lvlText w:val="%6."/>
      <w:lvlJc w:val="right"/>
      <w:pPr>
        <w:ind w:left="4668" w:hanging="180"/>
      </w:pPr>
    </w:lvl>
    <w:lvl w:ilvl="6" w:tplc="080C000F" w:tentative="1">
      <w:start w:val="1"/>
      <w:numFmt w:val="decimal"/>
      <w:lvlText w:val="%7."/>
      <w:lvlJc w:val="left"/>
      <w:pPr>
        <w:ind w:left="5388" w:hanging="360"/>
      </w:pPr>
    </w:lvl>
    <w:lvl w:ilvl="7" w:tplc="080C0019" w:tentative="1">
      <w:start w:val="1"/>
      <w:numFmt w:val="lowerLetter"/>
      <w:lvlText w:val="%8."/>
      <w:lvlJc w:val="left"/>
      <w:pPr>
        <w:ind w:left="6108" w:hanging="360"/>
      </w:pPr>
    </w:lvl>
    <w:lvl w:ilvl="8" w:tplc="080C001B" w:tentative="1">
      <w:start w:val="1"/>
      <w:numFmt w:val="lowerRoman"/>
      <w:lvlText w:val="%9."/>
      <w:lvlJc w:val="right"/>
      <w:pPr>
        <w:ind w:left="6828" w:hanging="180"/>
      </w:pPr>
    </w:lvl>
  </w:abstractNum>
  <w:abstractNum w:abstractNumId="1" w15:restartNumberingAfterBreak="0">
    <w:nsid w:val="22B356FC"/>
    <w:multiLevelType w:val="hybridMultilevel"/>
    <w:tmpl w:val="F9E0B476"/>
    <w:lvl w:ilvl="0" w:tplc="882474D0">
      <w:start w:val="1"/>
      <w:numFmt w:val="lowerLetter"/>
      <w:pStyle w:val="Titre4"/>
      <w:lvlText w:val="%1."/>
      <w:lvlJc w:val="left"/>
      <w:pPr>
        <w:ind w:left="1428" w:hanging="360"/>
      </w:pPr>
    </w:lvl>
    <w:lvl w:ilvl="1" w:tplc="080C0019" w:tentative="1">
      <w:start w:val="1"/>
      <w:numFmt w:val="lowerLetter"/>
      <w:lvlText w:val="%2."/>
      <w:lvlJc w:val="left"/>
      <w:pPr>
        <w:ind w:left="2148" w:hanging="360"/>
      </w:pPr>
    </w:lvl>
    <w:lvl w:ilvl="2" w:tplc="080C001B" w:tentative="1">
      <w:start w:val="1"/>
      <w:numFmt w:val="lowerRoman"/>
      <w:lvlText w:val="%3."/>
      <w:lvlJc w:val="right"/>
      <w:pPr>
        <w:ind w:left="2868" w:hanging="180"/>
      </w:pPr>
    </w:lvl>
    <w:lvl w:ilvl="3" w:tplc="080C000F" w:tentative="1">
      <w:start w:val="1"/>
      <w:numFmt w:val="decimal"/>
      <w:lvlText w:val="%4."/>
      <w:lvlJc w:val="left"/>
      <w:pPr>
        <w:ind w:left="3588" w:hanging="360"/>
      </w:pPr>
    </w:lvl>
    <w:lvl w:ilvl="4" w:tplc="080C0019" w:tentative="1">
      <w:start w:val="1"/>
      <w:numFmt w:val="lowerLetter"/>
      <w:lvlText w:val="%5."/>
      <w:lvlJc w:val="left"/>
      <w:pPr>
        <w:ind w:left="4308" w:hanging="360"/>
      </w:pPr>
    </w:lvl>
    <w:lvl w:ilvl="5" w:tplc="080C001B" w:tentative="1">
      <w:start w:val="1"/>
      <w:numFmt w:val="lowerRoman"/>
      <w:lvlText w:val="%6."/>
      <w:lvlJc w:val="right"/>
      <w:pPr>
        <w:ind w:left="5028" w:hanging="180"/>
      </w:pPr>
    </w:lvl>
    <w:lvl w:ilvl="6" w:tplc="080C000F" w:tentative="1">
      <w:start w:val="1"/>
      <w:numFmt w:val="decimal"/>
      <w:lvlText w:val="%7."/>
      <w:lvlJc w:val="left"/>
      <w:pPr>
        <w:ind w:left="5748" w:hanging="360"/>
      </w:pPr>
    </w:lvl>
    <w:lvl w:ilvl="7" w:tplc="080C0019" w:tentative="1">
      <w:start w:val="1"/>
      <w:numFmt w:val="lowerLetter"/>
      <w:lvlText w:val="%8."/>
      <w:lvlJc w:val="left"/>
      <w:pPr>
        <w:ind w:left="6468" w:hanging="360"/>
      </w:pPr>
    </w:lvl>
    <w:lvl w:ilvl="8" w:tplc="080C001B" w:tentative="1">
      <w:start w:val="1"/>
      <w:numFmt w:val="lowerRoman"/>
      <w:lvlText w:val="%9."/>
      <w:lvlJc w:val="right"/>
      <w:pPr>
        <w:ind w:left="7188" w:hanging="180"/>
      </w:pPr>
    </w:lvl>
  </w:abstractNum>
  <w:abstractNum w:abstractNumId="2" w15:restartNumberingAfterBreak="0">
    <w:nsid w:val="330A3A5B"/>
    <w:multiLevelType w:val="hybridMultilevel"/>
    <w:tmpl w:val="AE7C5EE4"/>
    <w:lvl w:ilvl="0" w:tplc="85B263D8">
      <w:numFmt w:val="bullet"/>
      <w:lvlText w:val="•"/>
      <w:lvlJc w:val="left"/>
      <w:pPr>
        <w:ind w:left="1065" w:hanging="705"/>
      </w:pPr>
      <w:rPr>
        <w:rFonts w:ascii="Times New Roman" w:eastAsiaTheme="minorHAns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 w15:restartNumberingAfterBreak="0">
    <w:nsid w:val="358D2B55"/>
    <w:multiLevelType w:val="multilevel"/>
    <w:tmpl w:val="720CBAE8"/>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4A7F3B1B"/>
    <w:multiLevelType w:val="multilevel"/>
    <w:tmpl w:val="7CCC1F9E"/>
    <w:lvl w:ilvl="0">
      <w:start w:val="1"/>
      <w:numFmt w:val="decimal"/>
      <w:pStyle w:val="Titre1"/>
      <w:lvlText w:val="%1."/>
      <w:lvlJc w:val="left"/>
      <w:pPr>
        <w:ind w:left="360" w:hanging="360"/>
      </w:pPr>
      <w:rPr>
        <w:rFonts w:hint="default"/>
      </w:rPr>
    </w:lvl>
    <w:lvl w:ilvl="1">
      <w:start w:val="1"/>
      <w:numFmt w:val="decimal"/>
      <w:pStyle w:val="Titre2"/>
      <w:lvlText w:val="%1.%2."/>
      <w:lvlJc w:val="left"/>
      <w:pPr>
        <w:ind w:left="792" w:hanging="432"/>
      </w:pPr>
    </w:lvl>
    <w:lvl w:ilvl="2">
      <w:start w:val="1"/>
      <w:numFmt w:val="decimal"/>
      <w:pStyle w:val="Titr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373246C"/>
    <w:multiLevelType w:val="hybridMultilevel"/>
    <w:tmpl w:val="0ABE8C3C"/>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 w15:restartNumberingAfterBreak="0">
    <w:nsid w:val="5CBA1B2A"/>
    <w:multiLevelType w:val="hybridMultilevel"/>
    <w:tmpl w:val="0F7E98CC"/>
    <w:lvl w:ilvl="0" w:tplc="3B0A59BA">
      <w:start w:val="1"/>
      <w:numFmt w:val="upperRoman"/>
      <w:lvlText w:val="%1."/>
      <w:lvlJc w:val="righ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67086AE4"/>
    <w:multiLevelType w:val="hybridMultilevel"/>
    <w:tmpl w:val="B1B4ECC6"/>
    <w:lvl w:ilvl="0" w:tplc="04A484A2">
      <w:start w:val="1"/>
      <w:numFmt w:val="upp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16cid:durableId="1460415624">
    <w:abstractNumId w:val="6"/>
  </w:num>
  <w:num w:numId="2" w16cid:durableId="1850024457">
    <w:abstractNumId w:val="7"/>
  </w:num>
  <w:num w:numId="3" w16cid:durableId="111947082">
    <w:abstractNumId w:val="0"/>
  </w:num>
  <w:num w:numId="4" w16cid:durableId="1165821309">
    <w:abstractNumId w:val="1"/>
  </w:num>
  <w:num w:numId="5" w16cid:durableId="1839927779">
    <w:abstractNumId w:val="7"/>
    <w:lvlOverride w:ilvl="0">
      <w:startOverride w:val="1"/>
    </w:lvlOverride>
  </w:num>
  <w:num w:numId="6" w16cid:durableId="1406416255">
    <w:abstractNumId w:val="0"/>
    <w:lvlOverride w:ilvl="0">
      <w:startOverride w:val="1"/>
    </w:lvlOverride>
  </w:num>
  <w:num w:numId="7" w16cid:durableId="2025016721">
    <w:abstractNumId w:val="4"/>
  </w:num>
  <w:num w:numId="8" w16cid:durableId="978195670">
    <w:abstractNumId w:val="5"/>
  </w:num>
  <w:num w:numId="9" w16cid:durableId="1532840772">
    <w:abstractNumId w:val="2"/>
  </w:num>
  <w:num w:numId="10" w16cid:durableId="30952976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42B4"/>
    <w:rsid w:val="000059C3"/>
    <w:rsid w:val="00005E43"/>
    <w:rsid w:val="000066C0"/>
    <w:rsid w:val="0001065F"/>
    <w:rsid w:val="0001415D"/>
    <w:rsid w:val="00023B57"/>
    <w:rsid w:val="0003345A"/>
    <w:rsid w:val="00035C76"/>
    <w:rsid w:val="00037E92"/>
    <w:rsid w:val="00041CFD"/>
    <w:rsid w:val="00044969"/>
    <w:rsid w:val="00046C49"/>
    <w:rsid w:val="00046C98"/>
    <w:rsid w:val="000550C1"/>
    <w:rsid w:val="000604C5"/>
    <w:rsid w:val="00062EFE"/>
    <w:rsid w:val="000721CB"/>
    <w:rsid w:val="00072219"/>
    <w:rsid w:val="000722E9"/>
    <w:rsid w:val="00083886"/>
    <w:rsid w:val="00083D85"/>
    <w:rsid w:val="000931E9"/>
    <w:rsid w:val="000A2878"/>
    <w:rsid w:val="000B04FA"/>
    <w:rsid w:val="000B4BA4"/>
    <w:rsid w:val="000B5C7F"/>
    <w:rsid w:val="000C1940"/>
    <w:rsid w:val="000C3055"/>
    <w:rsid w:val="000D05A1"/>
    <w:rsid w:val="000E1113"/>
    <w:rsid w:val="000E4430"/>
    <w:rsid w:val="000E6F94"/>
    <w:rsid w:val="000F00FA"/>
    <w:rsid w:val="000F0A86"/>
    <w:rsid w:val="000F416C"/>
    <w:rsid w:val="000F616F"/>
    <w:rsid w:val="000F64C1"/>
    <w:rsid w:val="00100A3B"/>
    <w:rsid w:val="00100F3E"/>
    <w:rsid w:val="00102EAB"/>
    <w:rsid w:val="00104AB6"/>
    <w:rsid w:val="001160AC"/>
    <w:rsid w:val="00123055"/>
    <w:rsid w:val="00140A55"/>
    <w:rsid w:val="0014657E"/>
    <w:rsid w:val="00146F04"/>
    <w:rsid w:val="00155540"/>
    <w:rsid w:val="00170070"/>
    <w:rsid w:val="00174599"/>
    <w:rsid w:val="00177F20"/>
    <w:rsid w:val="00181497"/>
    <w:rsid w:val="001816C2"/>
    <w:rsid w:val="0019217D"/>
    <w:rsid w:val="00197FBB"/>
    <w:rsid w:val="001A464B"/>
    <w:rsid w:val="001A738D"/>
    <w:rsid w:val="001B2FB1"/>
    <w:rsid w:val="001B4884"/>
    <w:rsid w:val="001B6379"/>
    <w:rsid w:val="001B6C85"/>
    <w:rsid w:val="001C4E6C"/>
    <w:rsid w:val="001D0335"/>
    <w:rsid w:val="001D6E7B"/>
    <w:rsid w:val="001E16E7"/>
    <w:rsid w:val="001E35E0"/>
    <w:rsid w:val="001F0367"/>
    <w:rsid w:val="001F259D"/>
    <w:rsid w:val="001F425F"/>
    <w:rsid w:val="0020310D"/>
    <w:rsid w:val="002044E5"/>
    <w:rsid w:val="00211420"/>
    <w:rsid w:val="00213101"/>
    <w:rsid w:val="00214C72"/>
    <w:rsid w:val="002213B8"/>
    <w:rsid w:val="00232576"/>
    <w:rsid w:val="002345BD"/>
    <w:rsid w:val="00244EB5"/>
    <w:rsid w:val="00247DE5"/>
    <w:rsid w:val="0025195A"/>
    <w:rsid w:val="00255769"/>
    <w:rsid w:val="0025725D"/>
    <w:rsid w:val="0026386A"/>
    <w:rsid w:val="00263E5B"/>
    <w:rsid w:val="0027106A"/>
    <w:rsid w:val="0027433E"/>
    <w:rsid w:val="00274EB4"/>
    <w:rsid w:val="00277536"/>
    <w:rsid w:val="00287D39"/>
    <w:rsid w:val="00292F48"/>
    <w:rsid w:val="002A2EAC"/>
    <w:rsid w:val="002B14B0"/>
    <w:rsid w:val="002B4EB3"/>
    <w:rsid w:val="002C0AF9"/>
    <w:rsid w:val="002C2001"/>
    <w:rsid w:val="002C3801"/>
    <w:rsid w:val="002C3C81"/>
    <w:rsid w:val="002D29AF"/>
    <w:rsid w:val="002D2DAE"/>
    <w:rsid w:val="002D4B05"/>
    <w:rsid w:val="002D588D"/>
    <w:rsid w:val="002E04FB"/>
    <w:rsid w:val="002E2E12"/>
    <w:rsid w:val="002E3626"/>
    <w:rsid w:val="002E70F6"/>
    <w:rsid w:val="002F5683"/>
    <w:rsid w:val="002F7340"/>
    <w:rsid w:val="0030119C"/>
    <w:rsid w:val="00306175"/>
    <w:rsid w:val="003131F4"/>
    <w:rsid w:val="00320F33"/>
    <w:rsid w:val="00323C5E"/>
    <w:rsid w:val="00325469"/>
    <w:rsid w:val="00327E34"/>
    <w:rsid w:val="00330445"/>
    <w:rsid w:val="00336EEA"/>
    <w:rsid w:val="0034070D"/>
    <w:rsid w:val="00340FBC"/>
    <w:rsid w:val="003460F5"/>
    <w:rsid w:val="00347E1B"/>
    <w:rsid w:val="00354F46"/>
    <w:rsid w:val="003701B4"/>
    <w:rsid w:val="0037435D"/>
    <w:rsid w:val="00376F20"/>
    <w:rsid w:val="00382173"/>
    <w:rsid w:val="00387821"/>
    <w:rsid w:val="00387C65"/>
    <w:rsid w:val="00391B87"/>
    <w:rsid w:val="00397D10"/>
    <w:rsid w:val="003A2A96"/>
    <w:rsid w:val="003A2E0F"/>
    <w:rsid w:val="003A5231"/>
    <w:rsid w:val="003A7A29"/>
    <w:rsid w:val="003B367B"/>
    <w:rsid w:val="003B3737"/>
    <w:rsid w:val="003B6129"/>
    <w:rsid w:val="003B7E83"/>
    <w:rsid w:val="003C1C9F"/>
    <w:rsid w:val="003C76CA"/>
    <w:rsid w:val="003D217A"/>
    <w:rsid w:val="003D3EEE"/>
    <w:rsid w:val="003D5152"/>
    <w:rsid w:val="003D6BE0"/>
    <w:rsid w:val="003E3A03"/>
    <w:rsid w:val="003F3627"/>
    <w:rsid w:val="003F45CB"/>
    <w:rsid w:val="003F5419"/>
    <w:rsid w:val="00410256"/>
    <w:rsid w:val="00414CA2"/>
    <w:rsid w:val="00417FE5"/>
    <w:rsid w:val="0042235F"/>
    <w:rsid w:val="004237CA"/>
    <w:rsid w:val="00432218"/>
    <w:rsid w:val="00436706"/>
    <w:rsid w:val="00440798"/>
    <w:rsid w:val="00443070"/>
    <w:rsid w:val="00451199"/>
    <w:rsid w:val="00452E1F"/>
    <w:rsid w:val="004530E9"/>
    <w:rsid w:val="00453867"/>
    <w:rsid w:val="004603C2"/>
    <w:rsid w:val="00467047"/>
    <w:rsid w:val="0048610D"/>
    <w:rsid w:val="0048617E"/>
    <w:rsid w:val="00486B51"/>
    <w:rsid w:val="004929F2"/>
    <w:rsid w:val="004933F1"/>
    <w:rsid w:val="00493EA3"/>
    <w:rsid w:val="0049674A"/>
    <w:rsid w:val="00496F73"/>
    <w:rsid w:val="004A0655"/>
    <w:rsid w:val="004A0EA9"/>
    <w:rsid w:val="004A4E3A"/>
    <w:rsid w:val="004A67C2"/>
    <w:rsid w:val="004A6F6F"/>
    <w:rsid w:val="004A7721"/>
    <w:rsid w:val="004A7862"/>
    <w:rsid w:val="004B435D"/>
    <w:rsid w:val="004B4D5E"/>
    <w:rsid w:val="004E5AA9"/>
    <w:rsid w:val="005034BF"/>
    <w:rsid w:val="005079CE"/>
    <w:rsid w:val="005154C5"/>
    <w:rsid w:val="005163BE"/>
    <w:rsid w:val="00522993"/>
    <w:rsid w:val="00526EB1"/>
    <w:rsid w:val="00532190"/>
    <w:rsid w:val="00534770"/>
    <w:rsid w:val="005357A0"/>
    <w:rsid w:val="00535A31"/>
    <w:rsid w:val="0053615E"/>
    <w:rsid w:val="00536486"/>
    <w:rsid w:val="00543BD2"/>
    <w:rsid w:val="005559D6"/>
    <w:rsid w:val="00557962"/>
    <w:rsid w:val="00561B6D"/>
    <w:rsid w:val="00563C90"/>
    <w:rsid w:val="00564C76"/>
    <w:rsid w:val="00573088"/>
    <w:rsid w:val="00576785"/>
    <w:rsid w:val="005810D9"/>
    <w:rsid w:val="0058411E"/>
    <w:rsid w:val="00586A0E"/>
    <w:rsid w:val="00587696"/>
    <w:rsid w:val="005933F3"/>
    <w:rsid w:val="005936FD"/>
    <w:rsid w:val="005A7BE4"/>
    <w:rsid w:val="005B6D88"/>
    <w:rsid w:val="005C0F5E"/>
    <w:rsid w:val="005C40AA"/>
    <w:rsid w:val="005C4768"/>
    <w:rsid w:val="005C7639"/>
    <w:rsid w:val="005F50A8"/>
    <w:rsid w:val="005F54C4"/>
    <w:rsid w:val="0060220E"/>
    <w:rsid w:val="0060427D"/>
    <w:rsid w:val="00605101"/>
    <w:rsid w:val="00605A48"/>
    <w:rsid w:val="0060621B"/>
    <w:rsid w:val="0060764D"/>
    <w:rsid w:val="0061121B"/>
    <w:rsid w:val="00613474"/>
    <w:rsid w:val="006161E5"/>
    <w:rsid w:val="006260DE"/>
    <w:rsid w:val="00626D56"/>
    <w:rsid w:val="006275C9"/>
    <w:rsid w:val="00630827"/>
    <w:rsid w:val="00640E3B"/>
    <w:rsid w:val="00652A36"/>
    <w:rsid w:val="00656A05"/>
    <w:rsid w:val="00660820"/>
    <w:rsid w:val="006640A7"/>
    <w:rsid w:val="006653CB"/>
    <w:rsid w:val="006861F3"/>
    <w:rsid w:val="00686D38"/>
    <w:rsid w:val="006B0DD0"/>
    <w:rsid w:val="006B2DA0"/>
    <w:rsid w:val="006B60A4"/>
    <w:rsid w:val="006C1778"/>
    <w:rsid w:val="006C48FA"/>
    <w:rsid w:val="006D4DB7"/>
    <w:rsid w:val="006D64E5"/>
    <w:rsid w:val="006E3F4B"/>
    <w:rsid w:val="006E46E3"/>
    <w:rsid w:val="006F11C3"/>
    <w:rsid w:val="006F6414"/>
    <w:rsid w:val="00700BD1"/>
    <w:rsid w:val="00706803"/>
    <w:rsid w:val="00710175"/>
    <w:rsid w:val="00715F8E"/>
    <w:rsid w:val="0072099C"/>
    <w:rsid w:val="00721227"/>
    <w:rsid w:val="00722EB9"/>
    <w:rsid w:val="007241F0"/>
    <w:rsid w:val="0073448C"/>
    <w:rsid w:val="00734C2A"/>
    <w:rsid w:val="0074011D"/>
    <w:rsid w:val="00741943"/>
    <w:rsid w:val="00742A73"/>
    <w:rsid w:val="00742F4E"/>
    <w:rsid w:val="00742FE2"/>
    <w:rsid w:val="00746DA6"/>
    <w:rsid w:val="00747134"/>
    <w:rsid w:val="00751FE0"/>
    <w:rsid w:val="00753068"/>
    <w:rsid w:val="00755DBC"/>
    <w:rsid w:val="00756920"/>
    <w:rsid w:val="00760071"/>
    <w:rsid w:val="00760772"/>
    <w:rsid w:val="00763C2B"/>
    <w:rsid w:val="0077073E"/>
    <w:rsid w:val="00777E2F"/>
    <w:rsid w:val="00786172"/>
    <w:rsid w:val="007A6644"/>
    <w:rsid w:val="007B1887"/>
    <w:rsid w:val="007B3EDD"/>
    <w:rsid w:val="007C6CB5"/>
    <w:rsid w:val="007C7804"/>
    <w:rsid w:val="007D7C9E"/>
    <w:rsid w:val="007E07F9"/>
    <w:rsid w:val="007E4BF7"/>
    <w:rsid w:val="007E788F"/>
    <w:rsid w:val="007F01CE"/>
    <w:rsid w:val="007F40BC"/>
    <w:rsid w:val="007F45F2"/>
    <w:rsid w:val="008016B7"/>
    <w:rsid w:val="00804066"/>
    <w:rsid w:val="008075C1"/>
    <w:rsid w:val="00811C0B"/>
    <w:rsid w:val="00814E50"/>
    <w:rsid w:val="00817304"/>
    <w:rsid w:val="008344D8"/>
    <w:rsid w:val="00836A91"/>
    <w:rsid w:val="008416BD"/>
    <w:rsid w:val="00844C9B"/>
    <w:rsid w:val="00845A38"/>
    <w:rsid w:val="00855326"/>
    <w:rsid w:val="00857539"/>
    <w:rsid w:val="00857D36"/>
    <w:rsid w:val="008638CF"/>
    <w:rsid w:val="00864CF5"/>
    <w:rsid w:val="00877C30"/>
    <w:rsid w:val="00884C40"/>
    <w:rsid w:val="00893BA0"/>
    <w:rsid w:val="00896E76"/>
    <w:rsid w:val="008A5239"/>
    <w:rsid w:val="008A67CF"/>
    <w:rsid w:val="008B6120"/>
    <w:rsid w:val="008C097F"/>
    <w:rsid w:val="008C47BD"/>
    <w:rsid w:val="008D061F"/>
    <w:rsid w:val="008D403B"/>
    <w:rsid w:val="008D4D5C"/>
    <w:rsid w:val="008E33EB"/>
    <w:rsid w:val="0090018A"/>
    <w:rsid w:val="0091143F"/>
    <w:rsid w:val="00921182"/>
    <w:rsid w:val="00927D1B"/>
    <w:rsid w:val="00934F3D"/>
    <w:rsid w:val="00936897"/>
    <w:rsid w:val="0093744E"/>
    <w:rsid w:val="00937B3C"/>
    <w:rsid w:val="00944440"/>
    <w:rsid w:val="00945309"/>
    <w:rsid w:val="00947214"/>
    <w:rsid w:val="009477AD"/>
    <w:rsid w:val="009501DF"/>
    <w:rsid w:val="0095117A"/>
    <w:rsid w:val="00951489"/>
    <w:rsid w:val="009542B4"/>
    <w:rsid w:val="00960F3D"/>
    <w:rsid w:val="00964963"/>
    <w:rsid w:val="009779A5"/>
    <w:rsid w:val="00982A0B"/>
    <w:rsid w:val="009877E1"/>
    <w:rsid w:val="00990AE0"/>
    <w:rsid w:val="00995D2D"/>
    <w:rsid w:val="009965B0"/>
    <w:rsid w:val="009B7104"/>
    <w:rsid w:val="009C1A6D"/>
    <w:rsid w:val="009C5BD5"/>
    <w:rsid w:val="009C6CCB"/>
    <w:rsid w:val="009D237F"/>
    <w:rsid w:val="009D2ED1"/>
    <w:rsid w:val="009D3503"/>
    <w:rsid w:val="009E769F"/>
    <w:rsid w:val="009E7851"/>
    <w:rsid w:val="009F2050"/>
    <w:rsid w:val="009F2FDB"/>
    <w:rsid w:val="009F4969"/>
    <w:rsid w:val="00A105FA"/>
    <w:rsid w:val="00A11774"/>
    <w:rsid w:val="00A1526B"/>
    <w:rsid w:val="00A21072"/>
    <w:rsid w:val="00A32B59"/>
    <w:rsid w:val="00A363BD"/>
    <w:rsid w:val="00A43102"/>
    <w:rsid w:val="00A437AE"/>
    <w:rsid w:val="00A50F17"/>
    <w:rsid w:val="00A5240A"/>
    <w:rsid w:val="00A53EFE"/>
    <w:rsid w:val="00A553FC"/>
    <w:rsid w:val="00A55895"/>
    <w:rsid w:val="00A55AD5"/>
    <w:rsid w:val="00A572AF"/>
    <w:rsid w:val="00A57CB9"/>
    <w:rsid w:val="00A6214C"/>
    <w:rsid w:val="00A6576F"/>
    <w:rsid w:val="00A658CE"/>
    <w:rsid w:val="00A70FC2"/>
    <w:rsid w:val="00A81568"/>
    <w:rsid w:val="00A8176D"/>
    <w:rsid w:val="00A87828"/>
    <w:rsid w:val="00A97DC6"/>
    <w:rsid w:val="00AA4017"/>
    <w:rsid w:val="00AC0F29"/>
    <w:rsid w:val="00AC60DE"/>
    <w:rsid w:val="00AC7F5F"/>
    <w:rsid w:val="00AD2563"/>
    <w:rsid w:val="00AD3253"/>
    <w:rsid w:val="00AE03A8"/>
    <w:rsid w:val="00AE1879"/>
    <w:rsid w:val="00AE2575"/>
    <w:rsid w:val="00AF296D"/>
    <w:rsid w:val="00AF3DB8"/>
    <w:rsid w:val="00B07F41"/>
    <w:rsid w:val="00B12614"/>
    <w:rsid w:val="00B13FC0"/>
    <w:rsid w:val="00B14EB7"/>
    <w:rsid w:val="00B21A20"/>
    <w:rsid w:val="00B2372F"/>
    <w:rsid w:val="00B3363A"/>
    <w:rsid w:val="00B4088E"/>
    <w:rsid w:val="00B42FB7"/>
    <w:rsid w:val="00B46914"/>
    <w:rsid w:val="00B479EC"/>
    <w:rsid w:val="00B5234E"/>
    <w:rsid w:val="00B61BCF"/>
    <w:rsid w:val="00B63433"/>
    <w:rsid w:val="00B64F4C"/>
    <w:rsid w:val="00B670D8"/>
    <w:rsid w:val="00B73567"/>
    <w:rsid w:val="00B76F46"/>
    <w:rsid w:val="00B818CF"/>
    <w:rsid w:val="00B82596"/>
    <w:rsid w:val="00B84640"/>
    <w:rsid w:val="00B9012F"/>
    <w:rsid w:val="00BA16D1"/>
    <w:rsid w:val="00BB24EE"/>
    <w:rsid w:val="00BB62E1"/>
    <w:rsid w:val="00BC058A"/>
    <w:rsid w:val="00BC68AB"/>
    <w:rsid w:val="00BC7EBE"/>
    <w:rsid w:val="00BD1E54"/>
    <w:rsid w:val="00BD3063"/>
    <w:rsid w:val="00BD6745"/>
    <w:rsid w:val="00BD7CD8"/>
    <w:rsid w:val="00BE42A5"/>
    <w:rsid w:val="00BE4BC9"/>
    <w:rsid w:val="00BF1ED8"/>
    <w:rsid w:val="00BF2315"/>
    <w:rsid w:val="00BF364A"/>
    <w:rsid w:val="00C1401A"/>
    <w:rsid w:val="00C15742"/>
    <w:rsid w:val="00C20162"/>
    <w:rsid w:val="00C25C60"/>
    <w:rsid w:val="00C2695F"/>
    <w:rsid w:val="00C2754C"/>
    <w:rsid w:val="00C3047B"/>
    <w:rsid w:val="00C31ACA"/>
    <w:rsid w:val="00C4234D"/>
    <w:rsid w:val="00C50EAF"/>
    <w:rsid w:val="00C516BE"/>
    <w:rsid w:val="00C53DF9"/>
    <w:rsid w:val="00C619DC"/>
    <w:rsid w:val="00C66DAF"/>
    <w:rsid w:val="00C70426"/>
    <w:rsid w:val="00C7052C"/>
    <w:rsid w:val="00C72009"/>
    <w:rsid w:val="00C74E88"/>
    <w:rsid w:val="00C8520F"/>
    <w:rsid w:val="00C957DB"/>
    <w:rsid w:val="00C95AE9"/>
    <w:rsid w:val="00C9744B"/>
    <w:rsid w:val="00CA1D0D"/>
    <w:rsid w:val="00CA3CE3"/>
    <w:rsid w:val="00CA5D7A"/>
    <w:rsid w:val="00CB0921"/>
    <w:rsid w:val="00CB4134"/>
    <w:rsid w:val="00CD4C80"/>
    <w:rsid w:val="00CF477A"/>
    <w:rsid w:val="00D00F76"/>
    <w:rsid w:val="00D16E1D"/>
    <w:rsid w:val="00D17566"/>
    <w:rsid w:val="00D206DB"/>
    <w:rsid w:val="00D22324"/>
    <w:rsid w:val="00D2356E"/>
    <w:rsid w:val="00D30541"/>
    <w:rsid w:val="00D33C74"/>
    <w:rsid w:val="00D34C9C"/>
    <w:rsid w:val="00D402CF"/>
    <w:rsid w:val="00D40D8E"/>
    <w:rsid w:val="00D40E74"/>
    <w:rsid w:val="00D42438"/>
    <w:rsid w:val="00D47F53"/>
    <w:rsid w:val="00D61EE7"/>
    <w:rsid w:val="00D646E0"/>
    <w:rsid w:val="00D75879"/>
    <w:rsid w:val="00D85D57"/>
    <w:rsid w:val="00D96D16"/>
    <w:rsid w:val="00DB1DA7"/>
    <w:rsid w:val="00DB57CA"/>
    <w:rsid w:val="00DC0A1D"/>
    <w:rsid w:val="00DC0E15"/>
    <w:rsid w:val="00DC3F01"/>
    <w:rsid w:val="00DC60FA"/>
    <w:rsid w:val="00DD060C"/>
    <w:rsid w:val="00DD5455"/>
    <w:rsid w:val="00DD7D8B"/>
    <w:rsid w:val="00DF0044"/>
    <w:rsid w:val="00E03511"/>
    <w:rsid w:val="00E07848"/>
    <w:rsid w:val="00E1111D"/>
    <w:rsid w:val="00E1233F"/>
    <w:rsid w:val="00E15D7B"/>
    <w:rsid w:val="00E1699E"/>
    <w:rsid w:val="00E21D6D"/>
    <w:rsid w:val="00E24459"/>
    <w:rsid w:val="00E31A1C"/>
    <w:rsid w:val="00E35787"/>
    <w:rsid w:val="00E51963"/>
    <w:rsid w:val="00E56181"/>
    <w:rsid w:val="00E5687C"/>
    <w:rsid w:val="00E60885"/>
    <w:rsid w:val="00E6105F"/>
    <w:rsid w:val="00E61817"/>
    <w:rsid w:val="00E61893"/>
    <w:rsid w:val="00E71C2A"/>
    <w:rsid w:val="00E72850"/>
    <w:rsid w:val="00E80FFA"/>
    <w:rsid w:val="00E81029"/>
    <w:rsid w:val="00E84E38"/>
    <w:rsid w:val="00E859C0"/>
    <w:rsid w:val="00E87907"/>
    <w:rsid w:val="00EB0BB2"/>
    <w:rsid w:val="00EB33B1"/>
    <w:rsid w:val="00EB4E36"/>
    <w:rsid w:val="00EB6E75"/>
    <w:rsid w:val="00ED0AA5"/>
    <w:rsid w:val="00ED3DB4"/>
    <w:rsid w:val="00ED7774"/>
    <w:rsid w:val="00EE3F57"/>
    <w:rsid w:val="00EE6E30"/>
    <w:rsid w:val="00EF071B"/>
    <w:rsid w:val="00EF3EF7"/>
    <w:rsid w:val="00F01EB3"/>
    <w:rsid w:val="00F044A0"/>
    <w:rsid w:val="00F05621"/>
    <w:rsid w:val="00F06009"/>
    <w:rsid w:val="00F10CF3"/>
    <w:rsid w:val="00F10CFE"/>
    <w:rsid w:val="00F17007"/>
    <w:rsid w:val="00F3024F"/>
    <w:rsid w:val="00F324CE"/>
    <w:rsid w:val="00F3452B"/>
    <w:rsid w:val="00F34B3C"/>
    <w:rsid w:val="00F40698"/>
    <w:rsid w:val="00F426EE"/>
    <w:rsid w:val="00F43F1A"/>
    <w:rsid w:val="00F50864"/>
    <w:rsid w:val="00F56DDF"/>
    <w:rsid w:val="00F57108"/>
    <w:rsid w:val="00F57246"/>
    <w:rsid w:val="00F57390"/>
    <w:rsid w:val="00F626C1"/>
    <w:rsid w:val="00F72880"/>
    <w:rsid w:val="00F74242"/>
    <w:rsid w:val="00F747D3"/>
    <w:rsid w:val="00F84418"/>
    <w:rsid w:val="00F91DF2"/>
    <w:rsid w:val="00FA02FF"/>
    <w:rsid w:val="00FA1C05"/>
    <w:rsid w:val="00FA2684"/>
    <w:rsid w:val="00FA50F3"/>
    <w:rsid w:val="00FB1CDC"/>
    <w:rsid w:val="00FB2DFB"/>
    <w:rsid w:val="00FB6850"/>
    <w:rsid w:val="00FC0B8F"/>
    <w:rsid w:val="00FD2B17"/>
    <w:rsid w:val="00FD3248"/>
    <w:rsid w:val="00FE1C8D"/>
    <w:rsid w:val="00FE1F86"/>
    <w:rsid w:val="00FE27E3"/>
    <w:rsid w:val="00FE3C70"/>
    <w:rsid w:val="00FF1D9A"/>
    <w:rsid w:val="00FF3B4C"/>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C009EF"/>
  <w15:chartTrackingRefBased/>
  <w15:docId w15:val="{2DE99BED-8C9F-4DE1-A5F2-A227EA977B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4C2A"/>
    <w:pPr>
      <w:spacing w:line="360" w:lineRule="auto"/>
      <w:jc w:val="both"/>
    </w:pPr>
    <w:rPr>
      <w:rFonts w:ascii="Times New Roman" w:hAnsi="Times New Roman"/>
    </w:rPr>
  </w:style>
  <w:style w:type="paragraph" w:styleId="Titre1">
    <w:name w:val="heading 1"/>
    <w:basedOn w:val="Paragraphedeliste"/>
    <w:next w:val="Normal"/>
    <w:link w:val="Titre1Car"/>
    <w:uiPriority w:val="9"/>
    <w:qFormat/>
    <w:rsid w:val="00A55895"/>
    <w:pPr>
      <w:keepNext/>
      <w:numPr>
        <w:numId w:val="7"/>
      </w:numPr>
      <w:spacing w:before="360" w:after="240"/>
      <w:ind w:left="357" w:hanging="357"/>
      <w:contextualSpacing w:val="0"/>
      <w:outlineLvl w:val="0"/>
    </w:pPr>
    <w:rPr>
      <w:b/>
      <w:lang w:val="fr-FR"/>
    </w:rPr>
  </w:style>
  <w:style w:type="paragraph" w:styleId="Titre2">
    <w:name w:val="heading 2"/>
    <w:basedOn w:val="Paragraphedeliste"/>
    <w:next w:val="Normal"/>
    <w:link w:val="Titre2Car"/>
    <w:uiPriority w:val="9"/>
    <w:unhideWhenUsed/>
    <w:qFormat/>
    <w:rsid w:val="005933F3"/>
    <w:pPr>
      <w:numPr>
        <w:ilvl w:val="1"/>
        <w:numId w:val="7"/>
      </w:numPr>
      <w:spacing w:before="360" w:after="240"/>
      <w:contextualSpacing w:val="0"/>
      <w:outlineLvl w:val="1"/>
    </w:pPr>
    <w:rPr>
      <w:b/>
      <w:lang w:val="fr-FR"/>
    </w:rPr>
  </w:style>
  <w:style w:type="paragraph" w:styleId="Titre3">
    <w:name w:val="heading 3"/>
    <w:basedOn w:val="Paragraphedeliste"/>
    <w:next w:val="Normal"/>
    <w:link w:val="Titre3Car"/>
    <w:uiPriority w:val="9"/>
    <w:unhideWhenUsed/>
    <w:qFormat/>
    <w:rsid w:val="005933F3"/>
    <w:pPr>
      <w:numPr>
        <w:ilvl w:val="2"/>
        <w:numId w:val="7"/>
      </w:numPr>
      <w:spacing w:before="360" w:after="240"/>
      <w:contextualSpacing w:val="0"/>
      <w:outlineLvl w:val="2"/>
    </w:pPr>
    <w:rPr>
      <w:b/>
      <w:lang w:val="fr-FR"/>
    </w:rPr>
  </w:style>
  <w:style w:type="paragraph" w:styleId="Titre4">
    <w:name w:val="heading 4"/>
    <w:basedOn w:val="Normal"/>
    <w:next w:val="Normal"/>
    <w:link w:val="Titre4Car"/>
    <w:uiPriority w:val="9"/>
    <w:unhideWhenUsed/>
    <w:qFormat/>
    <w:rsid w:val="009542B4"/>
    <w:pPr>
      <w:keepNext/>
      <w:keepLines/>
      <w:numPr>
        <w:numId w:val="4"/>
      </w:numPr>
      <w:spacing w:before="360"/>
      <w:ind w:hanging="357"/>
      <w:outlineLvl w:val="3"/>
    </w:pPr>
    <w:rPr>
      <w:rFonts w:eastAsiaTheme="majorEastAsia" w:cstheme="majorBidi"/>
      <w:i/>
      <w:iCs/>
      <w:spacing w:val="-10"/>
      <w:kern w:val="28"/>
      <w:sz w:val="26"/>
      <w:szCs w:val="56"/>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aliases w:val="Footnote Text Char Char Char Char,Footnote Text Char Char Char,Footnotes,Note de bas de page2,footnote text"/>
    <w:basedOn w:val="Normal"/>
    <w:link w:val="NotedebasdepageCar"/>
    <w:uiPriority w:val="99"/>
    <w:unhideWhenUsed/>
    <w:rsid w:val="009542B4"/>
    <w:rPr>
      <w:sz w:val="20"/>
      <w:szCs w:val="20"/>
    </w:rPr>
  </w:style>
  <w:style w:type="character" w:customStyle="1" w:styleId="NotedebasdepageCar">
    <w:name w:val="Note de bas de page Car"/>
    <w:aliases w:val="Footnote Text Char Char Char Char Car,Footnote Text Char Char Char Car,Footnotes Car,Note de bas de page2 Car,footnote text Car"/>
    <w:basedOn w:val="Policepardfaut"/>
    <w:link w:val="Notedebasdepage"/>
    <w:uiPriority w:val="99"/>
    <w:rsid w:val="009542B4"/>
    <w:rPr>
      <w:rFonts w:ascii="Times New Roman" w:hAnsi="Times New Roman"/>
      <w:sz w:val="20"/>
      <w:szCs w:val="20"/>
    </w:rPr>
  </w:style>
  <w:style w:type="character" w:styleId="Appelnotedebasdep">
    <w:name w:val="footnote reference"/>
    <w:aliases w:val="Appel note de bas de page"/>
    <w:basedOn w:val="Policepardfaut"/>
    <w:uiPriority w:val="99"/>
    <w:unhideWhenUsed/>
    <w:rsid w:val="009542B4"/>
    <w:rPr>
      <w:vertAlign w:val="superscript"/>
    </w:rPr>
  </w:style>
  <w:style w:type="character" w:customStyle="1" w:styleId="Titre1Car">
    <w:name w:val="Titre 1 Car"/>
    <w:basedOn w:val="Policepardfaut"/>
    <w:link w:val="Titre1"/>
    <w:uiPriority w:val="9"/>
    <w:rsid w:val="00A55895"/>
    <w:rPr>
      <w:rFonts w:ascii="Times New Roman" w:hAnsi="Times New Roman"/>
      <w:b/>
      <w:sz w:val="24"/>
      <w:lang w:val="fr-FR"/>
    </w:rPr>
  </w:style>
  <w:style w:type="character" w:customStyle="1" w:styleId="Titre2Car">
    <w:name w:val="Titre 2 Car"/>
    <w:basedOn w:val="Policepardfaut"/>
    <w:link w:val="Titre2"/>
    <w:uiPriority w:val="9"/>
    <w:rsid w:val="005933F3"/>
    <w:rPr>
      <w:rFonts w:ascii="Times New Roman" w:hAnsi="Times New Roman"/>
      <w:b/>
      <w:sz w:val="24"/>
      <w:lang w:val="fr-FR"/>
    </w:rPr>
  </w:style>
  <w:style w:type="paragraph" w:styleId="Sous-titre">
    <w:name w:val="Subtitle"/>
    <w:aliases w:val="Titre3"/>
    <w:basedOn w:val="Titre3"/>
    <w:next w:val="Normal"/>
    <w:link w:val="Sous-titreCar"/>
    <w:uiPriority w:val="11"/>
    <w:rsid w:val="009542B4"/>
    <w:pPr>
      <w:ind w:hanging="360"/>
    </w:pPr>
    <w:rPr>
      <w:color w:val="5A5A5A" w:themeColor="text1" w:themeTint="A5"/>
      <w:spacing w:val="15"/>
    </w:rPr>
  </w:style>
  <w:style w:type="character" w:customStyle="1" w:styleId="Sous-titreCar">
    <w:name w:val="Sous-titre Car"/>
    <w:aliases w:val="Titre3 Car"/>
    <w:basedOn w:val="Policepardfaut"/>
    <w:link w:val="Sous-titre"/>
    <w:uiPriority w:val="11"/>
    <w:rsid w:val="009542B4"/>
    <w:rPr>
      <w:rFonts w:ascii="Times New Roman" w:eastAsiaTheme="minorEastAsia" w:hAnsi="Times New Roman" w:cstheme="majorBidi"/>
      <w:color w:val="5A5A5A" w:themeColor="text1" w:themeTint="A5"/>
      <w:spacing w:val="15"/>
      <w:sz w:val="26"/>
      <w:szCs w:val="24"/>
    </w:rPr>
  </w:style>
  <w:style w:type="paragraph" w:styleId="Titre">
    <w:name w:val="Title"/>
    <w:aliases w:val="Titre4"/>
    <w:basedOn w:val="Titre4"/>
    <w:next w:val="Normal"/>
    <w:link w:val="TitreCar"/>
    <w:uiPriority w:val="10"/>
    <w:rsid w:val="009542B4"/>
    <w:pPr>
      <w:spacing w:before="0"/>
      <w:ind w:hanging="360"/>
      <w:contextualSpacing/>
    </w:pPr>
  </w:style>
  <w:style w:type="character" w:customStyle="1" w:styleId="Titre3Car">
    <w:name w:val="Titre 3 Car"/>
    <w:basedOn w:val="Policepardfaut"/>
    <w:link w:val="Titre3"/>
    <w:uiPriority w:val="9"/>
    <w:rsid w:val="005933F3"/>
    <w:rPr>
      <w:rFonts w:ascii="Times New Roman" w:hAnsi="Times New Roman"/>
      <w:b/>
      <w:sz w:val="24"/>
      <w:lang w:val="fr-FR"/>
    </w:rPr>
  </w:style>
  <w:style w:type="character" w:customStyle="1" w:styleId="TitreCar">
    <w:name w:val="Titre Car"/>
    <w:aliases w:val="Titre4 Car"/>
    <w:basedOn w:val="Policepardfaut"/>
    <w:link w:val="Titre"/>
    <w:uiPriority w:val="10"/>
    <w:rsid w:val="009542B4"/>
    <w:rPr>
      <w:rFonts w:ascii="Times New Roman" w:eastAsiaTheme="majorEastAsia" w:hAnsi="Times New Roman" w:cstheme="majorBidi"/>
      <w:i/>
      <w:iCs/>
      <w:spacing w:val="-10"/>
      <w:kern w:val="28"/>
      <w:sz w:val="26"/>
      <w:szCs w:val="56"/>
    </w:rPr>
  </w:style>
  <w:style w:type="character" w:customStyle="1" w:styleId="Titre4Car">
    <w:name w:val="Titre 4 Car"/>
    <w:basedOn w:val="Policepardfaut"/>
    <w:link w:val="Titre4"/>
    <w:uiPriority w:val="9"/>
    <w:rsid w:val="009542B4"/>
    <w:rPr>
      <w:rFonts w:ascii="Times New Roman" w:eastAsiaTheme="majorEastAsia" w:hAnsi="Times New Roman" w:cstheme="majorBidi"/>
      <w:i/>
      <w:iCs/>
      <w:spacing w:val="-10"/>
      <w:kern w:val="28"/>
      <w:sz w:val="26"/>
      <w:szCs w:val="56"/>
      <w:lang w:val="fr-FR"/>
    </w:rPr>
  </w:style>
  <w:style w:type="paragraph" w:styleId="Paragraphedeliste">
    <w:name w:val="List Paragraph"/>
    <w:basedOn w:val="Normal"/>
    <w:uiPriority w:val="34"/>
    <w:qFormat/>
    <w:rsid w:val="005933F3"/>
    <w:pPr>
      <w:ind w:left="720"/>
      <w:contextualSpacing/>
    </w:pPr>
  </w:style>
  <w:style w:type="paragraph" w:styleId="En-tte">
    <w:name w:val="header"/>
    <w:basedOn w:val="Normal"/>
    <w:link w:val="En-tteCar"/>
    <w:uiPriority w:val="99"/>
    <w:unhideWhenUsed/>
    <w:rsid w:val="00046C98"/>
    <w:pPr>
      <w:tabs>
        <w:tab w:val="center" w:pos="4536"/>
        <w:tab w:val="right" w:pos="9072"/>
      </w:tabs>
      <w:spacing w:after="0" w:line="240" w:lineRule="auto"/>
    </w:pPr>
  </w:style>
  <w:style w:type="character" w:customStyle="1" w:styleId="En-tteCar">
    <w:name w:val="En-tête Car"/>
    <w:basedOn w:val="Policepardfaut"/>
    <w:link w:val="En-tte"/>
    <w:uiPriority w:val="99"/>
    <w:rsid w:val="00046C98"/>
    <w:rPr>
      <w:rFonts w:ascii="Times New Roman" w:hAnsi="Times New Roman"/>
      <w:sz w:val="24"/>
    </w:rPr>
  </w:style>
  <w:style w:type="paragraph" w:styleId="Pieddepage">
    <w:name w:val="footer"/>
    <w:basedOn w:val="Normal"/>
    <w:link w:val="PieddepageCar"/>
    <w:uiPriority w:val="99"/>
    <w:unhideWhenUsed/>
    <w:rsid w:val="00046C9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46C98"/>
    <w:rPr>
      <w:rFonts w:ascii="Times New Roman" w:hAnsi="Times New Roman"/>
      <w:sz w:val="24"/>
    </w:rPr>
  </w:style>
  <w:style w:type="character" w:styleId="Marquedecommentaire">
    <w:name w:val="annotation reference"/>
    <w:basedOn w:val="Policepardfaut"/>
    <w:uiPriority w:val="99"/>
    <w:semiHidden/>
    <w:unhideWhenUsed/>
    <w:rsid w:val="002E04FB"/>
    <w:rPr>
      <w:sz w:val="16"/>
      <w:szCs w:val="16"/>
    </w:rPr>
  </w:style>
  <w:style w:type="paragraph" w:styleId="Commentaire">
    <w:name w:val="annotation text"/>
    <w:basedOn w:val="Normal"/>
    <w:link w:val="CommentaireCar"/>
    <w:uiPriority w:val="99"/>
    <w:semiHidden/>
    <w:unhideWhenUsed/>
    <w:rsid w:val="002E04FB"/>
    <w:pPr>
      <w:spacing w:line="240" w:lineRule="auto"/>
    </w:pPr>
    <w:rPr>
      <w:sz w:val="20"/>
      <w:szCs w:val="20"/>
    </w:rPr>
  </w:style>
  <w:style w:type="character" w:customStyle="1" w:styleId="CommentaireCar">
    <w:name w:val="Commentaire Car"/>
    <w:basedOn w:val="Policepardfaut"/>
    <w:link w:val="Commentaire"/>
    <w:uiPriority w:val="99"/>
    <w:semiHidden/>
    <w:rsid w:val="002E04FB"/>
    <w:rPr>
      <w:rFonts w:ascii="Times New Roman" w:hAnsi="Times New Roman"/>
      <w:sz w:val="20"/>
      <w:szCs w:val="20"/>
    </w:rPr>
  </w:style>
  <w:style w:type="paragraph" w:styleId="Objetducommentaire">
    <w:name w:val="annotation subject"/>
    <w:basedOn w:val="Commentaire"/>
    <w:next w:val="Commentaire"/>
    <w:link w:val="ObjetducommentaireCar"/>
    <w:uiPriority w:val="99"/>
    <w:semiHidden/>
    <w:unhideWhenUsed/>
    <w:rsid w:val="002E04FB"/>
    <w:rPr>
      <w:b/>
      <w:bCs/>
    </w:rPr>
  </w:style>
  <w:style w:type="character" w:customStyle="1" w:styleId="ObjetducommentaireCar">
    <w:name w:val="Objet du commentaire Car"/>
    <w:basedOn w:val="CommentaireCar"/>
    <w:link w:val="Objetducommentaire"/>
    <w:uiPriority w:val="99"/>
    <w:semiHidden/>
    <w:rsid w:val="002E04FB"/>
    <w:rPr>
      <w:rFonts w:ascii="Times New Roman" w:hAnsi="Times New Roman"/>
      <w:b/>
      <w:bCs/>
      <w:sz w:val="20"/>
      <w:szCs w:val="20"/>
    </w:rPr>
  </w:style>
  <w:style w:type="character" w:styleId="Lienhypertexte">
    <w:name w:val="Hyperlink"/>
    <w:basedOn w:val="Policepardfaut"/>
    <w:uiPriority w:val="99"/>
    <w:unhideWhenUsed/>
    <w:rsid w:val="008C097F"/>
    <w:rPr>
      <w:color w:val="0563C1" w:themeColor="hyperlink"/>
      <w:u w:val="single"/>
    </w:rPr>
  </w:style>
  <w:style w:type="character" w:styleId="Mentionnonrsolue">
    <w:name w:val="Unresolved Mention"/>
    <w:basedOn w:val="Policepardfaut"/>
    <w:uiPriority w:val="99"/>
    <w:semiHidden/>
    <w:unhideWhenUsed/>
    <w:rsid w:val="008C097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56423">
      <w:bodyDiv w:val="1"/>
      <w:marLeft w:val="0"/>
      <w:marRight w:val="0"/>
      <w:marTop w:val="0"/>
      <w:marBottom w:val="0"/>
      <w:divBdr>
        <w:top w:val="none" w:sz="0" w:space="0" w:color="auto"/>
        <w:left w:val="none" w:sz="0" w:space="0" w:color="auto"/>
        <w:bottom w:val="none" w:sz="0" w:space="0" w:color="auto"/>
        <w:right w:val="none" w:sz="0" w:space="0" w:color="auto"/>
      </w:divBdr>
    </w:div>
    <w:div w:id="179972039">
      <w:bodyDiv w:val="1"/>
      <w:marLeft w:val="0"/>
      <w:marRight w:val="0"/>
      <w:marTop w:val="0"/>
      <w:marBottom w:val="0"/>
      <w:divBdr>
        <w:top w:val="none" w:sz="0" w:space="0" w:color="auto"/>
        <w:left w:val="none" w:sz="0" w:space="0" w:color="auto"/>
        <w:bottom w:val="none" w:sz="0" w:space="0" w:color="auto"/>
        <w:right w:val="none" w:sz="0" w:space="0" w:color="auto"/>
      </w:divBdr>
    </w:div>
    <w:div w:id="480267607">
      <w:bodyDiv w:val="1"/>
      <w:marLeft w:val="0"/>
      <w:marRight w:val="0"/>
      <w:marTop w:val="0"/>
      <w:marBottom w:val="0"/>
      <w:divBdr>
        <w:top w:val="none" w:sz="0" w:space="0" w:color="auto"/>
        <w:left w:val="none" w:sz="0" w:space="0" w:color="auto"/>
        <w:bottom w:val="none" w:sz="0" w:space="0" w:color="auto"/>
        <w:right w:val="none" w:sz="0" w:space="0" w:color="auto"/>
      </w:divBdr>
      <w:divsChild>
        <w:div w:id="1246693345">
          <w:marLeft w:val="0"/>
          <w:marRight w:val="0"/>
          <w:marTop w:val="0"/>
          <w:marBottom w:val="0"/>
          <w:divBdr>
            <w:top w:val="single" w:sz="2" w:space="0" w:color="E5E7EB"/>
            <w:left w:val="single" w:sz="2" w:space="0" w:color="E5E7EB"/>
            <w:bottom w:val="single" w:sz="2" w:space="0" w:color="E5E7EB"/>
            <w:right w:val="single" w:sz="2" w:space="0" w:color="E5E7EB"/>
          </w:divBdr>
          <w:divsChild>
            <w:div w:id="12737850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778065810">
      <w:bodyDiv w:val="1"/>
      <w:marLeft w:val="0"/>
      <w:marRight w:val="0"/>
      <w:marTop w:val="0"/>
      <w:marBottom w:val="0"/>
      <w:divBdr>
        <w:top w:val="none" w:sz="0" w:space="0" w:color="auto"/>
        <w:left w:val="none" w:sz="0" w:space="0" w:color="auto"/>
        <w:bottom w:val="none" w:sz="0" w:space="0" w:color="auto"/>
        <w:right w:val="none" w:sz="0" w:space="0" w:color="auto"/>
      </w:divBdr>
    </w:div>
    <w:div w:id="858390643">
      <w:bodyDiv w:val="1"/>
      <w:marLeft w:val="0"/>
      <w:marRight w:val="0"/>
      <w:marTop w:val="0"/>
      <w:marBottom w:val="0"/>
      <w:divBdr>
        <w:top w:val="none" w:sz="0" w:space="0" w:color="auto"/>
        <w:left w:val="none" w:sz="0" w:space="0" w:color="auto"/>
        <w:bottom w:val="none" w:sz="0" w:space="0" w:color="auto"/>
        <w:right w:val="none" w:sz="0" w:space="0" w:color="auto"/>
      </w:divBdr>
    </w:div>
    <w:div w:id="1011642429">
      <w:bodyDiv w:val="1"/>
      <w:marLeft w:val="0"/>
      <w:marRight w:val="0"/>
      <w:marTop w:val="0"/>
      <w:marBottom w:val="0"/>
      <w:divBdr>
        <w:top w:val="none" w:sz="0" w:space="0" w:color="auto"/>
        <w:left w:val="none" w:sz="0" w:space="0" w:color="auto"/>
        <w:bottom w:val="none" w:sz="0" w:space="0" w:color="auto"/>
        <w:right w:val="none" w:sz="0" w:space="0" w:color="auto"/>
      </w:divBdr>
    </w:div>
    <w:div w:id="1462532006">
      <w:bodyDiv w:val="1"/>
      <w:marLeft w:val="0"/>
      <w:marRight w:val="0"/>
      <w:marTop w:val="0"/>
      <w:marBottom w:val="0"/>
      <w:divBdr>
        <w:top w:val="none" w:sz="0" w:space="0" w:color="auto"/>
        <w:left w:val="none" w:sz="0" w:space="0" w:color="auto"/>
        <w:bottom w:val="none" w:sz="0" w:space="0" w:color="auto"/>
        <w:right w:val="none" w:sz="0" w:space="0" w:color="auto"/>
      </w:divBdr>
      <w:divsChild>
        <w:div w:id="1608005982">
          <w:marLeft w:val="0"/>
          <w:marRight w:val="0"/>
          <w:marTop w:val="0"/>
          <w:marBottom w:val="375"/>
          <w:divBdr>
            <w:top w:val="none" w:sz="0" w:space="0" w:color="auto"/>
            <w:left w:val="none" w:sz="0" w:space="0" w:color="auto"/>
            <w:bottom w:val="none" w:sz="0" w:space="0" w:color="auto"/>
            <w:right w:val="none" w:sz="0" w:space="0" w:color="auto"/>
          </w:divBdr>
        </w:div>
      </w:divsChild>
    </w:div>
    <w:div w:id="1610819709">
      <w:bodyDiv w:val="1"/>
      <w:marLeft w:val="0"/>
      <w:marRight w:val="0"/>
      <w:marTop w:val="0"/>
      <w:marBottom w:val="0"/>
      <w:divBdr>
        <w:top w:val="none" w:sz="0" w:space="0" w:color="auto"/>
        <w:left w:val="none" w:sz="0" w:space="0" w:color="auto"/>
        <w:bottom w:val="none" w:sz="0" w:space="0" w:color="auto"/>
        <w:right w:val="none" w:sz="0" w:space="0" w:color="auto"/>
      </w:divBdr>
    </w:div>
    <w:div w:id="2080253353">
      <w:bodyDiv w:val="1"/>
      <w:marLeft w:val="0"/>
      <w:marRight w:val="0"/>
      <w:marTop w:val="0"/>
      <w:marBottom w:val="0"/>
      <w:divBdr>
        <w:top w:val="none" w:sz="0" w:space="0" w:color="auto"/>
        <w:left w:val="none" w:sz="0" w:space="0" w:color="auto"/>
        <w:bottom w:val="none" w:sz="0" w:space="0" w:color="auto"/>
        <w:right w:val="none" w:sz="0" w:space="0" w:color="auto"/>
      </w:divBdr>
    </w:div>
    <w:div w:id="2138259583">
      <w:bodyDiv w:val="1"/>
      <w:marLeft w:val="0"/>
      <w:marRight w:val="0"/>
      <w:marTop w:val="0"/>
      <w:marBottom w:val="0"/>
      <w:divBdr>
        <w:top w:val="none" w:sz="0" w:space="0" w:color="auto"/>
        <w:left w:val="none" w:sz="0" w:space="0" w:color="auto"/>
        <w:bottom w:val="none" w:sz="0" w:space="0" w:color="auto"/>
        <w:right w:val="none" w:sz="0" w:space="0" w:color="auto"/>
      </w:divBdr>
      <w:divsChild>
        <w:div w:id="655182697">
          <w:marLeft w:val="0"/>
          <w:marRight w:val="0"/>
          <w:marTop w:val="0"/>
          <w:marBottom w:val="0"/>
          <w:divBdr>
            <w:top w:val="none" w:sz="0" w:space="0" w:color="auto"/>
            <w:left w:val="none" w:sz="0" w:space="0" w:color="auto"/>
            <w:bottom w:val="none" w:sz="0" w:space="0" w:color="auto"/>
            <w:right w:val="none" w:sz="0" w:space="0" w:color="auto"/>
          </w:divBdr>
        </w:div>
        <w:div w:id="271858697">
          <w:marLeft w:val="0"/>
          <w:marRight w:val="0"/>
          <w:marTop w:val="0"/>
          <w:marBottom w:val="0"/>
          <w:divBdr>
            <w:top w:val="none" w:sz="0" w:space="0" w:color="auto"/>
            <w:left w:val="none" w:sz="0" w:space="0" w:color="auto"/>
            <w:bottom w:val="none" w:sz="0" w:space="0" w:color="auto"/>
            <w:right w:val="none" w:sz="0" w:space="0" w:color="auto"/>
          </w:divBdr>
        </w:div>
        <w:div w:id="847787769">
          <w:marLeft w:val="0"/>
          <w:marRight w:val="0"/>
          <w:marTop w:val="0"/>
          <w:marBottom w:val="0"/>
          <w:divBdr>
            <w:top w:val="none" w:sz="0" w:space="0" w:color="auto"/>
            <w:left w:val="none" w:sz="0" w:space="0" w:color="auto"/>
            <w:bottom w:val="none" w:sz="0" w:space="0" w:color="auto"/>
            <w:right w:val="none" w:sz="0" w:space="0" w:color="auto"/>
          </w:divBdr>
        </w:div>
      </w:divsChild>
    </w:div>
    <w:div w:id="2139641300">
      <w:bodyDiv w:val="1"/>
      <w:marLeft w:val="0"/>
      <w:marRight w:val="0"/>
      <w:marTop w:val="0"/>
      <w:marBottom w:val="0"/>
      <w:divBdr>
        <w:top w:val="none" w:sz="0" w:space="0" w:color="auto"/>
        <w:left w:val="none" w:sz="0" w:space="0" w:color="auto"/>
        <w:bottom w:val="none" w:sz="0" w:space="0" w:color="auto"/>
        <w:right w:val="none" w:sz="0" w:space="0" w:color="auto"/>
      </w:divBdr>
      <w:divsChild>
        <w:div w:id="1055275359">
          <w:marLeft w:val="0"/>
          <w:marRight w:val="0"/>
          <w:marTop w:val="0"/>
          <w:marBottom w:val="0"/>
          <w:divBdr>
            <w:top w:val="single" w:sz="2" w:space="0" w:color="E5E7EB"/>
            <w:left w:val="single" w:sz="2" w:space="0" w:color="E5E7EB"/>
            <w:bottom w:val="single" w:sz="2" w:space="0" w:color="E5E7EB"/>
            <w:right w:val="single" w:sz="2" w:space="0" w:color="E5E7EB"/>
          </w:divBdr>
          <w:divsChild>
            <w:div w:id="18672399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footnotes.xml.rels><?xml version="1.0" encoding="UTF-8" standalone="yes"?>
<Relationships xmlns="http://schemas.openxmlformats.org/package/2006/relationships"><Relationship Id="rId3" Type="http://schemas.openxmlformats.org/officeDocument/2006/relationships/hyperlink" Target="http://www.belgianlawreligion.unblog.fr" TargetMode="External"/><Relationship Id="rId7" Type="http://schemas.openxmlformats.org/officeDocument/2006/relationships/hyperlink" Target="http://www.unia.be" TargetMode="External"/><Relationship Id="rId2" Type="http://schemas.openxmlformats.org/officeDocument/2006/relationships/hyperlink" Target="http://www.crisp.be" TargetMode="External"/><Relationship Id="rId1" Type="http://schemas.openxmlformats.org/officeDocument/2006/relationships/hyperlink" Target="http://www.rtbf.be/info" TargetMode="External"/><Relationship Id="rId6" Type="http://schemas.openxmlformats.org/officeDocument/2006/relationships/hyperlink" Target="http://www.unia.be" TargetMode="External"/><Relationship Id="rId5" Type="http://schemas.openxmlformats.org/officeDocument/2006/relationships/hyperlink" Target="http://www.unia.be" TargetMode="External"/><Relationship Id="rId4" Type="http://schemas.openxmlformats.org/officeDocument/2006/relationships/hyperlink" Target="http://www.unia.b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09E0888091330449F5EC2600B2C98D5" ma:contentTypeVersion="14" ma:contentTypeDescription="Crée un document." ma:contentTypeScope="" ma:versionID="cccc5b9d7385f02f0edbba89b6fe52c7">
  <xsd:schema xmlns:xsd="http://www.w3.org/2001/XMLSchema" xmlns:xs="http://www.w3.org/2001/XMLSchema" xmlns:p="http://schemas.microsoft.com/office/2006/metadata/properties" xmlns:ns3="039d926d-a992-4e9f-9ca6-7f1f6ab80cd2" xmlns:ns4="5fea5af9-9d3f-44a0-a8ea-330d5d84deba" targetNamespace="http://schemas.microsoft.com/office/2006/metadata/properties" ma:root="true" ma:fieldsID="3379a35418f1b25f07a4a80014d9d7fe" ns3:_="" ns4:_="">
    <xsd:import namespace="039d926d-a992-4e9f-9ca6-7f1f6ab80cd2"/>
    <xsd:import namespace="5fea5af9-9d3f-44a0-a8ea-330d5d84deb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DateTaken" minOccurs="0"/>
                <xsd:element ref="ns4:MediaServiceLocation" minOccurs="0"/>
                <xsd:element ref="ns4:MediaServiceAutoKeyPoints" minOccurs="0"/>
                <xsd:element ref="ns4:MediaServiceKeyPoints" minOccurs="0"/>
                <xsd:element ref="ns4:MediaLengthInSecond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9d926d-a992-4e9f-9ca6-7f1f6ab80cd2" elementFormDefault="qualified">
    <xsd:import namespace="http://schemas.microsoft.com/office/2006/documentManagement/types"/>
    <xsd:import namespace="http://schemas.microsoft.com/office/infopath/2007/PartnerControls"/>
    <xsd:element name="SharedWithUsers" ma:index="8"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Partagé avec détails" ma:description="" ma:internalName="SharedWithDetails" ma:readOnly="true">
      <xsd:simpleType>
        <xsd:restriction base="dms:Note">
          <xsd:maxLength value="255"/>
        </xsd:restriction>
      </xsd:simpleType>
    </xsd:element>
    <xsd:element name="SharingHintHash" ma:index="10" nillable="true" ma:displayName="Partage du hachage d’indicateur"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ea5af9-9d3f-44a0-a8ea-330d5d84deb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D98A20-F37A-49B0-B5E2-40D4989DA4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9d926d-a992-4e9f-9ca6-7f1f6ab80cd2"/>
    <ds:schemaRef ds:uri="5fea5af9-9d3f-44a0-a8ea-330d5d84de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DED1EDA-2153-435B-BF80-4626B2DA1751}">
  <ds:schemaRefs>
    <ds:schemaRef ds:uri="http://schemas.microsoft.com/sharepoint/v3/contenttype/forms"/>
  </ds:schemaRefs>
</ds:datastoreItem>
</file>

<file path=customXml/itemProps3.xml><?xml version="1.0" encoding="utf-8"?>
<ds:datastoreItem xmlns:ds="http://schemas.openxmlformats.org/officeDocument/2006/customXml" ds:itemID="{B472D2D9-F037-4806-80AA-4F77F491878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D11F634-B438-42F0-A642-2E96338A6C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860</TotalTime>
  <Pages>11</Pages>
  <Words>3694</Words>
  <Characters>21210</Characters>
  <Application>Microsoft Office Word</Application>
  <DocSecurity>0</DocSecurity>
  <Lines>271</Lines>
  <Paragraphs>65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Léopold Vanbellingen</dc:creator>
  <cp:keywords/>
  <dc:description/>
  <cp:lastModifiedBy>Léopold Vanbellingen</cp:lastModifiedBy>
  <cp:revision>544</cp:revision>
  <dcterms:created xsi:type="dcterms:W3CDTF">2022-04-04T15:26:00Z</dcterms:created>
  <dcterms:modified xsi:type="dcterms:W3CDTF">2022-11-30T14:39:00Z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0x010100409E0888091330449F5EC2600B2C98D5</vt:lpwstr>
  </property>
  <property fmtid="{D5CDD505-2E9C-101B-9397-08002B2CF9AE}" pid="3" name="ZOTERO_PREF_1">
    <vt:lpwstr>&lt;data data-version="3" zotero-version="5.0.96.3"&gt;&lt;session id="b3khSvB3"/&gt;&lt;style id="http://www.zotero.org/styles/universite-de-liege-droit" hasBibliography="1" bibliographyStyleHasBeenSet="0"/&gt;&lt;prefs&gt;&lt;pref name="fieldType" value="Field"/&gt;&lt;pref name="noteT</vt:lpwstr>
  </property>
  <property fmtid="{D5CDD505-2E9C-101B-9397-08002B2CF9AE}" pid="4" name="ZOTERO_PREF_2">
    <vt:lpwstr>ype" value="1"/&gt;&lt;/prefs&gt;&lt;/data&gt;</vt:lpwstr>
  </property>
</Properties>
</file>