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99DD5" w14:textId="335E36AD" w:rsidR="00A64D4E" w:rsidRPr="009E594C" w:rsidRDefault="0084327D" w:rsidP="00A717CC">
      <w:pPr>
        <w:pStyle w:val="Heading2"/>
        <w:spacing w:before="0" w:after="0"/>
        <w:rPr>
          <w:rFonts w:ascii="Garamond" w:hAnsi="Garamond"/>
        </w:rPr>
      </w:pPr>
      <w:bookmarkStart w:id="0" w:name="_Toc31190660"/>
      <w:r w:rsidRPr="009E594C">
        <w:rPr>
          <w:rFonts w:ascii="Garamond" w:hAnsi="Garamond"/>
        </w:rPr>
        <w:t xml:space="preserve">ECUMENISM IN </w:t>
      </w:r>
      <w:r w:rsidR="003036CF">
        <w:rPr>
          <w:rFonts w:ascii="Garamond" w:hAnsi="Garamond"/>
        </w:rPr>
        <w:t>HISTORY</w:t>
      </w:r>
    </w:p>
    <w:p w14:paraId="025E3118" w14:textId="71EFD78C" w:rsidR="00FD14B3" w:rsidRPr="009E594C" w:rsidRDefault="00FD14B3" w:rsidP="00A717CC">
      <w:pPr>
        <w:pStyle w:val="Heading2"/>
        <w:spacing w:before="0" w:after="0"/>
        <w:rPr>
          <w:rFonts w:ascii="Garamond" w:hAnsi="Garamond"/>
          <w:i/>
        </w:rPr>
      </w:pPr>
      <w:r w:rsidRPr="009E594C">
        <w:rPr>
          <w:rFonts w:ascii="Garamond" w:hAnsi="Garamond"/>
          <w:i/>
        </w:rPr>
        <w:t>Towards a Hopeful Account of Anglican-Roman Catholic Relations in Nigeria</w:t>
      </w:r>
    </w:p>
    <w:p w14:paraId="67EEF55F" w14:textId="77777777" w:rsidR="0084327D" w:rsidRPr="009E594C" w:rsidRDefault="0084327D" w:rsidP="00A717CC">
      <w:pPr>
        <w:spacing w:before="0" w:after="0"/>
        <w:rPr>
          <w:rFonts w:ascii="Garamond" w:hAnsi="Garamond"/>
          <w:sz w:val="24"/>
          <w:szCs w:val="24"/>
          <w:lang w:val="en-US"/>
        </w:rPr>
      </w:pPr>
    </w:p>
    <w:p w14:paraId="577E4E34" w14:textId="77777777" w:rsidR="00A717CC" w:rsidRDefault="00A717CC" w:rsidP="00A717CC">
      <w:pPr>
        <w:spacing w:before="0" w:after="0"/>
        <w:rPr>
          <w:rFonts w:ascii="Garamond" w:hAnsi="Garamond"/>
          <w:sz w:val="24"/>
          <w:szCs w:val="24"/>
          <w:lang w:val="en-US"/>
        </w:rPr>
      </w:pPr>
    </w:p>
    <w:p w14:paraId="3C480D87" w14:textId="41CC58FA" w:rsidR="002513A9" w:rsidRPr="009E594C" w:rsidRDefault="002513A9" w:rsidP="00A717CC">
      <w:pPr>
        <w:spacing w:before="0" w:after="0"/>
        <w:rPr>
          <w:rFonts w:ascii="Garamond" w:hAnsi="Garamond"/>
          <w:sz w:val="24"/>
          <w:szCs w:val="24"/>
          <w:lang w:val="en-US"/>
        </w:rPr>
      </w:pPr>
      <w:r w:rsidRPr="009E594C">
        <w:rPr>
          <w:rFonts w:ascii="Garamond" w:hAnsi="Garamond"/>
          <w:sz w:val="24"/>
          <w:szCs w:val="24"/>
          <w:lang w:val="en-US"/>
        </w:rPr>
        <w:t>INTRODUCTION</w:t>
      </w:r>
      <w:bookmarkEnd w:id="0"/>
    </w:p>
    <w:p w14:paraId="2711FA7A" w14:textId="77777777" w:rsidR="00A717CC" w:rsidRDefault="00A717CC" w:rsidP="00A717CC">
      <w:pPr>
        <w:spacing w:before="0" w:after="0"/>
        <w:rPr>
          <w:rFonts w:ascii="Garamond" w:hAnsi="Garamond" w:cs="Times New Roman"/>
          <w:color w:val="000000" w:themeColor="text1"/>
          <w:sz w:val="24"/>
          <w:szCs w:val="24"/>
        </w:rPr>
      </w:pPr>
    </w:p>
    <w:p w14:paraId="1126FB3D" w14:textId="021BD2C8"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The current dialogical relationship between Anglicans and Roman Catholics in Nigeria</w:t>
      </w:r>
      <w:r w:rsidR="00E66206" w:rsidRPr="009E594C">
        <w:rPr>
          <w:rFonts w:ascii="Garamond" w:hAnsi="Garamond" w:cs="Times New Roman"/>
          <w:color w:val="000000" w:themeColor="text1"/>
          <w:sz w:val="24"/>
          <w:szCs w:val="24"/>
        </w:rPr>
        <w:t>,</w:t>
      </w:r>
      <w:r w:rsidRPr="009E594C">
        <w:rPr>
          <w:rFonts w:ascii="Garamond" w:hAnsi="Garamond" w:cs="Times New Roman"/>
          <w:color w:val="000000" w:themeColor="text1"/>
          <w:sz w:val="24"/>
          <w:szCs w:val="24"/>
        </w:rPr>
        <w:t xml:space="preserve"> represented </w:t>
      </w:r>
      <w:r w:rsidR="003A5626">
        <w:rPr>
          <w:rFonts w:ascii="Garamond" w:hAnsi="Garamond" w:cs="Times New Roman"/>
          <w:color w:val="000000" w:themeColor="text1"/>
          <w:sz w:val="24"/>
          <w:szCs w:val="24"/>
        </w:rPr>
        <w:t>by</w:t>
      </w:r>
      <w:r w:rsidRPr="009E594C">
        <w:rPr>
          <w:rFonts w:ascii="Garamond" w:hAnsi="Garamond" w:cs="Times New Roman"/>
          <w:color w:val="000000" w:themeColor="text1"/>
          <w:sz w:val="24"/>
          <w:szCs w:val="24"/>
        </w:rPr>
        <w:t xml:space="preserve"> </w:t>
      </w:r>
      <w:r w:rsidRPr="009E594C">
        <w:rPr>
          <w:rFonts w:ascii="Garamond" w:hAnsi="Garamond"/>
          <w:sz w:val="24"/>
          <w:szCs w:val="24"/>
        </w:rPr>
        <w:t xml:space="preserve">the </w:t>
      </w:r>
      <w:r w:rsidRPr="00623466">
        <w:rPr>
          <w:rFonts w:ascii="Garamond" w:hAnsi="Garamond"/>
          <w:i/>
          <w:sz w:val="24"/>
          <w:szCs w:val="24"/>
        </w:rPr>
        <w:t>Nigeria Anglican Roman Catholic Commission</w:t>
      </w:r>
      <w:r w:rsidRPr="009E594C">
        <w:rPr>
          <w:rFonts w:ascii="Garamond" w:hAnsi="Garamond"/>
          <w:sz w:val="24"/>
          <w:szCs w:val="24"/>
        </w:rPr>
        <w:t xml:space="preserve"> </w:t>
      </w:r>
      <w:r w:rsidR="00E66206" w:rsidRPr="009E594C">
        <w:rPr>
          <w:rFonts w:ascii="Garamond" w:hAnsi="Garamond"/>
          <w:sz w:val="24"/>
          <w:szCs w:val="24"/>
        </w:rPr>
        <w:t>(</w:t>
      </w:r>
      <w:r w:rsidRPr="009E594C">
        <w:rPr>
          <w:rFonts w:ascii="Garamond" w:hAnsi="Garamond"/>
          <w:sz w:val="24"/>
          <w:szCs w:val="24"/>
        </w:rPr>
        <w:t>NARCC)</w:t>
      </w:r>
      <w:r w:rsidR="00E66206" w:rsidRPr="009E594C">
        <w:rPr>
          <w:rFonts w:ascii="Garamond" w:hAnsi="Garamond"/>
          <w:sz w:val="24"/>
          <w:szCs w:val="24"/>
        </w:rPr>
        <w:t>,</w:t>
      </w:r>
      <w:r w:rsidRPr="009E594C">
        <w:rPr>
          <w:rFonts w:ascii="Garamond" w:hAnsi="Garamond" w:cs="Times New Roman"/>
          <w:color w:val="000000" w:themeColor="text1"/>
          <w:sz w:val="24"/>
          <w:szCs w:val="24"/>
        </w:rPr>
        <w:t xml:space="preserve"> must be seen from a historical background of ups and downs, of hospitality and uncompromising rivalry, of openness and fierce competition between both communities in order to better appreciate the level of transformation undergone by both communities today. Viewed in this context, the potentiality of the present dialogue between both ecclesial communities to effect a much deeper and positive transformation becomes clearer. In </w:t>
      </w:r>
      <w:r w:rsidR="00E66206" w:rsidRPr="009E594C">
        <w:rPr>
          <w:rFonts w:ascii="Garamond" w:hAnsi="Garamond" w:cs="Times New Roman"/>
          <w:color w:val="000000" w:themeColor="text1"/>
          <w:sz w:val="24"/>
          <w:szCs w:val="24"/>
        </w:rPr>
        <w:t>this essay</w:t>
      </w:r>
      <w:r w:rsidRPr="009E594C">
        <w:rPr>
          <w:rFonts w:ascii="Garamond" w:hAnsi="Garamond" w:cs="Times New Roman"/>
          <w:color w:val="000000" w:themeColor="text1"/>
          <w:sz w:val="24"/>
          <w:szCs w:val="24"/>
        </w:rPr>
        <w:t>, I shall reconstruct the history of the relationship between the two churches from the time of the missionary engagement in Nigeria up until the contemporary era. The aim is to show the tension that has always marked their relationship in the period leading to the official dialogue.</w:t>
      </w:r>
      <w:r w:rsidR="00E66206" w:rsidRPr="009E594C">
        <w:rPr>
          <w:rFonts w:ascii="Garamond" w:hAnsi="Garamond" w:cs="Times New Roman"/>
          <w:color w:val="000000" w:themeColor="text1"/>
          <w:sz w:val="24"/>
          <w:szCs w:val="24"/>
        </w:rPr>
        <w:t xml:space="preserve"> It is important to highlight such a history in a festschrift that honours Most Rev. Donatus Edet Akpan, the local Ordinary of Ogoja diocese, because his episcopal ministry necessarily includes commitment to ecumenism, both at the local and national level.</w:t>
      </w:r>
      <w:r w:rsidR="00623466">
        <w:rPr>
          <w:rStyle w:val="FootnoteReference"/>
          <w:rFonts w:ascii="Garamond" w:hAnsi="Garamond" w:cs="Times New Roman"/>
          <w:color w:val="000000" w:themeColor="text1"/>
          <w:sz w:val="24"/>
          <w:szCs w:val="24"/>
        </w:rPr>
        <w:footnoteReference w:id="1"/>
      </w:r>
    </w:p>
    <w:p w14:paraId="1F8120A3"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To begin, it must be noted that after the failed 15</w:t>
      </w:r>
      <w:r w:rsidRPr="009E594C">
        <w:rPr>
          <w:rFonts w:ascii="Garamond" w:hAnsi="Garamond" w:cs="Times New Roman"/>
          <w:color w:val="000000" w:themeColor="text1"/>
          <w:sz w:val="24"/>
          <w:szCs w:val="24"/>
          <w:vertAlign w:val="superscript"/>
        </w:rPr>
        <w:t>th</w:t>
      </w:r>
      <w:r w:rsidRPr="009E594C">
        <w:rPr>
          <w:rFonts w:ascii="Garamond" w:hAnsi="Garamond" w:cs="Times New Roman"/>
          <w:color w:val="000000" w:themeColor="text1"/>
          <w:sz w:val="24"/>
          <w:szCs w:val="24"/>
        </w:rPr>
        <w:t xml:space="preserve"> century missionary expedition in the area designated as Nigeria today by the Portuguese Augustinian and Capuchin monks, the missionaries from Europe staged a comeback in the 17</w:t>
      </w:r>
      <w:r w:rsidRPr="009E594C">
        <w:rPr>
          <w:rFonts w:ascii="Garamond" w:hAnsi="Garamond" w:cs="Times New Roman"/>
          <w:color w:val="000000" w:themeColor="text1"/>
          <w:sz w:val="24"/>
          <w:szCs w:val="24"/>
          <w:vertAlign w:val="superscript"/>
        </w:rPr>
        <w:t>th</w:t>
      </w:r>
      <w:r w:rsidRPr="009E594C">
        <w:rPr>
          <w:rFonts w:ascii="Garamond" w:hAnsi="Garamond" w:cs="Times New Roman"/>
          <w:color w:val="000000" w:themeColor="text1"/>
          <w:sz w:val="24"/>
          <w:szCs w:val="24"/>
        </w:rPr>
        <w:t xml:space="preserve"> century. The resettlement of freed slaves in Freetown gave the missionaries access to the sub-Saharan region of Africa. From Freetown the missionaries from various denominations penetrated the Niger area especially from the coastal regions of Lagos and Calabar. Among those who first arrived in this second period were the Anglicans under the Christian Missionary Society (C.M.S.). Originally known as ‘Society of Missions to Africa and the East’, the C.M.S. was founded by Anglican evangelicals in 1799 and its area of mission included the present Nigeria.</w:t>
      </w:r>
      <w:r w:rsidRPr="009E594C">
        <w:rPr>
          <w:rStyle w:val="FootnoteReference"/>
          <w:rFonts w:ascii="Garamond" w:hAnsi="Garamond" w:cs="Times New Roman"/>
          <w:color w:val="000000" w:themeColor="text1"/>
          <w:sz w:val="24"/>
          <w:szCs w:val="24"/>
        </w:rPr>
        <w:footnoteReference w:id="2"/>
      </w:r>
      <w:r w:rsidRPr="009E594C">
        <w:rPr>
          <w:rFonts w:ascii="Garamond" w:hAnsi="Garamond" w:cs="Times New Roman"/>
          <w:color w:val="000000" w:themeColor="text1"/>
          <w:sz w:val="24"/>
          <w:szCs w:val="24"/>
        </w:rPr>
        <w:t xml:space="preserve"> Among the many missionary societies that entered Nigeria, the following are the earliest five: a) Wesleyan Methodist Missionary Society (Badagry – 1842), b) Church Missionary Society (Badagry – 1845), c) Foreign Missionary Committee of the United Free Church of Scotland (Calabar – 1846), d) Foreign Missionary Committee of the Southern Baptist Convention, USA (Ijaye – 1853), and e) Roman Catholic Society of African Missionaries (Lagos – 1867).</w:t>
      </w:r>
      <w:r w:rsidRPr="009E594C">
        <w:rPr>
          <w:rStyle w:val="FootnoteReference"/>
          <w:rFonts w:ascii="Garamond" w:hAnsi="Garamond" w:cs="Times New Roman"/>
          <w:color w:val="000000" w:themeColor="text1"/>
          <w:sz w:val="24"/>
          <w:szCs w:val="24"/>
        </w:rPr>
        <w:footnoteReference w:id="3"/>
      </w:r>
      <w:r w:rsidRPr="009E594C">
        <w:rPr>
          <w:rFonts w:ascii="Garamond" w:hAnsi="Garamond" w:cs="Times New Roman"/>
          <w:color w:val="000000" w:themeColor="text1"/>
          <w:sz w:val="24"/>
          <w:szCs w:val="24"/>
        </w:rPr>
        <w:t xml:space="preserve"> This Catholic missionary group had the pastoral task of taking care of “African emigrants from Brazil and Cuba who had settled in and around Lagos,” and were different from the group that would enter Onitsha 18 years later. With the 1841 Niger expedition by the colonialists, the Anglicans moved eastward by 1857 and dominated the Niger territory prior to the advent of Roman Catholic missionaries some 28 years later in 1885.  </w:t>
      </w:r>
    </w:p>
    <w:p w14:paraId="1D0FF7DD" w14:textId="345E4304" w:rsidR="00E66206"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lastRenderedPageBreak/>
        <w:t>In reconstructing a historical account of the relationship between the Anglicans and Roman Catholics starting from the time of the missionary expedition, therefore, I shall focus greater attention on southern Nigeria, particularly the area designated as the lower Niger, that comprises of the present day South-East and South-South regions of Nigeria where the missionary activities of Anglicans and Roman Catholics gained wider acceptance. I acknowledge that there were other missionary groups that thrived in southern Nigeria, yet the dominance of the Anglicans and Roman Catholics remain incontestable. Such dominance equally implies some level of contacts or interactions, some of which were either positive or negative, cordial or antagonistic. In reviewing this relationship up from the mission fields to contemporary ecumenical dialogue, I shall examine the historical account of the interaction between both churches under the following sub-sets: a) initial hospitality, b) vociferous rivalry, c) difficulties in mutual learning, d) the impact of the Nigeria-Biafra war, and e) contemporary dialogical engagement. From a historical perspective, these sub-sets follow chronologically and therefore reveal, in a way, the transformation that may have occurred in the communal identities of both Anglicans and Roman Catholics. One might argue that the transformations are historically induced, yet the fact that they led to dialogue could become a locus to argue that dialogue stands in the middle of transformation, between the before and the after.</w:t>
      </w:r>
      <w:bookmarkStart w:id="1" w:name="_Toc31190661"/>
    </w:p>
    <w:p w14:paraId="5A0F8CB2" w14:textId="77777777" w:rsidR="00A717CC" w:rsidRDefault="00A717CC" w:rsidP="00A717CC">
      <w:pPr>
        <w:pStyle w:val="Heading3"/>
      </w:pPr>
    </w:p>
    <w:p w14:paraId="7C9A2D64" w14:textId="77777777" w:rsidR="00A717CC" w:rsidRDefault="00A717CC" w:rsidP="00A717CC">
      <w:pPr>
        <w:pStyle w:val="Heading3"/>
      </w:pPr>
    </w:p>
    <w:p w14:paraId="7017A1E9" w14:textId="21956D98" w:rsidR="00FD14B3" w:rsidRPr="009E594C" w:rsidRDefault="00E66206" w:rsidP="00A717CC">
      <w:pPr>
        <w:pStyle w:val="Heading3"/>
      </w:pPr>
      <w:r w:rsidRPr="009E594C">
        <w:t>In the Beginning: Anglican</w:t>
      </w:r>
      <w:r w:rsidR="00FD14B3" w:rsidRPr="009E594C">
        <w:t xml:space="preserve"> Hospitality </w:t>
      </w:r>
      <w:r w:rsidRPr="009E594C">
        <w:t>towards</w:t>
      </w:r>
      <w:r w:rsidR="00FD14B3" w:rsidRPr="009E594C">
        <w:t xml:space="preserve"> Roman Catholics</w:t>
      </w:r>
      <w:bookmarkEnd w:id="1"/>
    </w:p>
    <w:p w14:paraId="627D63BD" w14:textId="77777777" w:rsidR="00A717CC" w:rsidRDefault="00A717CC" w:rsidP="00A717CC">
      <w:pPr>
        <w:spacing w:before="0" w:after="0"/>
        <w:rPr>
          <w:rFonts w:ascii="Garamond" w:hAnsi="Garamond" w:cs="Times New Roman"/>
          <w:color w:val="000000" w:themeColor="text1"/>
          <w:sz w:val="24"/>
          <w:szCs w:val="24"/>
        </w:rPr>
      </w:pPr>
    </w:p>
    <w:p w14:paraId="55AB6B25" w14:textId="6406587B"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At the center of the history of the Anglican Niger Mission is Samuel Ajayi Crowther, an ex-slave who later became a missionary. From 1857 Anglican evangelization in the Niger mission was consolidated under his leadership. Crowther worked together with the Creoles and so made the initial entrance of Anglicanism in the Niger an all-African mission. With his episcopal consecration later in 1864, Crowther exemplified the foremost “indigenous church principle”</w:t>
      </w:r>
      <w:r w:rsidRPr="009E594C">
        <w:rPr>
          <w:rStyle w:val="FootnoteReference"/>
          <w:rFonts w:ascii="Garamond" w:hAnsi="Garamond" w:cs="Times New Roman"/>
          <w:color w:val="000000" w:themeColor="text1"/>
          <w:sz w:val="24"/>
          <w:szCs w:val="24"/>
        </w:rPr>
        <w:footnoteReference w:id="4"/>
      </w:r>
      <w:r w:rsidRPr="009E594C">
        <w:rPr>
          <w:rFonts w:ascii="Garamond" w:hAnsi="Garamond" w:cs="Times New Roman"/>
          <w:color w:val="000000" w:themeColor="text1"/>
          <w:sz w:val="24"/>
          <w:szCs w:val="24"/>
        </w:rPr>
        <w:t xml:space="preserve"> in sub-Saharan Africa. Indeed, by the time the Roman Catholic missionaries stepped foot into the Niger area, Anglicans had already made significant inroads from the plains of Onitsha to the mangroves of Bonny (1865) and Nembe (1868). It was therefore logical that if the Catholics were to receive any form of welcome from any missionaries on ground, it would have to be from the Anglicans.</w:t>
      </w:r>
    </w:p>
    <w:p w14:paraId="2C3A3BE4"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Upon arriving Onitsha in 1885, Catholic missionaries faced the challenge of settling down for mission. Meanwhile, it must be noted that their original intent was to settle in the confluence city of Lokoja considered to be the center of present-day Nigeria. Yet for circumstances which have been given various interpretations by historians, the missionaries could not move beyond Akassa.</w:t>
      </w:r>
      <w:r w:rsidRPr="009E594C">
        <w:rPr>
          <w:rStyle w:val="FootnoteReference"/>
          <w:rFonts w:ascii="Garamond" w:hAnsi="Garamond" w:cs="Times New Roman"/>
          <w:color w:val="000000" w:themeColor="text1"/>
          <w:sz w:val="24"/>
          <w:szCs w:val="24"/>
        </w:rPr>
        <w:footnoteReference w:id="5"/>
      </w:r>
      <w:r w:rsidRPr="009E594C">
        <w:rPr>
          <w:rFonts w:ascii="Garamond" w:hAnsi="Garamond" w:cs="Times New Roman"/>
          <w:color w:val="000000" w:themeColor="text1"/>
          <w:sz w:val="24"/>
          <w:szCs w:val="24"/>
        </w:rPr>
        <w:t xml:space="preserve"> Their intention to station themselves a bit northwards and from there to supervise the </w:t>
      </w:r>
      <w:r w:rsidRPr="009E594C">
        <w:rPr>
          <w:rFonts w:ascii="Garamond" w:hAnsi="Garamond" w:cs="Times New Roman"/>
          <w:color w:val="000000" w:themeColor="text1"/>
          <w:sz w:val="24"/>
          <w:szCs w:val="24"/>
        </w:rPr>
        <w:lastRenderedPageBreak/>
        <w:t xml:space="preserve">mission down to the creeks of the Delta area was completely shattered, and so they were forced to settle in Onitsha. </w:t>
      </w:r>
    </w:p>
    <w:p w14:paraId="51185E50"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In Onitsha the missionaries were greeted with hospitality on three fronts. First, was the immediate accommodation which was provided for them by the General Manager of the Royal Niger Company, Mr. Sarjent. The accommodation was offered at zero cost for a period of three months until they were able to finish their own building.</w:t>
      </w:r>
      <w:r w:rsidRPr="009E594C">
        <w:rPr>
          <w:rStyle w:val="FootnoteReference"/>
          <w:rFonts w:ascii="Garamond" w:hAnsi="Garamond" w:cs="Times New Roman"/>
          <w:color w:val="000000" w:themeColor="text1"/>
          <w:sz w:val="24"/>
          <w:szCs w:val="24"/>
        </w:rPr>
        <w:footnoteReference w:id="6"/>
      </w:r>
      <w:r w:rsidRPr="009E594C">
        <w:rPr>
          <w:rFonts w:ascii="Garamond" w:hAnsi="Garamond" w:cs="Times New Roman"/>
          <w:color w:val="000000" w:themeColor="text1"/>
          <w:sz w:val="24"/>
          <w:szCs w:val="24"/>
        </w:rPr>
        <w:t xml:space="preserve"> Second, was the welcome they received from the King, Obi Anazonwu, who would later offer them a portion of land for their settlement. Third, was the role of the Anglican bishop Crowther in facilitating the land for the Catholic settlement. Nigerian Catholic historian, Celestine Obi reports that the Catholic missionaries wanted to exchange the land which has been offered to them by the King with a more elevated piece of land near the Nkisi river. Unknown to them, their preferred land had already</w:t>
      </w:r>
      <w:r w:rsidRPr="009E594C">
        <w:rPr>
          <w:rFonts w:ascii="Garamond" w:hAnsi="Garamond" w:cs="Times New Roman"/>
          <w:color w:val="FF0000"/>
          <w:sz w:val="24"/>
          <w:szCs w:val="24"/>
        </w:rPr>
        <w:t xml:space="preserve"> </w:t>
      </w:r>
      <w:r w:rsidRPr="009E594C">
        <w:rPr>
          <w:rFonts w:ascii="Garamond" w:hAnsi="Garamond" w:cs="Times New Roman"/>
          <w:color w:val="000000" w:themeColor="text1"/>
          <w:sz w:val="24"/>
          <w:szCs w:val="24"/>
        </w:rPr>
        <w:t>been given to Crowther some four years earlier.</w:t>
      </w:r>
      <w:r w:rsidRPr="009E594C">
        <w:rPr>
          <w:rStyle w:val="FootnoteReference"/>
          <w:rFonts w:ascii="Garamond" w:hAnsi="Garamond" w:cs="Times New Roman"/>
          <w:color w:val="000000" w:themeColor="text1"/>
          <w:sz w:val="24"/>
          <w:szCs w:val="24"/>
        </w:rPr>
        <w:footnoteReference w:id="7"/>
      </w:r>
      <w:r w:rsidRPr="009E594C">
        <w:rPr>
          <w:rFonts w:ascii="Garamond" w:hAnsi="Garamond" w:cs="Times New Roman"/>
          <w:color w:val="000000" w:themeColor="text1"/>
          <w:sz w:val="24"/>
          <w:szCs w:val="24"/>
        </w:rPr>
        <w:t xml:space="preserve"> In a bid to assist them and to maintain fairness, the king asked them to appeal to Crowther.</w:t>
      </w:r>
    </w:p>
    <w:p w14:paraId="2EE6FDA7"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Crowther displayed an exceptional act of hospitality towards the Catholic missionaries. Obi reports that when the case of the land was raised, Crowther had this response: “I acquired this piece of land for God’s cause. Take it.”</w:t>
      </w:r>
      <w:r w:rsidRPr="009E594C">
        <w:rPr>
          <w:rStyle w:val="FootnoteReference"/>
          <w:rFonts w:ascii="Garamond" w:hAnsi="Garamond" w:cs="Times New Roman"/>
          <w:color w:val="000000" w:themeColor="text1"/>
          <w:sz w:val="24"/>
          <w:szCs w:val="24"/>
        </w:rPr>
        <w:footnoteReference w:id="8"/>
      </w:r>
      <w:r w:rsidRPr="009E594C">
        <w:rPr>
          <w:rFonts w:ascii="Garamond" w:hAnsi="Garamond" w:cs="Times New Roman"/>
          <w:color w:val="000000" w:themeColor="text1"/>
          <w:sz w:val="24"/>
          <w:szCs w:val="24"/>
        </w:rPr>
        <w:t xml:space="preserve"> Corroborating this act of welcome, Nigerian historian of the famous Ibadan school of thought, Jacob F.A. Ajayi states that the fear of popery which always made other Protestant missionaries to despise the Catholics, “did not prevent Bishop Crowther from welcoming Catholics to Onitsha at the start of their remarkable work among the Igbo.”</w:t>
      </w:r>
      <w:r w:rsidRPr="009E594C">
        <w:rPr>
          <w:rStyle w:val="FootnoteReference"/>
          <w:rFonts w:ascii="Garamond" w:hAnsi="Garamond" w:cs="Times New Roman"/>
          <w:color w:val="000000" w:themeColor="text1"/>
          <w:sz w:val="24"/>
          <w:szCs w:val="24"/>
        </w:rPr>
        <w:footnoteReference w:id="9"/>
      </w:r>
      <w:r w:rsidRPr="009E594C">
        <w:rPr>
          <w:rFonts w:ascii="Garamond" w:hAnsi="Garamond" w:cs="Times New Roman"/>
          <w:color w:val="000000" w:themeColor="text1"/>
          <w:sz w:val="24"/>
          <w:szCs w:val="24"/>
        </w:rPr>
        <w:t xml:space="preserve"> Ajayi further argues that the underlying principle behind Crowther’s hospitality was his understanding of Christianity as “a force for creating a new society”, a reason that propelled him to gladly welcome “all those willing to make a positive contribution.”</w:t>
      </w:r>
      <w:r w:rsidRPr="009E594C">
        <w:rPr>
          <w:rStyle w:val="FootnoteReference"/>
          <w:rFonts w:ascii="Garamond" w:hAnsi="Garamond" w:cs="Times New Roman"/>
          <w:color w:val="000000" w:themeColor="text1"/>
          <w:sz w:val="24"/>
          <w:szCs w:val="24"/>
        </w:rPr>
        <w:footnoteReference w:id="10"/>
      </w:r>
      <w:r w:rsidRPr="009E594C">
        <w:rPr>
          <w:rFonts w:ascii="Garamond" w:hAnsi="Garamond" w:cs="Times New Roman"/>
          <w:color w:val="000000" w:themeColor="text1"/>
          <w:sz w:val="24"/>
          <w:szCs w:val="24"/>
        </w:rPr>
        <w:t xml:space="preserve"> Crowther’s interest, one could argue, therefore, was essentially motivated by the social impact of Christianity.</w:t>
      </w:r>
    </w:p>
    <w:p w14:paraId="1DA4C638" w14:textId="557A6F18"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Indeed, the Catholic missionaries (Holy Ghost Fathers) led by Fr. Joseph Émile Lutz enjoyed much hospitality from all and sundry at their arrival at Onitsha. Obi remarks that, “the cordiality and friendship shown by the King himself, the natives, the company agents and the non-Catholic missionaries, to a great extent, helped the Holy Ghost Fathers to settle down and get used to their new home.”</w:t>
      </w:r>
      <w:r w:rsidRPr="009E594C">
        <w:rPr>
          <w:rStyle w:val="FootnoteReference"/>
          <w:rFonts w:ascii="Garamond" w:hAnsi="Garamond" w:cs="Times New Roman"/>
          <w:color w:val="000000" w:themeColor="text1"/>
          <w:sz w:val="24"/>
          <w:szCs w:val="24"/>
        </w:rPr>
        <w:footnoteReference w:id="11"/>
      </w:r>
      <w:r w:rsidRPr="009E594C">
        <w:rPr>
          <w:rFonts w:ascii="Garamond" w:hAnsi="Garamond" w:cs="Times New Roman"/>
          <w:color w:val="000000" w:themeColor="text1"/>
          <w:sz w:val="24"/>
          <w:szCs w:val="24"/>
        </w:rPr>
        <w:t xml:space="preserve"> This initial hospitality which marked the pristine contact between Anglicans and Catholics in the Lower Niger mission territory remains very symbolic. Its symbolism lies in the potential it has in the attempt to rediscover ecumenical relationships today. When Anglicans and Catholics in Nigeria are reminded that their earliest contacts at the different mission fields were marked by an unprecedented hospitality and peaceful co-existence, chances are that they will be compelled to reassess their current attitude towards one another in view of recovering what has been lost over the years. It must be recalled, however, that this initial gesture soon faded once the Catholic missionaries began gaining ground in the already occupied mission territory of Lower Niger. What followed thereafter was a tale of bitter rivalry and unhealthy competition.</w:t>
      </w:r>
    </w:p>
    <w:p w14:paraId="10DB68CB" w14:textId="77777777" w:rsidR="00A717CC" w:rsidRDefault="00A717CC" w:rsidP="00A717CC">
      <w:pPr>
        <w:pStyle w:val="Heading3"/>
      </w:pPr>
      <w:bookmarkStart w:id="2" w:name="_Toc31190662"/>
    </w:p>
    <w:p w14:paraId="3029EA19" w14:textId="77777777" w:rsidR="00A717CC" w:rsidRDefault="00A717CC" w:rsidP="00A717CC">
      <w:pPr>
        <w:pStyle w:val="Heading3"/>
      </w:pPr>
    </w:p>
    <w:p w14:paraId="555501D9" w14:textId="53067DEC" w:rsidR="00FD14B3" w:rsidRPr="009E594C" w:rsidRDefault="00E66206" w:rsidP="00A717CC">
      <w:pPr>
        <w:pStyle w:val="Heading3"/>
      </w:pPr>
      <w:r w:rsidRPr="009E594C">
        <w:t xml:space="preserve">In the Battlefield: Scramble </w:t>
      </w:r>
      <w:r w:rsidR="00FD14B3" w:rsidRPr="009E594C">
        <w:t>for Mission Territories</w:t>
      </w:r>
      <w:bookmarkEnd w:id="2"/>
      <w:r w:rsidRPr="009E594C">
        <w:t xml:space="preserve"> and Consequent Rivalry</w:t>
      </w:r>
    </w:p>
    <w:p w14:paraId="7285D39F" w14:textId="77777777" w:rsidR="00A717CC" w:rsidRDefault="00A717CC" w:rsidP="00A717CC">
      <w:pPr>
        <w:spacing w:before="0" w:after="0"/>
        <w:rPr>
          <w:rFonts w:ascii="Garamond" w:hAnsi="Garamond" w:cs="Times New Roman"/>
          <w:color w:val="000000" w:themeColor="text1"/>
          <w:sz w:val="24"/>
          <w:szCs w:val="24"/>
        </w:rPr>
      </w:pPr>
    </w:p>
    <w:p w14:paraId="3934C1D1" w14:textId="06D34835"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Relationship among the various missionary groups in sub-Saharan Africa was largely marked by rivalries and sometimes open conflicts. These bitter relationships were evident in the method of missionary activities, the denominational beliefs and practices, as well as in the desire to acquire territories.</w:t>
      </w:r>
      <w:r w:rsidRPr="009E594C">
        <w:rPr>
          <w:rStyle w:val="FootnoteReference"/>
          <w:rFonts w:ascii="Garamond" w:hAnsi="Garamond" w:cs="Times New Roman"/>
          <w:color w:val="000000" w:themeColor="text1"/>
          <w:sz w:val="24"/>
          <w:szCs w:val="24"/>
        </w:rPr>
        <w:footnoteReference w:id="12"/>
      </w:r>
      <w:r w:rsidRPr="009E594C">
        <w:rPr>
          <w:rFonts w:ascii="Garamond" w:hAnsi="Garamond" w:cs="Times New Roman"/>
          <w:color w:val="000000" w:themeColor="text1"/>
          <w:sz w:val="24"/>
          <w:szCs w:val="24"/>
        </w:rPr>
        <w:t xml:space="preserve"> As such, not only did the missionaries transfer the religious acrimony they experienced among themselves in Europe to Africa, but they had also developed new problems in their quest to convert the locals.</w:t>
      </w:r>
      <w:r w:rsidRPr="009E594C">
        <w:rPr>
          <w:rStyle w:val="FootnoteReference"/>
          <w:rFonts w:ascii="Garamond" w:hAnsi="Garamond" w:cs="Times New Roman"/>
          <w:color w:val="000000" w:themeColor="text1"/>
          <w:sz w:val="24"/>
          <w:szCs w:val="24"/>
        </w:rPr>
        <w:footnoteReference w:id="13"/>
      </w:r>
    </w:p>
    <w:p w14:paraId="37FC3C8D"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Among the Protestants, there was an attempt to avoid the unsavory situation by delimiting the activities of each missionary group to specific areas. Crowther who was the most prominent among the Protestants applied the ‘principle of non-duplication’</w:t>
      </w:r>
      <w:r w:rsidRPr="009E594C">
        <w:rPr>
          <w:rStyle w:val="FootnoteReference"/>
          <w:rFonts w:ascii="Garamond" w:hAnsi="Garamond" w:cs="Times New Roman"/>
          <w:color w:val="000000" w:themeColor="text1"/>
          <w:sz w:val="24"/>
          <w:szCs w:val="24"/>
        </w:rPr>
        <w:footnoteReference w:id="14"/>
      </w:r>
      <w:r w:rsidRPr="009E594C">
        <w:rPr>
          <w:rFonts w:ascii="Garamond" w:hAnsi="Garamond" w:cs="Times New Roman"/>
          <w:color w:val="000000" w:themeColor="text1"/>
          <w:sz w:val="24"/>
          <w:szCs w:val="24"/>
        </w:rPr>
        <w:t xml:space="preserve"> by assigning each mission group to a designated area based on the homogeneity of the local people. No missionary group was to interfere in the locality that was assigned to another. However, in all this, the Catholic missionaries were considered a common enemy that deserved no territory.</w:t>
      </w:r>
    </w:p>
    <w:p w14:paraId="62ABCDF4"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Animosity and rivalry against the Catholics started as soon as Fr. Lutz and his group began work. Already by 1886, the Catholic missionaries had opened centers for the religious instructions of the catechumens; started training some individuals for purposes of mission; and even opened a functional dispensary for the treatment of the sick. Free medications were provided for sick children.</w:t>
      </w:r>
      <w:r w:rsidRPr="009E594C">
        <w:rPr>
          <w:rStyle w:val="FootnoteReference"/>
          <w:rFonts w:ascii="Garamond" w:hAnsi="Garamond" w:cs="Times New Roman"/>
          <w:color w:val="000000" w:themeColor="text1"/>
          <w:sz w:val="24"/>
          <w:szCs w:val="24"/>
        </w:rPr>
        <w:footnoteReference w:id="15"/>
      </w:r>
      <w:r w:rsidRPr="009E594C">
        <w:rPr>
          <w:rFonts w:ascii="Garamond" w:hAnsi="Garamond" w:cs="Times New Roman"/>
          <w:color w:val="000000" w:themeColor="text1"/>
          <w:sz w:val="24"/>
          <w:szCs w:val="24"/>
        </w:rPr>
        <w:t xml:space="preserve"> Later on, the Catholic missionaries would engage in purchasing slaves as a way of setting them free. They also adopted some orphans and took care of their feeding and housing in the mission house.</w:t>
      </w:r>
      <w:r w:rsidRPr="009E594C">
        <w:rPr>
          <w:rStyle w:val="FootnoteReference"/>
          <w:rFonts w:ascii="Garamond" w:hAnsi="Garamond" w:cs="Times New Roman"/>
          <w:color w:val="000000" w:themeColor="text1"/>
          <w:sz w:val="24"/>
          <w:szCs w:val="24"/>
        </w:rPr>
        <w:footnoteReference w:id="16"/>
      </w:r>
      <w:r w:rsidRPr="009E594C">
        <w:rPr>
          <w:rFonts w:ascii="Garamond" w:hAnsi="Garamond" w:cs="Times New Roman"/>
          <w:color w:val="000000" w:themeColor="text1"/>
          <w:sz w:val="24"/>
          <w:szCs w:val="24"/>
        </w:rPr>
        <w:t xml:space="preserve"> These practical approaches of the Catholic missionaries endeared them to the local people, while the Anglicans, who focused exclusively on a Bible-based evangelization, felt threatened by the new development. For the Anglican missionaries the methods used by the Catholics were only instruments of proselytism and did not amount to real conversion. This is especially so in cases where sick children who sought treatment in the dispensaries were first baptized before being treated.</w:t>
      </w:r>
      <w:r w:rsidRPr="009E594C">
        <w:rPr>
          <w:rStyle w:val="FootnoteReference"/>
          <w:rFonts w:ascii="Garamond" w:hAnsi="Garamond" w:cs="Times New Roman"/>
          <w:color w:val="000000" w:themeColor="text1"/>
          <w:sz w:val="24"/>
          <w:szCs w:val="24"/>
        </w:rPr>
        <w:footnoteReference w:id="17"/>
      </w:r>
      <w:r w:rsidRPr="009E594C">
        <w:rPr>
          <w:rFonts w:ascii="Garamond" w:hAnsi="Garamond" w:cs="Times New Roman"/>
          <w:color w:val="000000" w:themeColor="text1"/>
          <w:sz w:val="24"/>
          <w:szCs w:val="24"/>
        </w:rPr>
        <w:t xml:space="preserve"> Truly these cannot be taken as true conversions, but then the endearment it brought to the Catholics turned into nightmare for the Anglicans. The desperation of the Anglicans (C.M.S.) was so strong that they vehemently tried to prevent the Catholic missionaries from penetrating the Niger Delta territory.</w:t>
      </w:r>
    </w:p>
    <w:p w14:paraId="78A971A4" w14:textId="4D071C14" w:rsidR="00FD14B3" w:rsidRPr="00623466" w:rsidRDefault="00FD14B3" w:rsidP="00A717CC">
      <w:pPr>
        <w:spacing w:before="0" w:after="0"/>
        <w:ind w:firstLine="567"/>
        <w:rPr>
          <w:rFonts w:ascii="Garamond" w:hAnsi="Garamond" w:cs="Times New Roman"/>
          <w:color w:val="000000" w:themeColor="text1"/>
        </w:rPr>
      </w:pPr>
      <w:r w:rsidRPr="009E594C">
        <w:rPr>
          <w:rFonts w:ascii="Garamond" w:hAnsi="Garamond" w:cs="Times New Roman"/>
          <w:color w:val="000000" w:themeColor="text1"/>
          <w:sz w:val="24"/>
          <w:szCs w:val="24"/>
        </w:rPr>
        <w:t xml:space="preserve">Nigerian historian, Godwin O.M Tasie reports that by the time Fr. Lutz visited the Brass and Nembe areas, the C.M.S. missionaries were already poised to stop him from gaining any </w:t>
      </w:r>
      <w:r w:rsidRPr="00623466">
        <w:rPr>
          <w:rFonts w:ascii="Garamond" w:hAnsi="Garamond" w:cs="Times New Roman"/>
          <w:color w:val="000000" w:themeColor="text1"/>
          <w:sz w:val="24"/>
          <w:szCs w:val="24"/>
        </w:rPr>
        <w:t>ground.</w:t>
      </w:r>
      <w:r w:rsidR="00623466" w:rsidRPr="00623466">
        <w:rPr>
          <w:rFonts w:ascii="Garamond" w:hAnsi="Garamond" w:cs="Times New Roman"/>
          <w:color w:val="000000" w:themeColor="text1"/>
          <w:sz w:val="24"/>
          <w:szCs w:val="24"/>
        </w:rPr>
        <w:t xml:space="preserve"> As such, unsurpringly “</w:t>
      </w:r>
      <w:r w:rsidRPr="00623466">
        <w:rPr>
          <w:rFonts w:ascii="Garamond" w:hAnsi="Garamond" w:cs="Times New Roman"/>
          <w:color w:val="000000" w:themeColor="text1"/>
          <w:sz w:val="24"/>
          <w:szCs w:val="24"/>
        </w:rPr>
        <w:t xml:space="preserve">shortly after the visit of Lutz the C.M.S stepped up its amenities </w:t>
      </w:r>
      <w:r w:rsidRPr="00623466">
        <w:rPr>
          <w:rFonts w:ascii="Garamond" w:hAnsi="Garamond" w:cs="Times New Roman"/>
          <w:color w:val="000000" w:themeColor="text1"/>
          <w:sz w:val="24"/>
          <w:szCs w:val="24"/>
        </w:rPr>
        <w:lastRenderedPageBreak/>
        <w:t>in the Brass mission.”</w:t>
      </w:r>
      <w:r w:rsidRPr="00623466">
        <w:rPr>
          <w:rStyle w:val="FootnoteReference"/>
          <w:rFonts w:ascii="Garamond" w:hAnsi="Garamond" w:cs="Times New Roman"/>
          <w:color w:val="000000" w:themeColor="text1"/>
          <w:sz w:val="24"/>
          <w:szCs w:val="24"/>
        </w:rPr>
        <w:footnoteReference w:id="18"/>
      </w:r>
      <w:r w:rsidR="00623466" w:rsidRPr="00623466">
        <w:rPr>
          <w:rFonts w:ascii="Garamond" w:hAnsi="Garamond" w:cs="Times New Roman"/>
          <w:color w:val="000000" w:themeColor="text1"/>
          <w:sz w:val="24"/>
          <w:szCs w:val="24"/>
        </w:rPr>
        <w:t xml:space="preserve"> </w:t>
      </w:r>
      <w:r w:rsidRPr="00623466">
        <w:rPr>
          <w:rFonts w:ascii="Garamond" w:hAnsi="Garamond" w:cs="Times New Roman"/>
          <w:color w:val="000000" w:themeColor="text1"/>
          <w:sz w:val="24"/>
          <w:szCs w:val="24"/>
        </w:rPr>
        <w:t>Apprehension</w:t>
      </w:r>
      <w:r w:rsidRPr="009E594C">
        <w:rPr>
          <w:rFonts w:ascii="Garamond" w:hAnsi="Garamond" w:cs="Times New Roman"/>
          <w:color w:val="000000" w:themeColor="text1"/>
          <w:sz w:val="24"/>
          <w:szCs w:val="24"/>
        </w:rPr>
        <w:t xml:space="preserve"> over an apparently more successful missionary agent led to bitter rivalries between Anglicans and Catholics. In fact, this grave opposition resulted in the absence of Catholics in the Delta region for a period of 3 years (1891-1894).</w:t>
      </w:r>
    </w:p>
    <w:p w14:paraId="17798895"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A similar situation of rivalry and tension also took place in the West. The Anglicans had increasingly dominated the territory with an impressive number of trained indigenous clergy while Catholics struggled to get converts.</w:t>
      </w:r>
      <w:r w:rsidRPr="009E594C">
        <w:rPr>
          <w:rStyle w:val="FootnoteReference"/>
          <w:rFonts w:ascii="Garamond" w:hAnsi="Garamond" w:cs="Times New Roman"/>
          <w:color w:val="000000" w:themeColor="text1"/>
          <w:sz w:val="24"/>
          <w:szCs w:val="24"/>
        </w:rPr>
        <w:footnoteReference w:id="19"/>
      </w:r>
      <w:r w:rsidRPr="009E594C">
        <w:rPr>
          <w:rFonts w:ascii="Garamond" w:hAnsi="Garamond" w:cs="Times New Roman"/>
          <w:color w:val="000000" w:themeColor="text1"/>
          <w:sz w:val="24"/>
          <w:szCs w:val="24"/>
        </w:rPr>
        <w:t xml:space="preserve"> The Roman Catholic missionaries re-strategized by training catechists, and deploying them to the mission field in Yorubaland. The catechists from Catholic stations in Lagos, Ibadan, Abeokuta, Ijebu and Ekiti helped in planting mission stations in virtually every village. As a result of this strategy, Peter Clarke reports that “in 1928 there were 100 Catholic churches, sixteen schools, fifty catechists and four priests” in Ado, Akure, alone.</w:t>
      </w:r>
      <w:r w:rsidRPr="009E594C">
        <w:rPr>
          <w:rStyle w:val="FootnoteReference"/>
          <w:rFonts w:ascii="Garamond" w:hAnsi="Garamond" w:cs="Times New Roman"/>
          <w:color w:val="000000" w:themeColor="text1"/>
          <w:sz w:val="24"/>
          <w:szCs w:val="24"/>
        </w:rPr>
        <w:footnoteReference w:id="20"/>
      </w:r>
      <w:r w:rsidRPr="009E594C">
        <w:rPr>
          <w:rFonts w:ascii="Garamond" w:hAnsi="Garamond" w:cs="Times New Roman"/>
          <w:color w:val="000000" w:themeColor="text1"/>
          <w:sz w:val="24"/>
          <w:szCs w:val="24"/>
        </w:rPr>
        <w:t xml:space="preserve"> The rivalry and tension which by now firmly existed between the Anglicans and the Catholics were intensified by the fact that many of the early converts to Catholicism were formerly members of the CMS. </w:t>
      </w:r>
    </w:p>
    <w:p w14:paraId="2C79741A"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In northern Nigeria, the missionaries were mainly confronted with the resistance of Muslim leaders. Consequently, many of the missions focused on the ‘pagan’ areas of northern Nigeria. The missionaries enjoyed a cordial relationship among themselves. The churches would later consolidate their missions with the establishment of the </w:t>
      </w:r>
      <w:r w:rsidRPr="009E594C">
        <w:rPr>
          <w:rFonts w:ascii="Garamond" w:hAnsi="Garamond" w:cs="Times New Roman"/>
          <w:i/>
          <w:color w:val="000000" w:themeColor="text1"/>
          <w:sz w:val="24"/>
          <w:szCs w:val="24"/>
        </w:rPr>
        <w:t>Sabon Gari</w:t>
      </w:r>
      <w:r w:rsidRPr="009E594C">
        <w:rPr>
          <w:rFonts w:ascii="Garamond" w:hAnsi="Garamond" w:cs="Times New Roman"/>
          <w:color w:val="000000" w:themeColor="text1"/>
          <w:sz w:val="24"/>
          <w:szCs w:val="24"/>
        </w:rPr>
        <w:t xml:space="preserve"> (township for foreigners) that was populated by migrants from the south, in areas like Sokoto, Bauchi, Kano, Kaduna and Jos. Sometimes, this new arrangement would mean the severance of interdenominational ties as was the case in Potiskum.</w:t>
      </w:r>
      <w:r w:rsidRPr="009E594C">
        <w:rPr>
          <w:rStyle w:val="FootnoteReference"/>
          <w:rFonts w:ascii="Garamond" w:hAnsi="Garamond" w:cs="Times New Roman"/>
          <w:color w:val="000000" w:themeColor="text1"/>
          <w:sz w:val="24"/>
          <w:szCs w:val="24"/>
        </w:rPr>
        <w:footnoteReference w:id="21"/>
      </w:r>
      <w:r w:rsidRPr="009E594C">
        <w:rPr>
          <w:rFonts w:ascii="Garamond" w:hAnsi="Garamond" w:cs="Times New Roman"/>
          <w:color w:val="000000" w:themeColor="text1"/>
          <w:sz w:val="24"/>
          <w:szCs w:val="24"/>
        </w:rPr>
        <w:t xml:space="preserve"> Prior to this, the 1905 CMS mission in Zaria was successful since most of the converts were descendants of a 19</w:t>
      </w:r>
      <w:r w:rsidRPr="009E594C">
        <w:rPr>
          <w:rFonts w:ascii="Garamond" w:hAnsi="Garamond" w:cs="Times New Roman"/>
          <w:color w:val="000000" w:themeColor="text1"/>
          <w:sz w:val="24"/>
          <w:szCs w:val="24"/>
          <w:vertAlign w:val="superscript"/>
        </w:rPr>
        <w:t>th</w:t>
      </w:r>
      <w:r w:rsidRPr="009E594C">
        <w:rPr>
          <w:rFonts w:ascii="Garamond" w:hAnsi="Garamond" w:cs="Times New Roman"/>
          <w:color w:val="000000" w:themeColor="text1"/>
          <w:sz w:val="24"/>
          <w:szCs w:val="24"/>
        </w:rPr>
        <w:t xml:space="preserve"> Century Imam, Malam Ibrahim, who led the </w:t>
      </w:r>
      <w:r w:rsidRPr="009E594C">
        <w:rPr>
          <w:rFonts w:ascii="Garamond" w:hAnsi="Garamond" w:cs="Times New Roman"/>
          <w:i/>
          <w:color w:val="000000" w:themeColor="text1"/>
          <w:sz w:val="24"/>
          <w:szCs w:val="24"/>
        </w:rPr>
        <w:t>Isawa</w:t>
      </w:r>
      <w:r w:rsidRPr="009E594C">
        <w:rPr>
          <w:rFonts w:ascii="Garamond" w:hAnsi="Garamond" w:cs="Times New Roman"/>
          <w:color w:val="000000" w:themeColor="text1"/>
          <w:sz w:val="24"/>
          <w:szCs w:val="24"/>
        </w:rPr>
        <w:t xml:space="preserve"> (‘The Jesus People’), a group that was alleged to have prioritized Jesus above the Prophet Muhammad.</w:t>
      </w:r>
      <w:r w:rsidRPr="009E594C">
        <w:rPr>
          <w:rStyle w:val="FootnoteReference"/>
          <w:rFonts w:ascii="Garamond" w:hAnsi="Garamond" w:cs="Times New Roman"/>
          <w:color w:val="000000" w:themeColor="text1"/>
          <w:sz w:val="24"/>
          <w:szCs w:val="24"/>
        </w:rPr>
        <w:footnoteReference w:id="22"/>
      </w:r>
      <w:r w:rsidRPr="009E594C">
        <w:rPr>
          <w:rFonts w:ascii="Garamond" w:hAnsi="Garamond" w:cs="Times New Roman"/>
          <w:color w:val="000000" w:themeColor="text1"/>
          <w:sz w:val="24"/>
          <w:szCs w:val="24"/>
        </w:rPr>
        <w:t xml:space="preserve"> </w:t>
      </w:r>
    </w:p>
    <w:p w14:paraId="4A67D738"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The rivalry between Anglicans and Catholics took a more intense dimension with the school apostolate.</w:t>
      </w:r>
      <w:r w:rsidRPr="009E594C">
        <w:rPr>
          <w:rStyle w:val="FootnoteReference"/>
          <w:rFonts w:ascii="Garamond" w:hAnsi="Garamond" w:cs="Times New Roman"/>
          <w:color w:val="000000" w:themeColor="text1"/>
          <w:sz w:val="24"/>
          <w:szCs w:val="24"/>
        </w:rPr>
        <w:footnoteReference w:id="23"/>
      </w:r>
      <w:r w:rsidRPr="009E594C">
        <w:rPr>
          <w:rFonts w:ascii="Garamond" w:hAnsi="Garamond" w:cs="Times New Roman"/>
          <w:color w:val="000000" w:themeColor="text1"/>
          <w:sz w:val="24"/>
          <w:szCs w:val="24"/>
        </w:rPr>
        <w:t xml:space="preserve"> With the difficulties associated with the repurchase of slaves as well as the Christian village program of the Catholic mission,</w:t>
      </w:r>
      <w:r w:rsidRPr="009E594C">
        <w:rPr>
          <w:rStyle w:val="FootnoteReference"/>
          <w:rFonts w:ascii="Garamond" w:hAnsi="Garamond" w:cs="Times New Roman"/>
          <w:color w:val="000000" w:themeColor="text1"/>
          <w:sz w:val="24"/>
          <w:szCs w:val="24"/>
        </w:rPr>
        <w:footnoteReference w:id="24"/>
      </w:r>
      <w:r w:rsidRPr="009E594C">
        <w:rPr>
          <w:rFonts w:ascii="Garamond" w:hAnsi="Garamond" w:cs="Times New Roman"/>
          <w:color w:val="000000" w:themeColor="text1"/>
          <w:sz w:val="24"/>
          <w:szCs w:val="24"/>
        </w:rPr>
        <w:t xml:space="preserve"> the new head of the mission, Fr. Alexandre Leon Lejeune, came up with a new method of evangelization that is focused on the school apostolate. In his years as the head of the Lower Niger Mission (1900-1905), Fr. Lejeune started the educational policy which was later pursued vigorously by his successor Fr. Joseph Shanahan. Shanahan later became the bishop of the Onitsha Province. The Catholics established schools everywhere including some of the Anglican strongholds. The Anglicans who felt threatened by this incursion into their territories were further incapacitated by lack of funds.</w:t>
      </w:r>
      <w:r w:rsidRPr="009E594C">
        <w:rPr>
          <w:rStyle w:val="FootnoteReference"/>
          <w:rFonts w:ascii="Garamond" w:hAnsi="Garamond" w:cs="Times New Roman"/>
          <w:color w:val="000000" w:themeColor="text1"/>
          <w:sz w:val="24"/>
          <w:szCs w:val="24"/>
        </w:rPr>
        <w:footnoteReference w:id="25"/>
      </w:r>
      <w:r w:rsidRPr="009E594C">
        <w:rPr>
          <w:rFonts w:ascii="Garamond" w:hAnsi="Garamond" w:cs="Times New Roman"/>
          <w:color w:val="000000" w:themeColor="text1"/>
          <w:sz w:val="24"/>
          <w:szCs w:val="24"/>
        </w:rPr>
        <w:t xml:space="preserve"> However, they tried as much as possible to catch up with the Catholics by realigning their missionary strategy to also accommodate the establishment of schools.</w:t>
      </w:r>
    </w:p>
    <w:p w14:paraId="3183B182" w14:textId="0806A93E"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lastRenderedPageBreak/>
        <w:t>Historian, Augustine Okwu, offers us an 11-year (1901-1912) statistical comparison between the Anglican (CMS) and Roman Catholic (RCM) school apostolate in Igboland, East of the Niger.</w:t>
      </w:r>
      <w:bookmarkStart w:id="3" w:name="_Toc31190663"/>
      <w:r w:rsidRPr="009E594C">
        <w:rPr>
          <w:rStyle w:val="FootnoteReference"/>
          <w:rFonts w:ascii="Garamond" w:hAnsi="Garamond" w:cs="Times New Roman"/>
          <w:color w:val="000000" w:themeColor="text1"/>
          <w:sz w:val="24"/>
          <w:szCs w:val="24"/>
        </w:rPr>
        <w:footnoteReference w:id="26"/>
      </w:r>
      <w:bookmarkEnd w:id="3"/>
    </w:p>
    <w:p w14:paraId="46B9F4BB" w14:textId="77777777" w:rsidR="002513A9" w:rsidRPr="009E594C" w:rsidRDefault="002513A9" w:rsidP="00A717CC">
      <w:pPr>
        <w:spacing w:before="0" w:after="0"/>
        <w:ind w:firstLine="567"/>
        <w:rPr>
          <w:rFonts w:ascii="Garamond" w:hAnsi="Garamond" w:cs="Times New Roman"/>
          <w:color w:val="000000" w:themeColor="text1"/>
          <w:sz w:val="24"/>
          <w:szCs w:val="24"/>
        </w:rPr>
      </w:pPr>
    </w:p>
    <w:tbl>
      <w:tblPr>
        <w:tblStyle w:val="GridTable1Light1"/>
        <w:tblW w:w="0" w:type="auto"/>
        <w:tblLook w:val="04A0" w:firstRow="1" w:lastRow="0" w:firstColumn="1" w:lastColumn="0" w:noHBand="0" w:noVBand="1"/>
      </w:tblPr>
      <w:tblGrid>
        <w:gridCol w:w="1098"/>
        <w:gridCol w:w="1309"/>
        <w:gridCol w:w="1191"/>
        <w:gridCol w:w="1456"/>
        <w:gridCol w:w="1309"/>
        <w:gridCol w:w="1191"/>
        <w:gridCol w:w="1456"/>
      </w:tblGrid>
      <w:tr w:rsidR="00FD14B3" w:rsidRPr="009E594C" w14:paraId="790AD4C9" w14:textId="77777777" w:rsidTr="00B86F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tcPr>
          <w:p w14:paraId="243D98C7" w14:textId="77777777" w:rsidR="00FD14B3" w:rsidRPr="009E594C" w:rsidRDefault="00FD14B3" w:rsidP="00A717CC">
            <w:pPr>
              <w:spacing w:before="0" w:after="0"/>
              <w:rPr>
                <w:rFonts w:ascii="Garamond" w:hAnsi="Garamond"/>
                <w:color w:val="000000" w:themeColor="text1"/>
              </w:rPr>
            </w:pPr>
          </w:p>
        </w:tc>
        <w:tc>
          <w:tcPr>
            <w:tcW w:w="3959" w:type="dxa"/>
            <w:gridSpan w:val="3"/>
          </w:tcPr>
          <w:p w14:paraId="6A1AC7E2" w14:textId="77777777" w:rsidR="00FD14B3" w:rsidRPr="009E594C" w:rsidRDefault="00FD14B3" w:rsidP="00A717CC">
            <w:pPr>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1901</w:t>
            </w:r>
          </w:p>
        </w:tc>
        <w:tc>
          <w:tcPr>
            <w:tcW w:w="3959" w:type="dxa"/>
            <w:gridSpan w:val="3"/>
          </w:tcPr>
          <w:p w14:paraId="20730EC8" w14:textId="77777777" w:rsidR="00FD14B3" w:rsidRPr="009E594C" w:rsidRDefault="00FD14B3" w:rsidP="00A717CC">
            <w:pPr>
              <w:spacing w:before="0" w:after="0"/>
              <w:jc w:val="center"/>
              <w:cnfStyle w:val="100000000000" w:firstRow="1"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1912</w:t>
            </w:r>
          </w:p>
        </w:tc>
      </w:tr>
      <w:tr w:rsidR="00FD14B3" w:rsidRPr="009E594C" w14:paraId="6ADDCFC5" w14:textId="77777777" w:rsidTr="00B86F98">
        <w:tc>
          <w:tcPr>
            <w:cnfStyle w:val="001000000000" w:firstRow="0" w:lastRow="0" w:firstColumn="1" w:lastColumn="0" w:oddVBand="0" w:evenVBand="0" w:oddHBand="0" w:evenHBand="0" w:firstRowFirstColumn="0" w:firstRowLastColumn="0" w:lastRowFirstColumn="0" w:lastRowLastColumn="0"/>
            <w:tcW w:w="1098" w:type="dxa"/>
          </w:tcPr>
          <w:p w14:paraId="2F9223D3" w14:textId="77777777" w:rsidR="00FD14B3" w:rsidRPr="009E594C" w:rsidRDefault="00FD14B3" w:rsidP="00A717CC">
            <w:pPr>
              <w:spacing w:before="0" w:after="0"/>
              <w:rPr>
                <w:rFonts w:ascii="Garamond" w:hAnsi="Garamond"/>
                <w:color w:val="000000" w:themeColor="text1"/>
              </w:rPr>
            </w:pPr>
          </w:p>
        </w:tc>
        <w:tc>
          <w:tcPr>
            <w:tcW w:w="1310" w:type="dxa"/>
          </w:tcPr>
          <w:p w14:paraId="1475126C"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Schools</w:t>
            </w:r>
          </w:p>
        </w:tc>
        <w:tc>
          <w:tcPr>
            <w:tcW w:w="1192" w:type="dxa"/>
          </w:tcPr>
          <w:p w14:paraId="6A50789F"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Pupils</w:t>
            </w:r>
          </w:p>
        </w:tc>
        <w:tc>
          <w:tcPr>
            <w:tcW w:w="1457" w:type="dxa"/>
          </w:tcPr>
          <w:p w14:paraId="2C305F3A"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Teachers</w:t>
            </w:r>
          </w:p>
        </w:tc>
        <w:tc>
          <w:tcPr>
            <w:tcW w:w="1310" w:type="dxa"/>
          </w:tcPr>
          <w:p w14:paraId="56C20A63"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Schools</w:t>
            </w:r>
          </w:p>
        </w:tc>
        <w:tc>
          <w:tcPr>
            <w:tcW w:w="1192" w:type="dxa"/>
          </w:tcPr>
          <w:p w14:paraId="6D155B64"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Pupils</w:t>
            </w:r>
          </w:p>
        </w:tc>
        <w:tc>
          <w:tcPr>
            <w:tcW w:w="1457" w:type="dxa"/>
          </w:tcPr>
          <w:p w14:paraId="67600CF4"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b/>
                <w:color w:val="000000" w:themeColor="text1"/>
              </w:rPr>
            </w:pPr>
            <w:r w:rsidRPr="009E594C">
              <w:rPr>
                <w:rFonts w:ascii="Garamond" w:hAnsi="Garamond"/>
                <w:b/>
                <w:color w:val="000000" w:themeColor="text1"/>
              </w:rPr>
              <w:t>Teachers</w:t>
            </w:r>
          </w:p>
        </w:tc>
      </w:tr>
      <w:tr w:rsidR="00FD14B3" w:rsidRPr="009E594C" w14:paraId="6BE82F04" w14:textId="77777777" w:rsidTr="00B86F98">
        <w:tc>
          <w:tcPr>
            <w:cnfStyle w:val="001000000000" w:firstRow="0" w:lastRow="0" w:firstColumn="1" w:lastColumn="0" w:oddVBand="0" w:evenVBand="0" w:oddHBand="0" w:evenHBand="0" w:firstRowFirstColumn="0" w:firstRowLastColumn="0" w:lastRowFirstColumn="0" w:lastRowLastColumn="0"/>
            <w:tcW w:w="1098" w:type="dxa"/>
          </w:tcPr>
          <w:p w14:paraId="5A789E51" w14:textId="77777777" w:rsidR="00FD14B3" w:rsidRPr="009E594C" w:rsidRDefault="00FD14B3" w:rsidP="00A717CC">
            <w:pPr>
              <w:spacing w:before="0" w:after="0"/>
              <w:rPr>
                <w:rFonts w:ascii="Garamond" w:hAnsi="Garamond"/>
                <w:color w:val="000000" w:themeColor="text1"/>
              </w:rPr>
            </w:pPr>
            <w:r w:rsidRPr="009E594C">
              <w:rPr>
                <w:rFonts w:ascii="Garamond" w:hAnsi="Garamond"/>
                <w:color w:val="000000" w:themeColor="text1"/>
              </w:rPr>
              <w:t>CMS</w:t>
            </w:r>
          </w:p>
        </w:tc>
        <w:tc>
          <w:tcPr>
            <w:tcW w:w="1310" w:type="dxa"/>
          </w:tcPr>
          <w:p w14:paraId="605E7D0A"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5</w:t>
            </w:r>
          </w:p>
        </w:tc>
        <w:tc>
          <w:tcPr>
            <w:tcW w:w="1192" w:type="dxa"/>
          </w:tcPr>
          <w:p w14:paraId="23EFCCE4"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392</w:t>
            </w:r>
          </w:p>
        </w:tc>
        <w:tc>
          <w:tcPr>
            <w:tcW w:w="1457" w:type="dxa"/>
          </w:tcPr>
          <w:p w14:paraId="4193FBA7"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8</w:t>
            </w:r>
          </w:p>
        </w:tc>
        <w:tc>
          <w:tcPr>
            <w:tcW w:w="1310" w:type="dxa"/>
          </w:tcPr>
          <w:p w14:paraId="652A11AE"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46</w:t>
            </w:r>
          </w:p>
        </w:tc>
        <w:tc>
          <w:tcPr>
            <w:tcW w:w="1192" w:type="dxa"/>
          </w:tcPr>
          <w:p w14:paraId="19F51C27"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4066</w:t>
            </w:r>
          </w:p>
        </w:tc>
        <w:tc>
          <w:tcPr>
            <w:tcW w:w="1457" w:type="dxa"/>
          </w:tcPr>
          <w:p w14:paraId="6B45B2C5"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51</w:t>
            </w:r>
          </w:p>
        </w:tc>
      </w:tr>
      <w:tr w:rsidR="00FD14B3" w:rsidRPr="009E594C" w14:paraId="7C625A49" w14:textId="77777777" w:rsidTr="00B86F98">
        <w:tc>
          <w:tcPr>
            <w:cnfStyle w:val="001000000000" w:firstRow="0" w:lastRow="0" w:firstColumn="1" w:lastColumn="0" w:oddVBand="0" w:evenVBand="0" w:oddHBand="0" w:evenHBand="0" w:firstRowFirstColumn="0" w:firstRowLastColumn="0" w:lastRowFirstColumn="0" w:lastRowLastColumn="0"/>
            <w:tcW w:w="1098" w:type="dxa"/>
          </w:tcPr>
          <w:p w14:paraId="4560AB9B" w14:textId="77777777" w:rsidR="00FD14B3" w:rsidRPr="009E594C" w:rsidRDefault="00FD14B3" w:rsidP="00A717CC">
            <w:pPr>
              <w:spacing w:before="0" w:after="0"/>
              <w:rPr>
                <w:rFonts w:ascii="Garamond" w:hAnsi="Garamond"/>
                <w:color w:val="000000" w:themeColor="text1"/>
              </w:rPr>
            </w:pPr>
            <w:r w:rsidRPr="009E594C">
              <w:rPr>
                <w:rFonts w:ascii="Garamond" w:hAnsi="Garamond"/>
                <w:color w:val="000000" w:themeColor="text1"/>
              </w:rPr>
              <w:t>RCM</w:t>
            </w:r>
          </w:p>
        </w:tc>
        <w:tc>
          <w:tcPr>
            <w:tcW w:w="1310" w:type="dxa"/>
          </w:tcPr>
          <w:p w14:paraId="28A43C97"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11</w:t>
            </w:r>
          </w:p>
        </w:tc>
        <w:tc>
          <w:tcPr>
            <w:tcW w:w="1192" w:type="dxa"/>
          </w:tcPr>
          <w:p w14:paraId="3FB53A2F"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828</w:t>
            </w:r>
          </w:p>
        </w:tc>
        <w:tc>
          <w:tcPr>
            <w:tcW w:w="1457" w:type="dxa"/>
          </w:tcPr>
          <w:p w14:paraId="2685E1EF"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14</w:t>
            </w:r>
          </w:p>
        </w:tc>
        <w:tc>
          <w:tcPr>
            <w:tcW w:w="1310" w:type="dxa"/>
          </w:tcPr>
          <w:p w14:paraId="793964E3"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46</w:t>
            </w:r>
          </w:p>
        </w:tc>
        <w:tc>
          <w:tcPr>
            <w:tcW w:w="1192" w:type="dxa"/>
          </w:tcPr>
          <w:p w14:paraId="29E05B37"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6578</w:t>
            </w:r>
          </w:p>
        </w:tc>
        <w:tc>
          <w:tcPr>
            <w:tcW w:w="1457" w:type="dxa"/>
          </w:tcPr>
          <w:p w14:paraId="1F182579" w14:textId="77777777" w:rsidR="00FD14B3" w:rsidRPr="009E594C" w:rsidRDefault="00FD14B3" w:rsidP="00A717CC">
            <w:pPr>
              <w:spacing w:before="0" w:after="0"/>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rPr>
            </w:pPr>
            <w:r w:rsidRPr="009E594C">
              <w:rPr>
                <w:rFonts w:ascii="Garamond" w:hAnsi="Garamond"/>
                <w:color w:val="000000" w:themeColor="text1"/>
              </w:rPr>
              <w:t>124</w:t>
            </w:r>
          </w:p>
        </w:tc>
      </w:tr>
    </w:tbl>
    <w:p w14:paraId="642E9FB9" w14:textId="77777777" w:rsidR="00FD14B3" w:rsidRPr="009E594C" w:rsidRDefault="00FD14B3" w:rsidP="00A717CC">
      <w:pPr>
        <w:spacing w:before="0" w:after="0"/>
        <w:rPr>
          <w:rFonts w:ascii="Garamond" w:hAnsi="Garamond" w:cs="Times New Roman"/>
          <w:color w:val="000000" w:themeColor="text1"/>
        </w:rPr>
      </w:pPr>
    </w:p>
    <w:p w14:paraId="6BB26A20" w14:textId="77777777"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What this data reveals is the sheer determination of the Anglicans as they stepped up to the Catholic challenge. It is quite interesting to discover that in a period of 11 years, the Anglicans were able to match the Catholics in terms of establishing schools, notwithstanding the fact that the latter were ahead in terms of the population of school children and staff. Meanwhile, the above statistics raises questions concerning the negative effect of such rivalry in terms of proper staffing of the schools. One wonders how the Catholic missionaries were able to operate 11 schools with only 14 teachers in 1901, and how their counterparts, the Anglicans, also managed to run 46 schools with only 51 teachers in 1912. There is no doubt that efficiency and competence may have been terribly affected as a result of the rivalry in both camps.</w:t>
      </w:r>
    </w:p>
    <w:p w14:paraId="624FB52D" w14:textId="77777777" w:rsidR="00A717CC" w:rsidRDefault="00A717CC" w:rsidP="00A717CC">
      <w:pPr>
        <w:pStyle w:val="Heading3"/>
        <w:rPr>
          <w:lang w:val="nl-BE"/>
        </w:rPr>
      </w:pPr>
      <w:bookmarkStart w:id="4" w:name="_Toc31190664"/>
    </w:p>
    <w:p w14:paraId="6E8531C5" w14:textId="77777777" w:rsidR="00A717CC" w:rsidRDefault="00A717CC" w:rsidP="00A717CC">
      <w:pPr>
        <w:pStyle w:val="Heading3"/>
        <w:rPr>
          <w:lang w:val="nl-BE"/>
        </w:rPr>
      </w:pPr>
    </w:p>
    <w:p w14:paraId="6F0BD324" w14:textId="26E65CDC" w:rsidR="00FD14B3" w:rsidRPr="009E594C" w:rsidRDefault="00E66206" w:rsidP="00A717CC">
      <w:pPr>
        <w:pStyle w:val="Heading3"/>
      </w:pPr>
      <w:r w:rsidRPr="009E594C">
        <w:rPr>
          <w:lang w:val="nl-BE"/>
        </w:rPr>
        <w:t>In the Face of</w:t>
      </w:r>
      <w:r w:rsidRPr="009E594C">
        <w:t xml:space="preserve"> the Other: Inhibitions to</w:t>
      </w:r>
      <w:r w:rsidR="00FD14B3" w:rsidRPr="009E594C">
        <w:t xml:space="preserve"> </w:t>
      </w:r>
      <w:r w:rsidRPr="009E594C">
        <w:t xml:space="preserve">Mutual </w:t>
      </w:r>
      <w:r w:rsidR="00FD14B3" w:rsidRPr="009E594C">
        <w:t xml:space="preserve">Learning </w:t>
      </w:r>
      <w:bookmarkEnd w:id="4"/>
    </w:p>
    <w:p w14:paraId="5183C29D" w14:textId="77777777" w:rsidR="00A717CC" w:rsidRDefault="00A717CC" w:rsidP="00A717CC">
      <w:pPr>
        <w:spacing w:before="0" w:after="0"/>
        <w:rPr>
          <w:rFonts w:ascii="Garamond" w:hAnsi="Garamond" w:cs="Times New Roman"/>
          <w:color w:val="000000" w:themeColor="text1"/>
          <w:sz w:val="24"/>
          <w:szCs w:val="24"/>
        </w:rPr>
      </w:pPr>
    </w:p>
    <w:p w14:paraId="33AFFFEB" w14:textId="6477584F"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The rivalries made it very difficult for the missionaries to learn from each other. Communal boundaries were never allowed to touch or even to intermingle. Even where one group appeared to be doing better, there was hesitance to acknowledge the effectiveness of the other and to interact for the purposes of mutual learning. In attempting to explain the different trajectories of the two missionary groups, professor of History and International Studies at the University of Benin, Jacinta Chiamaka Nwaka, had argued that both groups operated according to two different missionary schools of thought, namely the ‘ecclesial/institutional’ and ‘people-oriented’ strategies.</w:t>
      </w:r>
      <w:r w:rsidRPr="009E594C">
        <w:rPr>
          <w:rStyle w:val="FootnoteReference"/>
          <w:rFonts w:ascii="Garamond" w:hAnsi="Garamond" w:cs="Times New Roman"/>
          <w:color w:val="000000" w:themeColor="text1"/>
          <w:sz w:val="24"/>
          <w:szCs w:val="24"/>
        </w:rPr>
        <w:footnoteReference w:id="27"/>
      </w:r>
      <w:r w:rsidRPr="009E594C">
        <w:rPr>
          <w:rFonts w:ascii="Garamond" w:hAnsi="Garamond" w:cs="Times New Roman"/>
          <w:color w:val="000000" w:themeColor="text1"/>
          <w:sz w:val="24"/>
          <w:szCs w:val="24"/>
        </w:rPr>
        <w:t xml:space="preserve"> The former, which was adopted by the Catholic missionaries, stresses the institutional character of the church as a channel for the salvation of souls, while the latter, operated by the Anglicans, emphasizes that “the church is built through the conversion of souls.”</w:t>
      </w:r>
      <w:r w:rsidRPr="009E594C">
        <w:rPr>
          <w:rStyle w:val="FootnoteReference"/>
          <w:rFonts w:ascii="Garamond" w:hAnsi="Garamond" w:cs="Times New Roman"/>
          <w:color w:val="000000" w:themeColor="text1"/>
          <w:sz w:val="24"/>
          <w:szCs w:val="24"/>
        </w:rPr>
        <w:footnoteReference w:id="28"/>
      </w:r>
      <w:r w:rsidRPr="009E594C">
        <w:rPr>
          <w:rFonts w:ascii="Garamond" w:hAnsi="Garamond" w:cs="Times New Roman"/>
          <w:color w:val="000000" w:themeColor="text1"/>
          <w:sz w:val="24"/>
          <w:szCs w:val="24"/>
        </w:rPr>
        <w:t xml:space="preserve"> Hence the Anglicans would rather focus on preaching the Gospel and in developing the local language of the people, while the Catholics paid more attention to the sacramental and social aspects of mission.</w:t>
      </w:r>
    </w:p>
    <w:p w14:paraId="01F9AD52"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The fact that both groups were operating along different ideologies of evangelization implied an opportunity to learn from one other. Yet, blinded by the desire to gain larger territories both parties found it difficult to humbly explore what they could have shared with one another with regard to their methods, approaches, practices and teachings. In fact, each group had their peculiar advantages; for while the Anglicans assisted a great deal in developing the local language, Igbo, the Catholics insisted on teaching in English. Unfortunately, in some other cases, both parties embarked on indoctrination processes that aimed at castigating the other, thereby closing off </w:t>
      </w:r>
      <w:r w:rsidRPr="009E594C">
        <w:rPr>
          <w:rFonts w:ascii="Garamond" w:hAnsi="Garamond" w:cs="Times New Roman"/>
          <w:color w:val="000000" w:themeColor="text1"/>
          <w:sz w:val="24"/>
          <w:szCs w:val="24"/>
        </w:rPr>
        <w:lastRenderedPageBreak/>
        <w:t>possibilities of mutual learning. Nwaka reports that adherents of both Anglicans and Catholics engaged in “casting aspersions on each other and defaming and belittling each other through derogatory songs, sermons and teachings, dramas, leaflets, and so on.”</w:t>
      </w:r>
      <w:r w:rsidRPr="009E594C">
        <w:rPr>
          <w:rStyle w:val="FootnoteReference"/>
          <w:rFonts w:ascii="Garamond" w:hAnsi="Garamond" w:cs="Times New Roman"/>
          <w:color w:val="000000" w:themeColor="text1"/>
          <w:sz w:val="24"/>
          <w:szCs w:val="24"/>
        </w:rPr>
        <w:footnoteReference w:id="29"/>
      </w:r>
      <w:r w:rsidRPr="009E594C">
        <w:rPr>
          <w:rFonts w:ascii="Garamond" w:hAnsi="Garamond" w:cs="Times New Roman"/>
          <w:color w:val="000000" w:themeColor="text1"/>
          <w:sz w:val="24"/>
          <w:szCs w:val="24"/>
        </w:rPr>
        <w:t xml:space="preserve"> Catholic children received catechetical instructions that made them feel superior to their Anglican counterparts. For instance, the Catholic </w:t>
      </w:r>
      <w:r w:rsidRPr="009E594C">
        <w:rPr>
          <w:rFonts w:ascii="Garamond" w:hAnsi="Garamond" w:cs="Times New Roman"/>
          <w:i/>
          <w:color w:val="000000" w:themeColor="text1"/>
          <w:sz w:val="24"/>
          <w:szCs w:val="24"/>
        </w:rPr>
        <w:t>fada</w:t>
      </w:r>
      <w:r w:rsidRPr="009E594C">
        <w:rPr>
          <w:rFonts w:ascii="Garamond" w:hAnsi="Garamond" w:cs="Times New Roman"/>
          <w:color w:val="000000" w:themeColor="text1"/>
          <w:sz w:val="24"/>
          <w:szCs w:val="24"/>
        </w:rPr>
        <w:t xml:space="preserve"> was to be seen as superior to the Anglican </w:t>
      </w:r>
      <w:r w:rsidRPr="009E594C">
        <w:rPr>
          <w:rFonts w:ascii="Garamond" w:hAnsi="Garamond" w:cs="Times New Roman"/>
          <w:i/>
          <w:color w:val="000000" w:themeColor="text1"/>
          <w:sz w:val="24"/>
          <w:szCs w:val="24"/>
        </w:rPr>
        <w:t>ukochukwu</w:t>
      </w:r>
      <w:r w:rsidRPr="009E594C">
        <w:rPr>
          <w:rFonts w:ascii="Garamond" w:hAnsi="Garamond" w:cs="Times New Roman"/>
          <w:color w:val="000000" w:themeColor="text1"/>
          <w:sz w:val="24"/>
          <w:szCs w:val="24"/>
        </w:rPr>
        <w:t>, and so on.</w:t>
      </w:r>
      <w:r w:rsidRPr="009E594C">
        <w:rPr>
          <w:rStyle w:val="FootnoteReference"/>
          <w:rFonts w:ascii="Garamond" w:hAnsi="Garamond" w:cs="Times New Roman"/>
          <w:color w:val="000000" w:themeColor="text1"/>
          <w:sz w:val="24"/>
          <w:szCs w:val="24"/>
        </w:rPr>
        <w:footnoteReference w:id="30"/>
      </w:r>
    </w:p>
    <w:p w14:paraId="55ED3501" w14:textId="4E49ECD3"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However, it must be noted that the school program of the Catholics did challenge the Anglicans. As already shown, Anglicans were forced by the success of the Catholics to equally embark on school program, and there is evidence to show that they secretly compared with the Catholics in a bid to measure their success level. Historical account reports that in his tour of both Anglican and Catholic schools, an Anglican Inspector of Education observes the positive trends in both schools, but also indicates where the Catholic schools, which he referred to as </w:t>
      </w:r>
      <w:r w:rsidR="00623466">
        <w:rPr>
          <w:rFonts w:ascii="Garamond" w:hAnsi="Garamond" w:cs="Times New Roman"/>
          <w:color w:val="000000" w:themeColor="text1"/>
          <w:sz w:val="24"/>
          <w:szCs w:val="24"/>
        </w:rPr>
        <w:t>‘</w:t>
      </w:r>
      <w:r w:rsidRPr="009E594C">
        <w:rPr>
          <w:rFonts w:ascii="Garamond" w:hAnsi="Garamond" w:cs="Times New Roman"/>
          <w:color w:val="000000" w:themeColor="text1"/>
          <w:sz w:val="24"/>
          <w:szCs w:val="24"/>
        </w:rPr>
        <w:t>Italian Mission Schools</w:t>
      </w:r>
      <w:r w:rsidR="00623466">
        <w:rPr>
          <w:rFonts w:ascii="Garamond" w:hAnsi="Garamond" w:cs="Times New Roman"/>
          <w:color w:val="000000" w:themeColor="text1"/>
          <w:sz w:val="24"/>
          <w:szCs w:val="24"/>
        </w:rPr>
        <w:t>’</w:t>
      </w:r>
      <w:r w:rsidRPr="009E594C">
        <w:rPr>
          <w:rFonts w:ascii="Garamond" w:hAnsi="Garamond" w:cs="Times New Roman"/>
          <w:color w:val="000000" w:themeColor="text1"/>
          <w:sz w:val="24"/>
          <w:szCs w:val="24"/>
        </w:rPr>
        <w:t>, did better</w:t>
      </w:r>
      <w:r w:rsidR="00623466">
        <w:rPr>
          <w:rFonts w:ascii="Garamond" w:hAnsi="Garamond" w:cs="Times New Roman"/>
          <w:color w:val="000000" w:themeColor="text1"/>
        </w:rPr>
        <w:t>.</w:t>
      </w:r>
      <w:r w:rsidRPr="009E594C">
        <w:rPr>
          <w:rStyle w:val="FootnoteReference"/>
          <w:rFonts w:ascii="Garamond" w:hAnsi="Garamond" w:cs="Times New Roman"/>
          <w:color w:val="000000" w:themeColor="text1"/>
        </w:rPr>
        <w:footnoteReference w:id="31"/>
      </w:r>
      <w:r w:rsidR="00623466">
        <w:rPr>
          <w:rFonts w:ascii="Garamond" w:hAnsi="Garamond" w:cs="Times New Roman"/>
          <w:color w:val="000000" w:themeColor="text1"/>
          <w:sz w:val="24"/>
          <w:szCs w:val="24"/>
        </w:rPr>
        <w:t xml:space="preserve"> </w:t>
      </w:r>
      <w:r w:rsidRPr="009E594C">
        <w:rPr>
          <w:rFonts w:ascii="Garamond" w:hAnsi="Garamond" w:cs="Times New Roman"/>
          <w:color w:val="000000" w:themeColor="text1"/>
          <w:sz w:val="24"/>
          <w:szCs w:val="24"/>
        </w:rPr>
        <w:t>There may have been other areas where both churches learnt from each other by observations rather than in active engagement in a bid to improve their missionary strategies. For example, it stands to reason that, as latecomers in the mission field, the Catholic missionaries were careful to learn from their forerunners,</w:t>
      </w:r>
      <w:r w:rsidRPr="009E594C">
        <w:rPr>
          <w:rStyle w:val="FootnoteReference"/>
          <w:rFonts w:ascii="Garamond" w:hAnsi="Garamond" w:cs="Times New Roman"/>
          <w:color w:val="000000" w:themeColor="text1"/>
          <w:sz w:val="24"/>
          <w:szCs w:val="24"/>
        </w:rPr>
        <w:footnoteReference w:id="32"/>
      </w:r>
      <w:r w:rsidRPr="009E594C">
        <w:rPr>
          <w:rFonts w:ascii="Garamond" w:hAnsi="Garamond" w:cs="Times New Roman"/>
          <w:color w:val="000000" w:themeColor="text1"/>
          <w:sz w:val="24"/>
          <w:szCs w:val="24"/>
        </w:rPr>
        <w:t xml:space="preserve"> and that implies determining the right method to apply in winning the local congregation as well as exploiting the weaknesses of the rival missionary groups. Despite playing to their competitive advantage, what is evident here is that one could infer a gradual relaxation of hitherto fortified boundaries, in which both churches, without any formal acknowledgement, showed signs of openness towards mutual learning. There was indeed a tacit, unpronounced recognition that the other was doing something worthwhile. Such openness will later be radicalized by the events of the unfortunate civil war.</w:t>
      </w:r>
    </w:p>
    <w:p w14:paraId="2FDD6AF8" w14:textId="77777777" w:rsidR="00A717CC" w:rsidRDefault="00A717CC" w:rsidP="00A717CC">
      <w:pPr>
        <w:pStyle w:val="Heading3"/>
      </w:pPr>
      <w:bookmarkStart w:id="5" w:name="_Toc31190665"/>
    </w:p>
    <w:p w14:paraId="076FBB76" w14:textId="77777777" w:rsidR="00A717CC" w:rsidRDefault="00A717CC" w:rsidP="00A717CC">
      <w:pPr>
        <w:pStyle w:val="Heading3"/>
      </w:pPr>
    </w:p>
    <w:p w14:paraId="08173B23" w14:textId="5C5D6EC7" w:rsidR="00FD14B3" w:rsidRPr="009E594C" w:rsidRDefault="0084327D" w:rsidP="00A717CC">
      <w:pPr>
        <w:pStyle w:val="Heading3"/>
      </w:pPr>
      <w:r w:rsidRPr="009E594C">
        <w:t>In the Throes of the</w:t>
      </w:r>
      <w:r w:rsidR="00FD14B3" w:rsidRPr="009E594C">
        <w:t xml:space="preserve"> Nigeria-Biafra War</w:t>
      </w:r>
      <w:r w:rsidRPr="009E594C">
        <w:t>: Assessing</w:t>
      </w:r>
      <w:r w:rsidR="00FD14B3" w:rsidRPr="009E594C">
        <w:t xml:space="preserve"> the Period of Collapsed Boundaries</w:t>
      </w:r>
      <w:bookmarkEnd w:id="5"/>
    </w:p>
    <w:p w14:paraId="7F281E59" w14:textId="77777777" w:rsidR="00A717CC" w:rsidRDefault="00A717CC" w:rsidP="00A717CC">
      <w:pPr>
        <w:spacing w:before="0" w:after="0"/>
        <w:rPr>
          <w:rFonts w:ascii="Garamond" w:hAnsi="Garamond" w:cs="Times New Roman"/>
          <w:color w:val="000000" w:themeColor="text1"/>
          <w:sz w:val="24"/>
          <w:szCs w:val="24"/>
        </w:rPr>
      </w:pPr>
    </w:p>
    <w:p w14:paraId="7E446409" w14:textId="4EE34057"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One of the most horrible postcolonial wars to happen in Africa is the Nigeria-Biafra War (1967-1970), and it left haunting images of starvation and death in the minds of all actors, victims and observers. Barely six years into her independence, Nigeria was already experiencing political turbulence that was followed by the military coup of 15 January 1966 and a countercoup on 28 July 1966. The perception of ethnic coloration in the first coup, that was led by military officers mainly of Igbo extraction, led to the second coup and was followed by a decisive pogrom against Igbo civilians residing in the North between July and October 1966.</w:t>
      </w:r>
      <w:r w:rsidRPr="009E594C">
        <w:rPr>
          <w:rStyle w:val="FootnoteReference"/>
          <w:rFonts w:ascii="Garamond" w:hAnsi="Garamond" w:cs="Times New Roman"/>
          <w:color w:val="000000" w:themeColor="text1"/>
          <w:sz w:val="24"/>
          <w:szCs w:val="24"/>
        </w:rPr>
        <w:footnoteReference w:id="33"/>
      </w:r>
      <w:r w:rsidRPr="009E594C">
        <w:rPr>
          <w:rFonts w:ascii="Garamond" w:hAnsi="Garamond" w:cs="Times New Roman"/>
          <w:color w:val="000000" w:themeColor="text1"/>
          <w:sz w:val="24"/>
          <w:szCs w:val="24"/>
        </w:rPr>
        <w:t xml:space="preserve"> These were the immediate causes of the war that saw the killing of about 3 million Igbos (especially women and children) mostly by starvation during the war.</w:t>
      </w:r>
    </w:p>
    <w:p w14:paraId="1E285144" w14:textId="0F99C2C8" w:rsidR="00FD14B3" w:rsidRPr="00623466" w:rsidRDefault="00FD14B3" w:rsidP="00A717CC">
      <w:pPr>
        <w:spacing w:before="0" w:after="0"/>
        <w:ind w:firstLine="567"/>
        <w:rPr>
          <w:rFonts w:ascii="Garamond" w:hAnsi="Garamond" w:cs="Times New Roman"/>
          <w:color w:val="000000" w:themeColor="text1"/>
        </w:rPr>
      </w:pPr>
      <w:r w:rsidRPr="009E594C">
        <w:rPr>
          <w:rFonts w:ascii="Garamond" w:hAnsi="Garamond" w:cs="Times New Roman"/>
          <w:color w:val="000000" w:themeColor="text1"/>
          <w:sz w:val="24"/>
          <w:szCs w:val="24"/>
        </w:rPr>
        <w:lastRenderedPageBreak/>
        <w:t xml:space="preserve">At the failure of peaceful negotiations and the consequent declaration of an independent Republic of Biafra on May 30 1967 by the then governor of the Eastern Region, Chukwuemeka Odumegwu Ojukwu, the churches in the former Niger area were set to respond to the foremost humanitarian crisis in the history of Nigeria. Already the 1966 massacre of Igbos in the North </w:t>
      </w:r>
      <w:r w:rsidRPr="00623466">
        <w:rPr>
          <w:rFonts w:ascii="Garamond" w:hAnsi="Garamond" w:cs="Times New Roman"/>
          <w:color w:val="000000" w:themeColor="text1"/>
          <w:sz w:val="24"/>
          <w:szCs w:val="24"/>
        </w:rPr>
        <w:t>caused a heavy influx of refugees down the South. Church historian, Vincent A. Nwosu, reports that,</w:t>
      </w:r>
      <w:r w:rsidR="00623466" w:rsidRPr="00623466">
        <w:rPr>
          <w:rFonts w:ascii="Garamond" w:hAnsi="Garamond" w:cs="Times New Roman"/>
          <w:color w:val="000000" w:themeColor="text1"/>
          <w:sz w:val="24"/>
          <w:szCs w:val="24"/>
        </w:rPr>
        <w:t xml:space="preserve"> in the heat of that initial crisis, the “</w:t>
      </w:r>
      <w:r w:rsidRPr="00623466">
        <w:rPr>
          <w:rFonts w:ascii="Garamond" w:hAnsi="Garamond" w:cs="Times New Roman"/>
          <w:color w:val="000000" w:themeColor="text1"/>
          <w:sz w:val="24"/>
          <w:szCs w:val="24"/>
        </w:rPr>
        <w:t>Catholic Church authorities had to join other Christian bodies, voluntary agencies and the Government in the first efforts to provide succor to hundreds of thousands of returnees.”</w:t>
      </w:r>
      <w:r w:rsidRPr="00623466">
        <w:rPr>
          <w:rStyle w:val="FootnoteReference"/>
          <w:rFonts w:ascii="Garamond" w:hAnsi="Garamond" w:cs="Times New Roman"/>
          <w:color w:val="000000" w:themeColor="text1"/>
          <w:sz w:val="24"/>
          <w:szCs w:val="24"/>
        </w:rPr>
        <w:footnoteReference w:id="34"/>
      </w:r>
      <w:r w:rsidRPr="009E594C">
        <w:rPr>
          <w:rFonts w:ascii="Garamond" w:hAnsi="Garamond" w:cs="Times New Roman"/>
          <w:color w:val="000000" w:themeColor="text1"/>
        </w:rPr>
        <w:t xml:space="preserve"> </w:t>
      </w:r>
      <w:r w:rsidRPr="009E594C">
        <w:rPr>
          <w:rFonts w:ascii="Garamond" w:hAnsi="Garamond" w:cs="Times New Roman"/>
          <w:color w:val="000000" w:themeColor="text1"/>
          <w:sz w:val="24"/>
          <w:szCs w:val="24"/>
        </w:rPr>
        <w:t xml:space="preserve">In fact, the critical circumstance of the impending war led to what could be described as the first all-inclusive, pre-CAN, ecumenical meeting on 7 October 1966 in the mid-West city of Benin. This meeting, which as reported by Nwosu, had representatives from the Roman Catholic, Anglican, Baptist, Methodist and Presbyterian churches, focused on how to handle the refugee crisis. These church leaders came from all parts of Nigeria, north, ‘Middle Belt’ and south. Eventually, the major outcome of the meeting was the establishment of </w:t>
      </w:r>
      <w:r w:rsidRPr="009E594C">
        <w:rPr>
          <w:rFonts w:ascii="Garamond" w:hAnsi="Garamond" w:cs="Times New Roman"/>
          <w:i/>
          <w:color w:val="000000" w:themeColor="text1"/>
          <w:sz w:val="24"/>
          <w:szCs w:val="24"/>
        </w:rPr>
        <w:t>The Christian Churches’ Refugee Fund</w:t>
      </w:r>
      <w:r w:rsidRPr="009E594C">
        <w:rPr>
          <w:rFonts w:ascii="Garamond" w:hAnsi="Garamond" w:cs="Times New Roman"/>
          <w:color w:val="000000" w:themeColor="text1"/>
          <w:sz w:val="24"/>
          <w:szCs w:val="24"/>
        </w:rPr>
        <w:t xml:space="preserve"> as a way of concretizing the joint commitment of all the churches involved.</w:t>
      </w:r>
      <w:r w:rsidRPr="009E594C">
        <w:rPr>
          <w:rStyle w:val="FootnoteReference"/>
          <w:rFonts w:ascii="Garamond" w:hAnsi="Garamond" w:cs="Times New Roman"/>
          <w:color w:val="000000" w:themeColor="text1"/>
          <w:sz w:val="24"/>
          <w:szCs w:val="24"/>
        </w:rPr>
        <w:footnoteReference w:id="35"/>
      </w:r>
      <w:r w:rsidRPr="009E594C">
        <w:rPr>
          <w:rFonts w:ascii="Garamond" w:hAnsi="Garamond" w:cs="Times New Roman"/>
          <w:color w:val="000000" w:themeColor="text1"/>
          <w:sz w:val="24"/>
          <w:szCs w:val="24"/>
        </w:rPr>
        <w:t xml:space="preserve"> Thus, the first symbolic act of social ecumenism in Nigeria happened under circumstances that were indeed life threatening.</w:t>
      </w:r>
    </w:p>
    <w:p w14:paraId="0BC256BA"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Later, this </w:t>
      </w:r>
      <w:r w:rsidRPr="009E594C">
        <w:rPr>
          <w:rFonts w:ascii="Garamond" w:hAnsi="Garamond" w:cs="Times New Roman"/>
          <w:i/>
          <w:color w:val="000000" w:themeColor="text1"/>
          <w:sz w:val="24"/>
          <w:szCs w:val="24"/>
        </w:rPr>
        <w:t>emergency ecumenism</w:t>
      </w:r>
      <w:r w:rsidRPr="009E594C">
        <w:rPr>
          <w:rFonts w:ascii="Garamond" w:hAnsi="Garamond" w:cs="Times New Roman"/>
          <w:color w:val="000000" w:themeColor="text1"/>
          <w:sz w:val="24"/>
          <w:szCs w:val="24"/>
        </w:rPr>
        <w:t xml:space="preserve"> would be heroically displayed during the war as the churches collaborated with one another and with other voluntary agencies in providing social welfare and relief materials to the victims of war. This is even as there emerged an internal rift among the Catholic bishops, with the bishops on the Biafran side establishing a secretariat in Owerri.</w:t>
      </w:r>
      <w:r w:rsidRPr="009E594C">
        <w:rPr>
          <w:rStyle w:val="FootnoteReference"/>
          <w:rFonts w:ascii="Garamond" w:hAnsi="Garamond" w:cs="Times New Roman"/>
          <w:color w:val="000000" w:themeColor="text1"/>
          <w:sz w:val="24"/>
          <w:szCs w:val="24"/>
        </w:rPr>
        <w:footnoteReference w:id="36"/>
      </w:r>
      <w:r w:rsidRPr="009E594C">
        <w:rPr>
          <w:rFonts w:ascii="Garamond" w:hAnsi="Garamond" w:cs="Times New Roman"/>
          <w:color w:val="000000" w:themeColor="text1"/>
          <w:sz w:val="24"/>
          <w:szCs w:val="24"/>
        </w:rPr>
        <w:t xml:space="preserve"> With the dangerous policy of economic blockade of the Nigerian government against the Biafrans, hunger and malnutrition became the churches’ ‘war-front’.</w:t>
      </w:r>
      <w:r w:rsidRPr="009E594C">
        <w:rPr>
          <w:rStyle w:val="FootnoteReference"/>
          <w:rFonts w:ascii="Garamond" w:hAnsi="Garamond" w:cs="Times New Roman"/>
          <w:color w:val="000000" w:themeColor="text1"/>
          <w:sz w:val="24"/>
          <w:szCs w:val="24"/>
        </w:rPr>
        <w:footnoteReference w:id="37"/>
      </w:r>
      <w:r w:rsidRPr="009E594C">
        <w:rPr>
          <w:rFonts w:ascii="Garamond" w:hAnsi="Garamond" w:cs="Times New Roman"/>
          <w:color w:val="000000" w:themeColor="text1"/>
          <w:sz w:val="24"/>
          <w:szCs w:val="24"/>
        </w:rPr>
        <w:t xml:space="preserve"> It was indeed a horrible </w:t>
      </w:r>
      <w:r w:rsidRPr="009E594C">
        <w:rPr>
          <w:rFonts w:ascii="Garamond" w:hAnsi="Garamond" w:cs="Times New Roman"/>
          <w:i/>
          <w:color w:val="000000" w:themeColor="text1"/>
          <w:sz w:val="24"/>
          <w:szCs w:val="24"/>
        </w:rPr>
        <w:t>war-front</w:t>
      </w:r>
      <w:r w:rsidRPr="009E594C">
        <w:rPr>
          <w:rFonts w:ascii="Garamond" w:hAnsi="Garamond" w:cs="Times New Roman"/>
          <w:color w:val="000000" w:themeColor="text1"/>
          <w:sz w:val="24"/>
          <w:szCs w:val="24"/>
        </w:rPr>
        <w:t xml:space="preserve"> as the churches, working together, held the reins irrespective of denominational differences. Ecclesial communal boundaries dissolved in the face of unimaginable effects of the war. It was a time of total collaboration and fraternal </w:t>
      </w:r>
      <w:r w:rsidRPr="009E594C">
        <w:rPr>
          <w:rFonts w:ascii="Garamond" w:hAnsi="Garamond" w:cs="Times New Roman"/>
          <w:i/>
          <w:color w:val="000000" w:themeColor="text1"/>
          <w:sz w:val="24"/>
          <w:szCs w:val="24"/>
        </w:rPr>
        <w:t>embrace</w:t>
      </w:r>
      <w:r w:rsidRPr="009E594C">
        <w:rPr>
          <w:rFonts w:ascii="Garamond" w:hAnsi="Garamond" w:cs="Times New Roman"/>
          <w:color w:val="000000" w:themeColor="text1"/>
          <w:sz w:val="24"/>
          <w:szCs w:val="24"/>
        </w:rPr>
        <w:t xml:space="preserve"> during which denominational affiliation paled, rivalries ceased, and even religious identities became almost inconsequential.  </w:t>
      </w:r>
    </w:p>
    <w:p w14:paraId="3985D9D0" w14:textId="77777777" w:rsidR="00FD14B3"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Internationally, the Christian response also bore no boundaries as aids poured in from </w:t>
      </w:r>
      <w:r w:rsidRPr="009E594C">
        <w:rPr>
          <w:rFonts w:ascii="Garamond" w:hAnsi="Garamond" w:cs="Times New Roman"/>
          <w:i/>
          <w:color w:val="000000" w:themeColor="text1"/>
          <w:sz w:val="24"/>
          <w:szCs w:val="24"/>
        </w:rPr>
        <w:t>Caritas Internationalis</w:t>
      </w:r>
      <w:r w:rsidRPr="009E594C">
        <w:rPr>
          <w:rFonts w:ascii="Garamond" w:hAnsi="Garamond" w:cs="Times New Roman"/>
          <w:color w:val="000000" w:themeColor="text1"/>
          <w:sz w:val="24"/>
          <w:szCs w:val="24"/>
        </w:rPr>
        <w:t>, the World Council of Churches (WCC), the International Committee of the Red Cross (ICRC), as well as from some countries of the world.</w:t>
      </w:r>
      <w:r w:rsidRPr="009E594C">
        <w:rPr>
          <w:rStyle w:val="FootnoteReference"/>
          <w:rFonts w:ascii="Garamond" w:hAnsi="Garamond" w:cs="Times New Roman"/>
          <w:color w:val="000000" w:themeColor="text1"/>
          <w:sz w:val="24"/>
          <w:szCs w:val="24"/>
        </w:rPr>
        <w:footnoteReference w:id="38"/>
      </w:r>
      <w:r w:rsidRPr="009E594C">
        <w:rPr>
          <w:rFonts w:ascii="Garamond" w:hAnsi="Garamond" w:cs="Times New Roman"/>
          <w:color w:val="000000" w:themeColor="text1"/>
          <w:sz w:val="24"/>
          <w:szCs w:val="24"/>
        </w:rPr>
        <w:t xml:space="preserve"> Apart from the WCC, another significant ecumenical response was from Joint Church Aid (JCA) that was formed by a coalition of Protestant and Catholic churches from 33 countries championed by the indefatigable Canadian </w:t>
      </w:r>
      <w:r w:rsidRPr="009E594C">
        <w:rPr>
          <w:rFonts w:ascii="Garamond" w:hAnsi="Garamond" w:cs="Times New Roman"/>
          <w:color w:val="000000" w:themeColor="text1"/>
          <w:sz w:val="24"/>
          <w:szCs w:val="24"/>
        </w:rPr>
        <w:lastRenderedPageBreak/>
        <w:t>Presbyterian leader, Ted Johnson..</w:t>
      </w:r>
      <w:r w:rsidRPr="009E594C">
        <w:rPr>
          <w:rStyle w:val="FootnoteReference"/>
          <w:rFonts w:ascii="Garamond" w:hAnsi="Garamond" w:cs="Times New Roman"/>
          <w:color w:val="000000" w:themeColor="text1"/>
          <w:sz w:val="24"/>
          <w:szCs w:val="24"/>
        </w:rPr>
        <w:footnoteReference w:id="39"/>
      </w:r>
      <w:r w:rsidRPr="009E594C">
        <w:rPr>
          <w:rFonts w:ascii="Garamond" w:hAnsi="Garamond" w:cs="Times New Roman"/>
          <w:color w:val="000000" w:themeColor="text1"/>
          <w:sz w:val="24"/>
          <w:szCs w:val="24"/>
        </w:rPr>
        <w:t xml:space="preserve"> Caritative actions and visits of church representatives from the Western world was never parochial in any way. Even beyond the Christian world, Jews and even atheists reached out to Biafra. One finds a startling example of the Jews in the creation of </w:t>
      </w:r>
      <w:r w:rsidRPr="009E594C">
        <w:rPr>
          <w:rFonts w:ascii="Garamond" w:hAnsi="Garamond" w:cs="Times New Roman"/>
          <w:i/>
          <w:color w:val="000000" w:themeColor="text1"/>
          <w:sz w:val="24"/>
          <w:szCs w:val="24"/>
        </w:rPr>
        <w:t>American Jewish Emergency Effort for Biafran Relief</w:t>
      </w:r>
      <w:r w:rsidRPr="009E594C">
        <w:rPr>
          <w:rFonts w:ascii="Garamond" w:hAnsi="Garamond" w:cs="Times New Roman"/>
          <w:color w:val="000000" w:themeColor="text1"/>
          <w:sz w:val="24"/>
          <w:szCs w:val="24"/>
        </w:rPr>
        <w:t xml:space="preserve"> in 1968 at the behest of three Holy Ghost missionaries who had appealed for inter-confessional aid operation in New York.</w:t>
      </w:r>
      <w:r w:rsidRPr="009E594C">
        <w:rPr>
          <w:rStyle w:val="FootnoteReference"/>
          <w:rFonts w:ascii="Garamond" w:hAnsi="Garamond" w:cs="Times New Roman"/>
          <w:color w:val="000000" w:themeColor="text1"/>
          <w:sz w:val="24"/>
          <w:szCs w:val="24"/>
        </w:rPr>
        <w:footnoteReference w:id="40"/>
      </w:r>
    </w:p>
    <w:p w14:paraId="5F01DBE6" w14:textId="5C1351A6" w:rsidR="00FD14B3"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Clearly, the war brought Anglicans and Catholics together, not for dialogue on unity, but for collaboration in the work of charity. Both parties responded to the Gospel of mercy when it mattered most and were ready to put aside whatever rivalry that had existed between them. Just as the experiences of the Second World War, the period of the Nigerian-Biafran war created an opportunity for what Pope Francis refers to as an ‘ecumenism of blood’.</w:t>
      </w:r>
      <w:r w:rsidRPr="009E594C">
        <w:rPr>
          <w:rStyle w:val="FootnoteReference"/>
          <w:rFonts w:ascii="Garamond" w:hAnsi="Garamond" w:cs="Times New Roman"/>
          <w:color w:val="000000" w:themeColor="text1"/>
          <w:sz w:val="24"/>
          <w:szCs w:val="24"/>
        </w:rPr>
        <w:footnoteReference w:id="41"/>
      </w:r>
      <w:r w:rsidRPr="009E594C">
        <w:rPr>
          <w:rFonts w:ascii="Garamond" w:hAnsi="Garamond" w:cs="Times New Roman"/>
          <w:color w:val="000000" w:themeColor="text1"/>
          <w:sz w:val="24"/>
          <w:szCs w:val="24"/>
        </w:rPr>
        <w:t xml:space="preserve"> Indeed, the opportunity created by the war was to become an impetus for deeper dialogue among the churches in the future. </w:t>
      </w:r>
    </w:p>
    <w:p w14:paraId="6C302245" w14:textId="77777777" w:rsidR="00A717CC" w:rsidRPr="009E594C" w:rsidRDefault="00A717CC" w:rsidP="00A717CC">
      <w:pPr>
        <w:spacing w:before="0" w:after="0"/>
        <w:ind w:firstLine="567"/>
        <w:rPr>
          <w:rFonts w:ascii="Garamond" w:hAnsi="Garamond" w:cs="Times New Roman"/>
          <w:color w:val="000000" w:themeColor="text1"/>
          <w:sz w:val="24"/>
          <w:szCs w:val="24"/>
        </w:rPr>
      </w:pPr>
    </w:p>
    <w:p w14:paraId="4243B71B" w14:textId="77777777" w:rsidR="00A717CC" w:rsidRPr="00A717CC" w:rsidRDefault="00A717CC" w:rsidP="00A717CC">
      <w:pPr>
        <w:pStyle w:val="Heading3"/>
        <w:rPr>
          <w:i w:val="0"/>
        </w:rPr>
      </w:pPr>
      <w:bookmarkStart w:id="6" w:name="_Toc31190666"/>
    </w:p>
    <w:p w14:paraId="655DF080" w14:textId="3AD46A04" w:rsidR="00FD14B3" w:rsidRDefault="0084327D" w:rsidP="00A717CC">
      <w:pPr>
        <w:pStyle w:val="Heading3"/>
      </w:pPr>
      <w:r w:rsidRPr="009E594C">
        <w:t xml:space="preserve">In View of Ecclesial Maturity: Possibilities of </w:t>
      </w:r>
      <w:r w:rsidR="00FD14B3" w:rsidRPr="009E594C">
        <w:t>Dialogical Engagement</w:t>
      </w:r>
      <w:bookmarkEnd w:id="6"/>
    </w:p>
    <w:p w14:paraId="74E9F830" w14:textId="77777777" w:rsidR="00A717CC" w:rsidRDefault="00A717CC" w:rsidP="00A717CC">
      <w:pPr>
        <w:spacing w:before="0" w:after="0"/>
        <w:rPr>
          <w:lang w:val="en-US"/>
        </w:rPr>
      </w:pPr>
    </w:p>
    <w:p w14:paraId="5FE0588E" w14:textId="042AB18C" w:rsidR="00FD14B3" w:rsidRPr="009E594C" w:rsidRDefault="00FD14B3"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The war taught the churches an invaluable lesson in fraternity and solidarity. During the war, the antagonism between Anglicans and Roman Catholics, whether externally and internally instigated, disappeared. Schools which were centers for the display of rivalry were all affected as they served as refugee camps and dispensaries for bomb victims, and so on. In fact, in the aftermath of the war, following Biafra’s surrender, the Nigerian government took control of all mission schools.</w:t>
      </w:r>
      <w:r w:rsidRPr="009E594C">
        <w:rPr>
          <w:rStyle w:val="FootnoteReference"/>
          <w:rFonts w:ascii="Garamond" w:hAnsi="Garamond" w:cs="Times New Roman"/>
          <w:color w:val="000000" w:themeColor="text1"/>
          <w:sz w:val="24"/>
          <w:szCs w:val="24"/>
        </w:rPr>
        <w:footnoteReference w:id="42"/>
      </w:r>
      <w:r w:rsidRPr="009E594C">
        <w:rPr>
          <w:rFonts w:ascii="Garamond" w:hAnsi="Garamond" w:cs="Times New Roman"/>
          <w:color w:val="000000" w:themeColor="text1"/>
          <w:sz w:val="24"/>
          <w:szCs w:val="24"/>
        </w:rPr>
        <w:t xml:space="preserve"> All foreign missionaries in the Biafran region, priests, religious sisters and lay persons were accused of illegal entry as an excuse to expel them from the country.</w:t>
      </w:r>
      <w:r w:rsidRPr="009E594C">
        <w:rPr>
          <w:rStyle w:val="FootnoteReference"/>
          <w:rFonts w:ascii="Garamond" w:hAnsi="Garamond" w:cs="Times New Roman"/>
          <w:color w:val="000000" w:themeColor="text1"/>
          <w:sz w:val="24"/>
          <w:szCs w:val="24"/>
        </w:rPr>
        <w:footnoteReference w:id="43"/>
      </w:r>
      <w:r w:rsidRPr="009E594C">
        <w:rPr>
          <w:rFonts w:ascii="Garamond" w:hAnsi="Garamond" w:cs="Times New Roman"/>
          <w:color w:val="000000" w:themeColor="text1"/>
          <w:sz w:val="24"/>
          <w:szCs w:val="24"/>
        </w:rPr>
        <w:t xml:space="preserve"> The heroic actions of the missionaries during the war irked the Nigerian government since the aids, to a considerable extent, cushioned the effect of the imposed food and economic blockade. As a result of the government’s action, both indigenous Anglicans and Roman Catholics had to pick up what was left of their missions. It was indeed a case of a broken church ministering to a broken people.</w:t>
      </w:r>
    </w:p>
    <w:p w14:paraId="4DAE3B96" w14:textId="5614B153" w:rsidR="0084327D" w:rsidRPr="009E594C" w:rsidRDefault="00FD14B3" w:rsidP="00A717CC">
      <w:pPr>
        <w:spacing w:before="0" w:after="0"/>
        <w:ind w:firstLine="567"/>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 xml:space="preserve">Broken in many ways, the churches had to redefine their communal identities in post-war Nigeria. Today, there are still aspects of the old enmity among the people, yet the post-civil war was the dawn of a gradual process of reaching out to one another. Some dioceses on both sides were ready to invite delegates to their respective diocesan synods, colloquia, symposia, seminars and conferences. There was equally collaboration in preparing the curriculum of the </w:t>
      </w:r>
      <w:r w:rsidRPr="009E594C">
        <w:rPr>
          <w:rFonts w:ascii="Garamond" w:hAnsi="Garamond" w:cs="Times New Roman"/>
          <w:i/>
          <w:color w:val="000000" w:themeColor="text1"/>
          <w:sz w:val="24"/>
          <w:szCs w:val="24"/>
        </w:rPr>
        <w:t>Christian Religious Studies</w:t>
      </w:r>
      <w:r w:rsidRPr="009E594C">
        <w:rPr>
          <w:rFonts w:ascii="Garamond" w:hAnsi="Garamond" w:cs="Times New Roman"/>
          <w:color w:val="000000" w:themeColor="text1"/>
          <w:sz w:val="24"/>
          <w:szCs w:val="24"/>
        </w:rPr>
        <w:t xml:space="preserve"> after the Government’s take-over of mission schools. In fact, in the period leading </w:t>
      </w:r>
      <w:r w:rsidRPr="009E594C">
        <w:rPr>
          <w:rFonts w:ascii="Garamond" w:hAnsi="Garamond" w:cs="Times New Roman"/>
          <w:color w:val="000000" w:themeColor="text1"/>
          <w:sz w:val="24"/>
          <w:szCs w:val="24"/>
        </w:rPr>
        <w:lastRenderedPageBreak/>
        <w:t>to the formal dialogue of today, the channels of communication, dialogue and friendship gradually began to open especially at the local levels.</w:t>
      </w:r>
      <w:r w:rsidRPr="009E594C">
        <w:rPr>
          <w:rStyle w:val="FootnoteReference"/>
          <w:rFonts w:ascii="Garamond" w:hAnsi="Garamond" w:cs="Times New Roman"/>
          <w:color w:val="000000" w:themeColor="text1"/>
          <w:sz w:val="24"/>
          <w:szCs w:val="24"/>
        </w:rPr>
        <w:footnoteReference w:id="44"/>
      </w:r>
      <w:r w:rsidRPr="009E594C">
        <w:rPr>
          <w:rFonts w:ascii="Garamond" w:hAnsi="Garamond" w:cs="Times New Roman"/>
          <w:color w:val="000000" w:themeColor="text1"/>
          <w:sz w:val="24"/>
          <w:szCs w:val="24"/>
        </w:rPr>
        <w:t xml:space="preserve"> At the national level a more robust collaboration was already taking place, as explained above, with the formation of CAN in 1976; the establishment of the </w:t>
      </w:r>
      <w:r w:rsidRPr="009E594C">
        <w:rPr>
          <w:rFonts w:ascii="Garamond" w:hAnsi="Garamond" w:cs="Times New Roman"/>
          <w:i/>
          <w:color w:val="000000" w:themeColor="text1"/>
          <w:sz w:val="24"/>
          <w:szCs w:val="24"/>
        </w:rPr>
        <w:t>Institute of Ecumenical Education</w:t>
      </w:r>
      <w:r w:rsidRPr="009E594C">
        <w:rPr>
          <w:rFonts w:ascii="Garamond" w:hAnsi="Garamond" w:cs="Times New Roman"/>
          <w:color w:val="000000" w:themeColor="text1"/>
          <w:sz w:val="24"/>
          <w:szCs w:val="24"/>
        </w:rPr>
        <w:t>, Thinker’s Corner on 29 June 1980 at Enugu to enhance research on ecumenism and mission; the organization of an ecumenical translation of the Bible by the Bible Society of Nigeria (BSN), and so on.</w:t>
      </w:r>
      <w:r w:rsidRPr="009E594C">
        <w:rPr>
          <w:rStyle w:val="FootnoteReference"/>
          <w:rFonts w:ascii="Garamond" w:hAnsi="Garamond" w:cs="Times New Roman"/>
          <w:color w:val="000000" w:themeColor="text1"/>
          <w:sz w:val="24"/>
          <w:szCs w:val="24"/>
        </w:rPr>
        <w:footnoteReference w:id="45"/>
      </w:r>
      <w:r w:rsidRPr="009E594C">
        <w:rPr>
          <w:rFonts w:ascii="Garamond" w:hAnsi="Garamond" w:cs="Times New Roman"/>
          <w:color w:val="000000" w:themeColor="text1"/>
          <w:sz w:val="24"/>
          <w:szCs w:val="24"/>
        </w:rPr>
        <w:t xml:space="preserve"> For the Anglicans and Roman Catholics, the stage of ecclesial maturity is set as both ecclesial communities transcended the political inclinations of CAN in order to inaugurate the first ever bilateral ecumenical dialogue in Nigeria, under the NARCC. However, in the period leading to the inauguration of NARCC, from 1980 to 2002, the relationship between Anglicans and Roman Catholics had no major highlights except minor collaborations as well as rivalries at the parish and diocesan levels.</w:t>
      </w:r>
      <w:r w:rsidRPr="009E594C">
        <w:rPr>
          <w:rStyle w:val="FootnoteReference"/>
          <w:rFonts w:ascii="Garamond" w:hAnsi="Garamond" w:cs="Times New Roman"/>
          <w:color w:val="000000" w:themeColor="text1"/>
          <w:sz w:val="24"/>
          <w:szCs w:val="24"/>
        </w:rPr>
        <w:footnoteReference w:id="46"/>
      </w:r>
      <w:r w:rsidRPr="009E594C">
        <w:rPr>
          <w:rFonts w:ascii="Garamond" w:hAnsi="Garamond" w:cs="Times New Roman"/>
          <w:color w:val="000000" w:themeColor="text1"/>
          <w:sz w:val="24"/>
          <w:szCs w:val="24"/>
        </w:rPr>
        <w:t xml:space="preserve"> However, leaders on both sides engaged in joint actions under CAN against the various military governments in Nigeria from 1980 till 1999, and have since remained prophetic voices in the Nigerian public sphere. </w:t>
      </w:r>
    </w:p>
    <w:p w14:paraId="5988E823" w14:textId="77777777" w:rsidR="0084327D" w:rsidRPr="009E594C" w:rsidRDefault="0084327D" w:rsidP="00A717CC">
      <w:pPr>
        <w:spacing w:before="0" w:after="0"/>
        <w:ind w:firstLine="567"/>
        <w:rPr>
          <w:rFonts w:ascii="Garamond" w:hAnsi="Garamond" w:cs="Times New Roman"/>
          <w:color w:val="000000" w:themeColor="text1"/>
          <w:sz w:val="24"/>
          <w:szCs w:val="24"/>
        </w:rPr>
      </w:pPr>
    </w:p>
    <w:p w14:paraId="09C7E0FB" w14:textId="77777777" w:rsidR="00A717CC" w:rsidRDefault="00A717CC" w:rsidP="00A717CC">
      <w:pPr>
        <w:spacing w:before="0" w:after="0"/>
        <w:rPr>
          <w:rFonts w:ascii="Garamond" w:hAnsi="Garamond" w:cs="Times New Roman"/>
          <w:color w:val="000000" w:themeColor="text1"/>
          <w:sz w:val="24"/>
          <w:szCs w:val="24"/>
        </w:rPr>
      </w:pPr>
    </w:p>
    <w:p w14:paraId="18D43035" w14:textId="77C2DDE7" w:rsidR="0084327D" w:rsidRPr="009E594C" w:rsidRDefault="00525D86"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CONCLUSION</w:t>
      </w:r>
    </w:p>
    <w:p w14:paraId="77892551" w14:textId="77777777" w:rsidR="0084327D" w:rsidRPr="009E594C" w:rsidRDefault="0084327D" w:rsidP="00A717CC">
      <w:pPr>
        <w:spacing w:before="0" w:after="0"/>
        <w:rPr>
          <w:rFonts w:ascii="Garamond" w:hAnsi="Garamond" w:cs="Times New Roman"/>
          <w:color w:val="000000" w:themeColor="text1"/>
          <w:sz w:val="24"/>
          <w:szCs w:val="24"/>
        </w:rPr>
      </w:pPr>
    </w:p>
    <w:p w14:paraId="3CB23BAB" w14:textId="3FBEC20F" w:rsidR="00FD14B3" w:rsidRPr="009E594C" w:rsidRDefault="0084327D" w:rsidP="00A717CC">
      <w:pPr>
        <w:spacing w:before="0" w:after="0"/>
        <w:rPr>
          <w:rFonts w:ascii="Garamond" w:hAnsi="Garamond" w:cs="Times New Roman"/>
          <w:color w:val="000000" w:themeColor="text1"/>
          <w:sz w:val="24"/>
          <w:szCs w:val="24"/>
        </w:rPr>
      </w:pPr>
      <w:r w:rsidRPr="009E594C">
        <w:rPr>
          <w:rFonts w:ascii="Garamond" w:hAnsi="Garamond" w:cs="Times New Roman"/>
          <w:color w:val="000000" w:themeColor="text1"/>
          <w:sz w:val="24"/>
          <w:szCs w:val="24"/>
        </w:rPr>
        <w:t>In the light of the above, the goal set out for the</w:t>
      </w:r>
      <w:r w:rsidR="00FD14B3" w:rsidRPr="009E594C">
        <w:rPr>
          <w:rFonts w:ascii="Garamond" w:hAnsi="Garamond" w:cs="Times New Roman"/>
          <w:color w:val="000000" w:themeColor="text1"/>
          <w:sz w:val="24"/>
          <w:szCs w:val="24"/>
        </w:rPr>
        <w:t xml:space="preserve"> NARCC </w:t>
      </w:r>
      <w:r w:rsidR="006E2ED2" w:rsidRPr="009E594C">
        <w:rPr>
          <w:rFonts w:ascii="Garamond" w:hAnsi="Garamond" w:cs="Times New Roman"/>
          <w:color w:val="000000" w:themeColor="text1"/>
          <w:sz w:val="24"/>
          <w:szCs w:val="24"/>
        </w:rPr>
        <w:t xml:space="preserve">(whose history is not the focus here) </w:t>
      </w:r>
      <w:r w:rsidRPr="009E594C">
        <w:rPr>
          <w:rFonts w:ascii="Garamond" w:hAnsi="Garamond" w:cs="Times New Roman"/>
          <w:color w:val="000000" w:themeColor="text1"/>
          <w:sz w:val="24"/>
          <w:szCs w:val="24"/>
        </w:rPr>
        <w:t>places it</w:t>
      </w:r>
      <w:r w:rsidR="00FD14B3" w:rsidRPr="009E594C">
        <w:rPr>
          <w:rFonts w:ascii="Garamond" w:hAnsi="Garamond" w:cs="Times New Roman"/>
          <w:color w:val="000000" w:themeColor="text1"/>
          <w:sz w:val="24"/>
          <w:szCs w:val="24"/>
        </w:rPr>
        <w:t xml:space="preserve"> at a critical point in the transformation process of the communal identities of both churches, this time no longer impelled by historical events but by a growing consciousness of </w:t>
      </w:r>
      <w:r w:rsidRPr="009E594C">
        <w:rPr>
          <w:rFonts w:ascii="Garamond" w:hAnsi="Garamond" w:cs="Times New Roman"/>
          <w:color w:val="000000" w:themeColor="text1"/>
          <w:sz w:val="24"/>
          <w:szCs w:val="24"/>
        </w:rPr>
        <w:t>how the self-understanding of each ecclesial community is intertwined with the identity of the other, an objective that can be achieved</w:t>
      </w:r>
      <w:r w:rsidR="00FD14B3" w:rsidRPr="009E594C">
        <w:rPr>
          <w:rFonts w:ascii="Garamond" w:hAnsi="Garamond" w:cs="Times New Roman"/>
          <w:color w:val="000000" w:themeColor="text1"/>
          <w:sz w:val="24"/>
          <w:szCs w:val="24"/>
        </w:rPr>
        <w:t xml:space="preserve"> through respectful dialogical engagement with one another.</w:t>
      </w:r>
      <w:r w:rsidRPr="009E594C">
        <w:rPr>
          <w:rFonts w:ascii="Garamond" w:hAnsi="Garamond" w:cs="Times New Roman"/>
          <w:color w:val="000000" w:themeColor="text1"/>
          <w:sz w:val="24"/>
          <w:szCs w:val="24"/>
        </w:rPr>
        <w:t xml:space="preserve"> Quite important is the fact that this ecumenical goal is not restricted to the relationship between Anglicans and Roman Catholics in Nigeria. Christian </w:t>
      </w:r>
      <w:r w:rsidR="006E2ED2" w:rsidRPr="009E594C">
        <w:rPr>
          <w:rFonts w:ascii="Garamond" w:hAnsi="Garamond" w:cs="Times New Roman"/>
          <w:color w:val="000000" w:themeColor="text1"/>
          <w:sz w:val="24"/>
          <w:szCs w:val="24"/>
        </w:rPr>
        <w:t>representation is beyond these two. It is therefore time to reach out in bilateral and multilateral dialogue with other ecclesial communities, as a concrete way of minimizing the unnecesary and sometimes acerbic rivalry among different churches and to pursue the God-willed goal of Christian unity.</w:t>
      </w:r>
      <w:r w:rsidRPr="009E594C">
        <w:rPr>
          <w:rFonts w:ascii="Garamond" w:hAnsi="Garamond" w:cs="Times New Roman"/>
          <w:color w:val="000000" w:themeColor="text1"/>
          <w:sz w:val="24"/>
          <w:szCs w:val="24"/>
        </w:rPr>
        <w:t xml:space="preserve"> </w:t>
      </w:r>
      <w:r w:rsidR="006E2ED2" w:rsidRPr="009E594C">
        <w:rPr>
          <w:rFonts w:ascii="Garamond" w:hAnsi="Garamond" w:cs="Times New Roman"/>
          <w:color w:val="000000" w:themeColor="text1"/>
          <w:sz w:val="24"/>
          <w:szCs w:val="24"/>
        </w:rPr>
        <w:t xml:space="preserve">Bishop Akpan’s 70th birthday is yet another moment to recommit his episcopal ministry to the task of ecumenical engagement in order to </w:t>
      </w:r>
      <w:r w:rsidR="00004AD8" w:rsidRPr="009E594C">
        <w:rPr>
          <w:rFonts w:ascii="Garamond" w:hAnsi="Garamond" w:cs="Times New Roman"/>
          <w:color w:val="000000" w:themeColor="text1"/>
          <w:sz w:val="24"/>
          <w:szCs w:val="24"/>
        </w:rPr>
        <w:t xml:space="preserve">contribute to the </w:t>
      </w:r>
      <w:r w:rsidR="006E2ED2" w:rsidRPr="009E594C">
        <w:rPr>
          <w:rFonts w:ascii="Garamond" w:hAnsi="Garamond" w:cs="Times New Roman"/>
          <w:color w:val="000000" w:themeColor="text1"/>
          <w:sz w:val="24"/>
          <w:szCs w:val="24"/>
        </w:rPr>
        <w:t>repair</w:t>
      </w:r>
      <w:r w:rsidR="00004AD8" w:rsidRPr="009E594C">
        <w:rPr>
          <w:rFonts w:ascii="Garamond" w:hAnsi="Garamond" w:cs="Times New Roman"/>
          <w:color w:val="000000" w:themeColor="text1"/>
          <w:sz w:val="24"/>
          <w:szCs w:val="24"/>
        </w:rPr>
        <w:t>ment of</w:t>
      </w:r>
      <w:r w:rsidR="006E2ED2" w:rsidRPr="009E594C">
        <w:rPr>
          <w:rFonts w:ascii="Garamond" w:hAnsi="Garamond" w:cs="Times New Roman"/>
          <w:color w:val="000000" w:themeColor="text1"/>
          <w:sz w:val="24"/>
          <w:szCs w:val="24"/>
        </w:rPr>
        <w:t xml:space="preserve"> the scandal which Christian divisions and disunity </w:t>
      </w:r>
      <w:r w:rsidR="00004AD8" w:rsidRPr="009E594C">
        <w:rPr>
          <w:rFonts w:ascii="Garamond" w:hAnsi="Garamond" w:cs="Times New Roman"/>
          <w:color w:val="000000" w:themeColor="text1"/>
          <w:sz w:val="24"/>
          <w:szCs w:val="24"/>
        </w:rPr>
        <w:t xml:space="preserve">have </w:t>
      </w:r>
      <w:r w:rsidR="006E2ED2" w:rsidRPr="009E594C">
        <w:rPr>
          <w:rFonts w:ascii="Garamond" w:hAnsi="Garamond" w:cs="Times New Roman"/>
          <w:color w:val="000000" w:themeColor="text1"/>
          <w:sz w:val="24"/>
          <w:szCs w:val="24"/>
        </w:rPr>
        <w:t>cause</w:t>
      </w:r>
      <w:r w:rsidR="00004AD8" w:rsidRPr="009E594C">
        <w:rPr>
          <w:rFonts w:ascii="Garamond" w:hAnsi="Garamond" w:cs="Times New Roman"/>
          <w:color w:val="000000" w:themeColor="text1"/>
          <w:sz w:val="24"/>
          <w:szCs w:val="24"/>
        </w:rPr>
        <w:t>d</w:t>
      </w:r>
      <w:r w:rsidR="006E2ED2" w:rsidRPr="009E594C">
        <w:rPr>
          <w:rFonts w:ascii="Garamond" w:hAnsi="Garamond" w:cs="Times New Roman"/>
          <w:color w:val="000000" w:themeColor="text1"/>
          <w:sz w:val="24"/>
          <w:szCs w:val="24"/>
        </w:rPr>
        <w:t xml:space="preserve"> the Body of Christ</w:t>
      </w:r>
      <w:r w:rsidR="00004AD8" w:rsidRPr="009E594C">
        <w:rPr>
          <w:rFonts w:ascii="Garamond" w:hAnsi="Garamond" w:cs="Times New Roman"/>
          <w:color w:val="000000" w:themeColor="text1"/>
          <w:sz w:val="24"/>
          <w:szCs w:val="24"/>
        </w:rPr>
        <w:t>, particularly in Nigeria</w:t>
      </w:r>
      <w:r w:rsidR="006E2ED2" w:rsidRPr="009E594C">
        <w:rPr>
          <w:rFonts w:ascii="Garamond" w:hAnsi="Garamond" w:cs="Times New Roman"/>
          <w:color w:val="000000" w:themeColor="text1"/>
          <w:sz w:val="24"/>
          <w:szCs w:val="24"/>
        </w:rPr>
        <w:t>.</w:t>
      </w:r>
    </w:p>
    <w:p w14:paraId="57344229" w14:textId="538ED1AD" w:rsidR="005A08E5" w:rsidRDefault="00504E3F" w:rsidP="00A717CC">
      <w:pPr>
        <w:spacing w:before="0" w:after="0"/>
        <w:rPr>
          <w:rFonts w:ascii="Garamond" w:hAnsi="Garamond"/>
        </w:rPr>
      </w:pPr>
    </w:p>
    <w:p w14:paraId="290EB0EB" w14:textId="33A5DD65" w:rsidR="004A61A1" w:rsidRDefault="004A61A1" w:rsidP="00A717CC">
      <w:pPr>
        <w:spacing w:before="0" w:after="0"/>
        <w:rPr>
          <w:rFonts w:ascii="Garamond" w:hAnsi="Garamond"/>
        </w:rPr>
      </w:pPr>
    </w:p>
    <w:p w14:paraId="7FE0A688" w14:textId="334A4324" w:rsidR="004A61A1" w:rsidRPr="004A61A1" w:rsidRDefault="004A61A1" w:rsidP="00A717CC">
      <w:pPr>
        <w:spacing w:before="0" w:after="0" w:line="240" w:lineRule="auto"/>
        <w:rPr>
          <w:rFonts w:ascii="Garamond" w:hAnsi="Garamond"/>
          <w:i/>
          <w:color w:val="000000" w:themeColor="text1"/>
          <w:sz w:val="24"/>
          <w:szCs w:val="24"/>
          <w:lang w:val="en-GB"/>
        </w:rPr>
      </w:pPr>
      <w:r w:rsidRPr="004A61A1">
        <w:rPr>
          <w:rFonts w:ascii="Garamond" w:hAnsi="Garamond"/>
          <w:i/>
          <w:color w:val="000000" w:themeColor="text1"/>
          <w:sz w:val="24"/>
          <w:szCs w:val="24"/>
          <w:lang w:val="en-GB"/>
        </w:rPr>
        <w:t xml:space="preserve">Ikenna Paschal Okpaleke is a </w:t>
      </w:r>
      <w:r w:rsidR="00A717CC">
        <w:rPr>
          <w:rFonts w:ascii="Garamond" w:hAnsi="Garamond"/>
          <w:i/>
          <w:color w:val="000000" w:themeColor="text1"/>
          <w:sz w:val="24"/>
          <w:szCs w:val="24"/>
          <w:lang w:val="en-GB"/>
        </w:rPr>
        <w:t xml:space="preserve">priest of the Catholic Diocese of Aba. He is currently a </w:t>
      </w:r>
      <w:r w:rsidRPr="004A61A1">
        <w:rPr>
          <w:rFonts w:ascii="Garamond" w:hAnsi="Garamond"/>
          <w:i/>
          <w:color w:val="000000" w:themeColor="text1"/>
          <w:sz w:val="24"/>
          <w:szCs w:val="24"/>
          <w:lang w:val="en-GB"/>
        </w:rPr>
        <w:t>postdoctoral researcher at the Catholic Theology Faculty, University of Trier</w:t>
      </w:r>
      <w:r w:rsidR="00A717CC">
        <w:rPr>
          <w:rFonts w:ascii="Garamond" w:hAnsi="Garamond"/>
          <w:i/>
          <w:color w:val="000000" w:themeColor="text1"/>
          <w:sz w:val="24"/>
          <w:szCs w:val="24"/>
          <w:lang w:val="en-GB"/>
        </w:rPr>
        <w:t xml:space="preserve"> and a Visiting Researcher at the Institute of Hermeneutics, Protestant Theology Faculty, University of Bonn, Germany.</w:t>
      </w:r>
      <w:r w:rsidRPr="004A61A1">
        <w:rPr>
          <w:rFonts w:ascii="Garamond" w:hAnsi="Garamond"/>
          <w:i/>
          <w:color w:val="000000" w:themeColor="text1"/>
          <w:sz w:val="24"/>
          <w:szCs w:val="24"/>
          <w:lang w:val="en-GB"/>
        </w:rPr>
        <w:tab/>
      </w:r>
    </w:p>
    <w:p w14:paraId="609ABB94" w14:textId="77777777" w:rsidR="00D23562" w:rsidRDefault="00D23562" w:rsidP="00A717CC">
      <w:pPr>
        <w:spacing w:before="0" w:after="0" w:line="240" w:lineRule="auto"/>
        <w:rPr>
          <w:rFonts w:ascii="Garamond" w:hAnsi="Garamond"/>
          <w:i/>
          <w:color w:val="000000" w:themeColor="text1"/>
          <w:sz w:val="24"/>
          <w:szCs w:val="24"/>
          <w:lang w:val="en-US"/>
        </w:rPr>
      </w:pPr>
    </w:p>
    <w:p w14:paraId="61E6F6C8" w14:textId="28264E68" w:rsidR="004A61A1" w:rsidRPr="004A61A1" w:rsidRDefault="00A717CC" w:rsidP="00A717CC">
      <w:pPr>
        <w:spacing w:before="0" w:after="0" w:line="240" w:lineRule="auto"/>
        <w:rPr>
          <w:rFonts w:ascii="Garamond" w:hAnsi="Garamond"/>
          <w:i/>
          <w:color w:val="000000" w:themeColor="text1"/>
          <w:sz w:val="24"/>
          <w:szCs w:val="24"/>
          <w:lang w:val="en-GB"/>
        </w:rPr>
      </w:pPr>
      <w:bookmarkStart w:id="7" w:name="_GoBack"/>
      <w:bookmarkEnd w:id="7"/>
      <w:r w:rsidRPr="00A717CC">
        <w:rPr>
          <w:rFonts w:ascii="Garamond" w:hAnsi="Garamond"/>
          <w:i/>
          <w:color w:val="000000" w:themeColor="text1"/>
          <w:sz w:val="24"/>
          <w:szCs w:val="24"/>
          <w:lang w:val="en-US"/>
        </w:rPr>
        <w:t xml:space="preserve">Email: </w:t>
      </w:r>
      <w:r w:rsidR="004A61A1" w:rsidRPr="004A61A1">
        <w:rPr>
          <w:rFonts w:ascii="Garamond" w:hAnsi="Garamond"/>
          <w:i/>
          <w:color w:val="000000" w:themeColor="text1"/>
          <w:sz w:val="24"/>
          <w:szCs w:val="24"/>
          <w:lang w:val="en-GB"/>
        </w:rPr>
        <w:t>okpaleke@uni-trier.de</w:t>
      </w:r>
    </w:p>
    <w:p w14:paraId="7D2B441A" w14:textId="77777777" w:rsidR="004A61A1" w:rsidRPr="009E594C" w:rsidRDefault="004A61A1" w:rsidP="00A717CC">
      <w:pPr>
        <w:spacing w:before="0" w:after="0"/>
        <w:rPr>
          <w:rFonts w:ascii="Garamond" w:hAnsi="Garamond"/>
        </w:rPr>
      </w:pPr>
    </w:p>
    <w:sectPr w:rsidR="004A61A1" w:rsidRPr="009E594C" w:rsidSect="009E594C">
      <w:footerReference w:type="even" r:id="rId7"/>
      <w:footerReference w:type="default" r:id="rId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E2FD1" w14:textId="77777777" w:rsidR="00504E3F" w:rsidRDefault="00504E3F" w:rsidP="00FD14B3">
      <w:pPr>
        <w:spacing w:before="0" w:after="0" w:line="240" w:lineRule="auto"/>
      </w:pPr>
      <w:r>
        <w:separator/>
      </w:r>
    </w:p>
  </w:endnote>
  <w:endnote w:type="continuationSeparator" w:id="0">
    <w:p w14:paraId="64C2E9C2" w14:textId="77777777" w:rsidR="00504E3F" w:rsidRDefault="00504E3F" w:rsidP="00FD14B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96413434"/>
      <w:docPartObj>
        <w:docPartGallery w:val="Page Numbers (Bottom of Page)"/>
        <w:docPartUnique/>
      </w:docPartObj>
    </w:sdtPr>
    <w:sdtEndPr>
      <w:rPr>
        <w:rStyle w:val="PageNumber"/>
      </w:rPr>
    </w:sdtEndPr>
    <w:sdtContent>
      <w:p w14:paraId="5F6673A7" w14:textId="6FE147BB" w:rsidR="00525D86" w:rsidRDefault="00525D86" w:rsidP="001D71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AEFE82" w14:textId="77777777" w:rsidR="00525D86" w:rsidRDefault="00525D86" w:rsidP="009E59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8559523"/>
      <w:docPartObj>
        <w:docPartGallery w:val="Page Numbers (Bottom of Page)"/>
        <w:docPartUnique/>
      </w:docPartObj>
    </w:sdtPr>
    <w:sdtEndPr>
      <w:rPr>
        <w:rStyle w:val="PageNumber"/>
      </w:rPr>
    </w:sdtEndPr>
    <w:sdtContent>
      <w:p w14:paraId="13233CDA" w14:textId="74B1AA7B" w:rsidR="00525D86" w:rsidRDefault="00525D86" w:rsidP="001D71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257F372" w14:textId="77777777" w:rsidR="00525D86" w:rsidRDefault="00525D86" w:rsidP="009E59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9F0C2" w14:textId="77777777" w:rsidR="00504E3F" w:rsidRDefault="00504E3F" w:rsidP="00FD14B3">
      <w:pPr>
        <w:spacing w:before="0" w:after="0" w:line="240" w:lineRule="auto"/>
      </w:pPr>
      <w:r>
        <w:separator/>
      </w:r>
    </w:p>
  </w:footnote>
  <w:footnote w:type="continuationSeparator" w:id="0">
    <w:p w14:paraId="160F339C" w14:textId="77777777" w:rsidR="00504E3F" w:rsidRDefault="00504E3F" w:rsidP="00FD14B3">
      <w:pPr>
        <w:spacing w:before="0" w:after="0" w:line="240" w:lineRule="auto"/>
      </w:pPr>
      <w:r>
        <w:continuationSeparator/>
      </w:r>
    </w:p>
  </w:footnote>
  <w:footnote w:id="1">
    <w:p w14:paraId="66CE3F8D" w14:textId="77BE80C0" w:rsidR="00623466" w:rsidRPr="00623466" w:rsidRDefault="00623466" w:rsidP="00623466">
      <w:pPr>
        <w:pStyle w:val="NormalWeb"/>
        <w:spacing w:before="0" w:beforeAutospacing="0" w:after="0" w:afterAutospacing="0"/>
        <w:rPr>
          <w:rFonts w:ascii="Garamond" w:eastAsia="Times New Roman" w:hAnsi="Garamond"/>
          <w:sz w:val="20"/>
          <w:szCs w:val="20"/>
        </w:rPr>
      </w:pPr>
      <w:r w:rsidRPr="00623466">
        <w:rPr>
          <w:rStyle w:val="FootnoteReference"/>
          <w:rFonts w:ascii="Garamond" w:hAnsi="Garamond"/>
          <w:sz w:val="20"/>
          <w:szCs w:val="20"/>
        </w:rPr>
        <w:footnoteRef/>
      </w:r>
      <w:r w:rsidRPr="00623466">
        <w:rPr>
          <w:rFonts w:ascii="Garamond" w:hAnsi="Garamond"/>
          <w:sz w:val="20"/>
          <w:szCs w:val="20"/>
        </w:rPr>
        <w:t xml:space="preserve"> Most of the materials for this essay are taken from my latest book, </w:t>
      </w:r>
      <w:r w:rsidRPr="00623466">
        <w:rPr>
          <w:rFonts w:ascii="Garamond" w:eastAsia="Times New Roman" w:hAnsi="Garamond"/>
          <w:i/>
          <w:iCs/>
          <w:sz w:val="20"/>
          <w:szCs w:val="20"/>
        </w:rPr>
        <w:t xml:space="preserve">Ecumenical and Interreligious Identities in Nigeria: Transformation through Dialogue </w:t>
      </w:r>
      <w:r w:rsidRPr="00623466">
        <w:rPr>
          <w:rFonts w:ascii="Garamond" w:eastAsia="Times New Roman" w:hAnsi="Garamond"/>
          <w:sz w:val="20"/>
          <w:szCs w:val="20"/>
        </w:rPr>
        <w:t xml:space="preserve">(Lanham: Lexington Books/Fortress Academic, 2022). </w:t>
      </w:r>
      <w:r>
        <w:rPr>
          <w:rFonts w:ascii="Garamond" w:eastAsia="Times New Roman" w:hAnsi="Garamond"/>
          <w:sz w:val="20"/>
          <w:szCs w:val="20"/>
        </w:rPr>
        <w:t>A more elaborate ecumenical account of the NARCC is also presented in the book.</w:t>
      </w:r>
    </w:p>
  </w:footnote>
  <w:footnote w:id="2">
    <w:p w14:paraId="1CA7E12C" w14:textId="77777777" w:rsidR="00FD14B3" w:rsidRPr="009E594C" w:rsidRDefault="00FD14B3" w:rsidP="00623466">
      <w:pPr>
        <w:pStyle w:val="FootnoteText"/>
        <w:spacing w:before="0" w:after="0" w:line="240" w:lineRule="auto"/>
        <w:rPr>
          <w:rFonts w:ascii="Garamond" w:hAnsi="Garamond" w:cs="Times New Roman"/>
          <w:color w:val="000000" w:themeColor="text1"/>
          <w:sz w:val="20"/>
          <w:szCs w:val="20"/>
        </w:rPr>
      </w:pPr>
      <w:r w:rsidRPr="00623466">
        <w:rPr>
          <w:rStyle w:val="FootnoteReference"/>
          <w:rFonts w:ascii="Garamond" w:hAnsi="Garamond" w:cs="Times New Roman"/>
          <w:color w:val="000000" w:themeColor="text1"/>
          <w:sz w:val="20"/>
          <w:szCs w:val="20"/>
        </w:rPr>
        <w:footnoteRef/>
      </w:r>
      <w:r w:rsidRPr="00623466">
        <w:rPr>
          <w:rFonts w:ascii="Garamond" w:hAnsi="Garamond" w:cs="Times New Roman"/>
          <w:color w:val="000000" w:themeColor="text1"/>
          <w:sz w:val="20"/>
          <w:szCs w:val="20"/>
        </w:rPr>
        <w:t xml:space="preserve"> Jacob F.A. Ajayi, </w:t>
      </w:r>
      <w:r w:rsidRPr="00623466">
        <w:rPr>
          <w:rFonts w:ascii="Garamond" w:hAnsi="Garamond" w:cs="Times New Roman"/>
          <w:i/>
          <w:color w:val="000000" w:themeColor="text1"/>
          <w:sz w:val="20"/>
          <w:szCs w:val="20"/>
        </w:rPr>
        <w:t>Christian Missions in Nigeria, 1841-1891: The Making of a New Elite</w:t>
      </w:r>
      <w:r w:rsidRPr="00623466">
        <w:rPr>
          <w:rFonts w:ascii="Garamond" w:hAnsi="Garamond" w:cs="Times New Roman"/>
          <w:color w:val="000000" w:themeColor="text1"/>
          <w:sz w:val="20"/>
          <w:szCs w:val="20"/>
        </w:rPr>
        <w:t xml:space="preserve"> [Ibadan History Series] (London: Longman, 1965), 8.</w:t>
      </w:r>
      <w:r w:rsidRPr="009E594C">
        <w:rPr>
          <w:rFonts w:ascii="Garamond" w:hAnsi="Garamond" w:cs="Times New Roman"/>
          <w:color w:val="000000" w:themeColor="text1"/>
          <w:sz w:val="20"/>
          <w:szCs w:val="20"/>
        </w:rPr>
        <w:t xml:space="preserve"> </w:t>
      </w:r>
    </w:p>
  </w:footnote>
  <w:footnote w:id="3">
    <w:p w14:paraId="6F76047D"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Gordon Hewitt, </w:t>
      </w:r>
      <w:r w:rsidRPr="009E594C">
        <w:rPr>
          <w:rFonts w:ascii="Garamond" w:hAnsi="Garamond" w:cs="Times New Roman"/>
          <w:i/>
          <w:color w:val="000000" w:themeColor="text1"/>
          <w:sz w:val="20"/>
          <w:szCs w:val="20"/>
        </w:rPr>
        <w:t>The Problems of Success: A History of the Church Missionary Society, 1910-1942, Volume One</w:t>
      </w:r>
      <w:r w:rsidRPr="009E594C">
        <w:rPr>
          <w:rFonts w:ascii="Garamond" w:hAnsi="Garamond" w:cs="Times New Roman"/>
          <w:color w:val="000000" w:themeColor="text1"/>
          <w:sz w:val="20"/>
          <w:szCs w:val="20"/>
        </w:rPr>
        <w:t xml:space="preserve"> (London: SCM Press, 1971), 33. The Catholic missionary group that arrived in Lagos had the pastoral task of taking care of “African emigrants from Brazil and Cuba who had settled in and around Lagos,” and were different from the group that would enter Onitsha 18 years later.</w:t>
      </w:r>
    </w:p>
  </w:footnote>
  <w:footnote w:id="4">
    <w:p w14:paraId="1D970F65"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Andrew F. Walls, “The Legacy of Samuel Ajayi Crowther,” </w:t>
      </w:r>
      <w:r w:rsidRPr="009E594C">
        <w:rPr>
          <w:rFonts w:ascii="Garamond" w:hAnsi="Garamond" w:cs="Times New Roman"/>
          <w:i/>
          <w:color w:val="000000" w:themeColor="text1"/>
          <w:sz w:val="20"/>
          <w:szCs w:val="20"/>
        </w:rPr>
        <w:t>International Bulletin of Missionary Research</w:t>
      </w:r>
      <w:r w:rsidRPr="009E594C">
        <w:rPr>
          <w:rFonts w:ascii="Garamond" w:hAnsi="Garamond" w:cs="Times New Roman"/>
          <w:color w:val="000000" w:themeColor="text1"/>
          <w:sz w:val="20"/>
          <w:szCs w:val="20"/>
        </w:rPr>
        <w:t xml:space="preserve"> 16, no.1 (1992): 15-21; 19.</w:t>
      </w:r>
    </w:p>
  </w:footnote>
  <w:footnote w:id="5">
    <w:p w14:paraId="47366364"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In his account, Celestine Obi offered no reason for the refusal of the captain, named simply as Christian, to take the missionaries up to Lokoja. See, Celestine A. Obi, “Background to the Planting of Catholic Christianity in the Lower Niger,” 1-26 in Celestine A. Obi, ed., </w:t>
      </w:r>
      <w:r w:rsidRPr="009E594C">
        <w:rPr>
          <w:rFonts w:ascii="Garamond" w:hAnsi="Garamond" w:cs="Times New Roman"/>
          <w:i/>
          <w:color w:val="000000" w:themeColor="text1"/>
          <w:sz w:val="20"/>
          <w:szCs w:val="20"/>
        </w:rPr>
        <w:t>A Hundred Years of the Catholic Church in Eastern Nigeria 1885-1985</w:t>
      </w:r>
      <w:r w:rsidRPr="009E594C">
        <w:rPr>
          <w:rFonts w:ascii="Garamond" w:hAnsi="Garamond" w:cs="Times New Roman"/>
          <w:color w:val="000000" w:themeColor="text1"/>
          <w:sz w:val="20"/>
          <w:szCs w:val="20"/>
        </w:rPr>
        <w:t xml:space="preserve"> (Onitsha: Africana-</w:t>
      </w:r>
      <w:proofErr w:type="spellStart"/>
      <w:r w:rsidRPr="009E594C">
        <w:rPr>
          <w:rFonts w:ascii="Garamond" w:hAnsi="Garamond" w:cs="Times New Roman"/>
          <w:color w:val="000000" w:themeColor="text1"/>
          <w:sz w:val="20"/>
          <w:szCs w:val="20"/>
        </w:rPr>
        <w:t>Fep</w:t>
      </w:r>
      <w:proofErr w:type="spellEnd"/>
      <w:r w:rsidRPr="009E594C">
        <w:rPr>
          <w:rFonts w:ascii="Garamond" w:hAnsi="Garamond" w:cs="Times New Roman"/>
          <w:color w:val="000000" w:themeColor="text1"/>
          <w:sz w:val="20"/>
          <w:szCs w:val="20"/>
        </w:rPr>
        <w:t xml:space="preserve"> Publishers Limited, 1985), 12. In another account, Frederick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reacts against the reasons that the refusal was based on the French and Catholic identities of the missionaries since the colonialists who allegedly gave the instruction were British and so were sympathetic to Protestant missionaries only.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dismisses such accounts as an after-thought but rather suggests that the missionaries were denied access beyond the Niger “because they were unknown and had no letters of recommendation from the [Royal Niger] company’s direction in London.” Frederick C.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The History of the Catholic Church in Eastern Nigeria, Vol. 1: The Foundation Period 1885-1905</w:t>
      </w:r>
      <w:r w:rsidRPr="009E594C">
        <w:rPr>
          <w:rFonts w:ascii="Garamond" w:hAnsi="Garamond" w:cs="Times New Roman"/>
          <w:color w:val="000000" w:themeColor="text1"/>
          <w:sz w:val="20"/>
          <w:szCs w:val="20"/>
        </w:rPr>
        <w:t xml:space="preserve"> (Roma: </w:t>
      </w:r>
      <w:proofErr w:type="spellStart"/>
      <w:r w:rsidRPr="009E594C">
        <w:rPr>
          <w:rFonts w:ascii="Garamond" w:hAnsi="Garamond" w:cs="Times New Roman"/>
          <w:color w:val="000000" w:themeColor="text1"/>
          <w:sz w:val="20"/>
          <w:szCs w:val="20"/>
        </w:rPr>
        <w:t>Pontificia</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Universitate</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Gregoriana</w:t>
      </w:r>
      <w:proofErr w:type="spellEnd"/>
      <w:r w:rsidRPr="009E594C">
        <w:rPr>
          <w:rFonts w:ascii="Garamond" w:hAnsi="Garamond" w:cs="Times New Roman"/>
          <w:color w:val="000000" w:themeColor="text1"/>
          <w:sz w:val="20"/>
          <w:szCs w:val="20"/>
        </w:rPr>
        <w:t>, 1983), 99.</w:t>
      </w:r>
    </w:p>
  </w:footnote>
  <w:footnote w:id="6">
    <w:p w14:paraId="0C8FDB08"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Obi, “Background to the Planting of Catholic Christianity,” 16.</w:t>
      </w:r>
    </w:p>
  </w:footnote>
  <w:footnote w:id="7">
    <w:p w14:paraId="05D2845F"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Obi, “Background to the Planting of Catholic Christianity,” 17.</w:t>
      </w:r>
    </w:p>
  </w:footnote>
  <w:footnote w:id="8">
    <w:p w14:paraId="782CE868"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Obi, “Background to the Planting of Catholic Christianity,” 18 citing </w:t>
      </w:r>
      <w:r w:rsidRPr="009E594C">
        <w:rPr>
          <w:rFonts w:ascii="Garamond" w:hAnsi="Garamond" w:cs="Times New Roman"/>
          <w:i/>
          <w:color w:val="000000" w:themeColor="text1"/>
          <w:sz w:val="20"/>
          <w:szCs w:val="20"/>
        </w:rPr>
        <w:t xml:space="preserve">Annales </w:t>
      </w:r>
      <w:proofErr w:type="spellStart"/>
      <w:r w:rsidRPr="009E594C">
        <w:rPr>
          <w:rFonts w:ascii="Garamond" w:hAnsi="Garamond" w:cs="Times New Roman"/>
          <w:i/>
          <w:color w:val="000000" w:themeColor="text1"/>
          <w:sz w:val="20"/>
          <w:szCs w:val="20"/>
        </w:rPr>
        <w:t>Apostoliques</w:t>
      </w:r>
      <w:proofErr w:type="spellEnd"/>
      <w:r w:rsidRPr="009E594C">
        <w:rPr>
          <w:rFonts w:ascii="Garamond" w:hAnsi="Garamond" w:cs="Times New Roman"/>
          <w:color w:val="000000" w:themeColor="text1"/>
          <w:sz w:val="20"/>
          <w:szCs w:val="20"/>
        </w:rPr>
        <w:t xml:space="preserve">, no.7 (September 1901), 154. While acknowledging the charitable act of Crowther and the Anglicans,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disputes the idea that the piece of land was easily given away by the Anglicans as reported by the Catholic missionaries. According to his account, the king had pressured Crowther into giving up the land because it had remained undeveloped since its acquisition. See,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The History of the Catholic Church</w:t>
      </w:r>
      <w:r w:rsidRPr="009E594C">
        <w:rPr>
          <w:rFonts w:ascii="Garamond" w:hAnsi="Garamond" w:cs="Times New Roman"/>
          <w:color w:val="000000" w:themeColor="text1"/>
          <w:sz w:val="20"/>
          <w:szCs w:val="20"/>
        </w:rPr>
        <w:t xml:space="preserve">, 107-108. </w:t>
      </w:r>
    </w:p>
  </w:footnote>
  <w:footnote w:id="9">
    <w:p w14:paraId="6DDCCAF3"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Jacob F.A. Ajayi, “From Mission to Church: The Heritage of the Church Missionary Society,” </w:t>
      </w:r>
      <w:r w:rsidRPr="009E594C">
        <w:rPr>
          <w:rFonts w:ascii="Garamond" w:hAnsi="Garamond" w:cs="Times New Roman"/>
          <w:i/>
          <w:color w:val="000000" w:themeColor="text1"/>
          <w:sz w:val="20"/>
          <w:szCs w:val="20"/>
        </w:rPr>
        <w:t>International Bulletin of Missionary Research</w:t>
      </w:r>
      <w:r w:rsidRPr="009E594C">
        <w:rPr>
          <w:rFonts w:ascii="Garamond" w:hAnsi="Garamond" w:cs="Times New Roman"/>
          <w:color w:val="000000" w:themeColor="text1"/>
          <w:sz w:val="20"/>
          <w:szCs w:val="20"/>
        </w:rPr>
        <w:t xml:space="preserve"> 23, no.2 (1999): 50-55; 53.</w:t>
      </w:r>
    </w:p>
  </w:footnote>
  <w:footnote w:id="10">
    <w:p w14:paraId="4A62BF24"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Ajayi, “From Mission to Church,” 53.</w:t>
      </w:r>
    </w:p>
  </w:footnote>
  <w:footnote w:id="11">
    <w:p w14:paraId="494BB373"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Obi, “Background to the Planting of Catholic Christianity,” 23.</w:t>
      </w:r>
    </w:p>
  </w:footnote>
  <w:footnote w:id="12">
    <w:p w14:paraId="17C30190"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Godwin O.M. </w:t>
      </w:r>
      <w:proofErr w:type="spellStart"/>
      <w:r w:rsidRPr="009E594C">
        <w:rPr>
          <w:rFonts w:ascii="Garamond" w:hAnsi="Garamond" w:cs="Times New Roman"/>
          <w:color w:val="000000" w:themeColor="text1"/>
          <w:sz w:val="20"/>
          <w:szCs w:val="20"/>
        </w:rPr>
        <w:t>Tasie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 xml:space="preserve">Christian Missionary Enterprise in the Niger Delta 1864-1918 </w:t>
      </w:r>
      <w:r w:rsidRPr="009E594C">
        <w:rPr>
          <w:rFonts w:ascii="Garamond" w:hAnsi="Garamond" w:cs="Times New Roman"/>
          <w:color w:val="000000" w:themeColor="text1"/>
          <w:sz w:val="20"/>
          <w:szCs w:val="20"/>
        </w:rPr>
        <w:t>(Leiden: Brill, 1978), 202.</w:t>
      </w:r>
    </w:p>
  </w:footnote>
  <w:footnote w:id="13">
    <w:p w14:paraId="2F1FBC8B" w14:textId="77777777" w:rsidR="00FD14B3" w:rsidRPr="009E594C" w:rsidRDefault="00FD14B3" w:rsidP="00FD14B3">
      <w:pPr>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Elsewhere, I have argued this out, especially within the context of a historical assessment of Anglican-Roman Catholic relationships. See, Ikenna Paschal Okpaleke, “Crossing the Niger: An Ecumenical Option for the Post-Reformation Mission Conflict in Nigeria,” </w:t>
      </w:r>
      <w:r w:rsidRPr="009E594C">
        <w:rPr>
          <w:rFonts w:ascii="Garamond" w:hAnsi="Garamond" w:cs="Times New Roman"/>
          <w:i/>
          <w:iCs/>
          <w:color w:val="000000" w:themeColor="text1"/>
          <w:sz w:val="20"/>
          <w:szCs w:val="20"/>
        </w:rPr>
        <w:t>Bulletin of Ecumenical Theology</w:t>
      </w:r>
      <w:r w:rsidRPr="009E594C">
        <w:rPr>
          <w:rFonts w:ascii="Garamond" w:hAnsi="Garamond" w:cs="Times New Roman"/>
          <w:iCs/>
          <w:color w:val="000000" w:themeColor="text1"/>
          <w:sz w:val="20"/>
          <w:szCs w:val="20"/>
        </w:rPr>
        <w:t xml:space="preserve"> 29, no.1</w:t>
      </w:r>
      <w:r w:rsidRPr="009E594C">
        <w:rPr>
          <w:rFonts w:ascii="Garamond" w:hAnsi="Garamond" w:cs="Times New Roman"/>
          <w:color w:val="000000" w:themeColor="text1"/>
          <w:sz w:val="20"/>
          <w:szCs w:val="20"/>
        </w:rPr>
        <w:t xml:space="preserve"> (2017): 113-138.</w:t>
      </w:r>
    </w:p>
  </w:footnote>
  <w:footnote w:id="14">
    <w:p w14:paraId="6F90E20E"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Tasie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Christian Missionary Enterprise in the Niger Delta</w:t>
      </w:r>
      <w:r w:rsidRPr="009E594C">
        <w:rPr>
          <w:rFonts w:ascii="Garamond" w:hAnsi="Garamond" w:cs="Times New Roman"/>
          <w:color w:val="000000" w:themeColor="text1"/>
          <w:sz w:val="20"/>
          <w:szCs w:val="20"/>
        </w:rPr>
        <w:t>, 204.</w:t>
      </w:r>
    </w:p>
  </w:footnote>
  <w:footnote w:id="15">
    <w:p w14:paraId="243D30D1"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C.S.E B/192/A/01, Lutz to Superior in Paris (December 1889) cited in Obi, “Background to the Planting of Catholic Christianity,” 124-125.</w:t>
      </w:r>
    </w:p>
  </w:footnote>
  <w:footnote w:id="16">
    <w:p w14:paraId="5A8693F9"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Nnabuife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History of the Catholic Church</w:t>
      </w:r>
      <w:r w:rsidRPr="009E594C">
        <w:rPr>
          <w:rFonts w:ascii="Garamond" w:hAnsi="Garamond" w:cs="Times New Roman"/>
          <w:color w:val="000000" w:themeColor="text1"/>
          <w:sz w:val="20"/>
          <w:szCs w:val="20"/>
        </w:rPr>
        <w:t>, 116.</w:t>
      </w:r>
    </w:p>
  </w:footnote>
  <w:footnote w:id="17">
    <w:p w14:paraId="77E78D52"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Obi reports that in most cases the parents would forcefully take back their kids even after agreeing to leave them with the missionaries after treatment. In other words, such baptisms were not effective in winning converts, yet it was a source of disaffection between Catholics and C.M.S. In fact, for Obi, the greatest difficulty that confronted both Catholic and Protestant missionaries “was how to convince the natives that they needed another religion – a new religion different from that of their ancestors!” Celestine Obi, “The French Pioneers, 1885-1905,” 27-105 in Obi, ed., </w:t>
      </w:r>
      <w:r w:rsidRPr="009E594C">
        <w:rPr>
          <w:rFonts w:ascii="Garamond" w:hAnsi="Garamond" w:cs="Times New Roman"/>
          <w:i/>
          <w:color w:val="000000" w:themeColor="text1"/>
          <w:sz w:val="20"/>
          <w:szCs w:val="20"/>
        </w:rPr>
        <w:t>A Hundred Years</w:t>
      </w:r>
      <w:r w:rsidRPr="009E594C">
        <w:rPr>
          <w:rFonts w:ascii="Garamond" w:hAnsi="Garamond" w:cs="Times New Roman"/>
          <w:color w:val="000000" w:themeColor="text1"/>
          <w:sz w:val="20"/>
          <w:szCs w:val="20"/>
        </w:rPr>
        <w:t xml:space="preserve">, 40.  </w:t>
      </w:r>
    </w:p>
  </w:footnote>
  <w:footnote w:id="18">
    <w:p w14:paraId="09258924"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Tasie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Christian Missionary Enterprise in the Niger Delta</w:t>
      </w:r>
      <w:r w:rsidRPr="009E594C">
        <w:rPr>
          <w:rFonts w:ascii="Garamond" w:hAnsi="Garamond" w:cs="Times New Roman"/>
          <w:color w:val="000000" w:themeColor="text1"/>
          <w:sz w:val="20"/>
          <w:szCs w:val="20"/>
        </w:rPr>
        <w:t>, 207.</w:t>
      </w:r>
    </w:p>
  </w:footnote>
  <w:footnote w:id="19">
    <w:p w14:paraId="000AD16B"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This is even as the Catholic mission in Lagos could already boast of 8 schools with 600 attendees by 1890. Peter B. Clarke, </w:t>
      </w:r>
      <w:r w:rsidRPr="009E594C">
        <w:rPr>
          <w:rFonts w:ascii="Garamond" w:hAnsi="Garamond" w:cs="Times New Roman"/>
          <w:i/>
          <w:color w:val="000000" w:themeColor="text1"/>
          <w:sz w:val="20"/>
          <w:szCs w:val="20"/>
        </w:rPr>
        <w:t>West Africa and Christianity: A Study of Religious Development from the 15</w:t>
      </w:r>
      <w:r w:rsidRPr="009E594C">
        <w:rPr>
          <w:rFonts w:ascii="Garamond" w:hAnsi="Garamond" w:cs="Times New Roman"/>
          <w:i/>
          <w:color w:val="000000" w:themeColor="text1"/>
          <w:sz w:val="20"/>
          <w:szCs w:val="20"/>
          <w:vertAlign w:val="superscript"/>
        </w:rPr>
        <w:t>th</w:t>
      </w:r>
      <w:r w:rsidRPr="009E594C">
        <w:rPr>
          <w:rFonts w:ascii="Garamond" w:hAnsi="Garamond" w:cs="Times New Roman"/>
          <w:i/>
          <w:color w:val="000000" w:themeColor="text1"/>
          <w:sz w:val="20"/>
          <w:szCs w:val="20"/>
        </w:rPr>
        <w:t xml:space="preserve"> to the 20</w:t>
      </w:r>
      <w:r w:rsidRPr="009E594C">
        <w:rPr>
          <w:rFonts w:ascii="Garamond" w:hAnsi="Garamond" w:cs="Times New Roman"/>
          <w:i/>
          <w:color w:val="000000" w:themeColor="text1"/>
          <w:sz w:val="20"/>
          <w:szCs w:val="20"/>
          <w:vertAlign w:val="superscript"/>
        </w:rPr>
        <w:t>th</w:t>
      </w:r>
      <w:r w:rsidRPr="009E594C">
        <w:rPr>
          <w:rFonts w:ascii="Garamond" w:hAnsi="Garamond" w:cs="Times New Roman"/>
          <w:i/>
          <w:color w:val="000000" w:themeColor="text1"/>
          <w:sz w:val="20"/>
          <w:szCs w:val="20"/>
        </w:rPr>
        <w:t xml:space="preserve"> Century</w:t>
      </w:r>
      <w:r w:rsidRPr="009E594C">
        <w:rPr>
          <w:rFonts w:ascii="Garamond" w:hAnsi="Garamond" w:cs="Times New Roman"/>
          <w:color w:val="000000" w:themeColor="text1"/>
          <w:sz w:val="20"/>
          <w:szCs w:val="20"/>
        </w:rPr>
        <w:t xml:space="preserve"> (London: Edward Arnold Ltd., 1986), 103.</w:t>
      </w:r>
    </w:p>
  </w:footnote>
  <w:footnote w:id="20">
    <w:p w14:paraId="3A10B736"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Clarke, </w:t>
      </w:r>
      <w:r w:rsidRPr="009E594C">
        <w:rPr>
          <w:rFonts w:ascii="Garamond" w:hAnsi="Garamond" w:cs="Times New Roman"/>
          <w:i/>
          <w:color w:val="000000" w:themeColor="text1"/>
          <w:sz w:val="20"/>
          <w:szCs w:val="20"/>
        </w:rPr>
        <w:t>West Africa and Christianity</w:t>
      </w:r>
      <w:r w:rsidRPr="009E594C">
        <w:rPr>
          <w:rFonts w:ascii="Garamond" w:hAnsi="Garamond" w:cs="Times New Roman"/>
          <w:color w:val="000000" w:themeColor="text1"/>
          <w:sz w:val="20"/>
          <w:szCs w:val="20"/>
        </w:rPr>
        <w:t>, 104.</w:t>
      </w:r>
    </w:p>
  </w:footnote>
  <w:footnote w:id="21">
    <w:p w14:paraId="2E515515"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Clarke, </w:t>
      </w:r>
      <w:r w:rsidRPr="009E594C">
        <w:rPr>
          <w:rFonts w:ascii="Garamond" w:hAnsi="Garamond" w:cs="Times New Roman"/>
          <w:i/>
          <w:color w:val="000000" w:themeColor="text1"/>
          <w:sz w:val="20"/>
          <w:szCs w:val="20"/>
        </w:rPr>
        <w:t>West Africa and Christianity</w:t>
      </w:r>
      <w:r w:rsidRPr="009E594C">
        <w:rPr>
          <w:rFonts w:ascii="Garamond" w:hAnsi="Garamond" w:cs="Times New Roman"/>
          <w:color w:val="000000" w:themeColor="text1"/>
          <w:sz w:val="20"/>
          <w:szCs w:val="20"/>
        </w:rPr>
        <w:t xml:space="preserve">, 114. The Anglican church that opened in 1935 at </w:t>
      </w:r>
      <w:proofErr w:type="spellStart"/>
      <w:r w:rsidRPr="009E594C">
        <w:rPr>
          <w:rFonts w:ascii="Garamond" w:hAnsi="Garamond" w:cs="Times New Roman"/>
          <w:color w:val="000000" w:themeColor="text1"/>
          <w:sz w:val="20"/>
          <w:szCs w:val="20"/>
        </w:rPr>
        <w:t>Potiskum</w:t>
      </w:r>
      <w:proofErr w:type="spellEnd"/>
      <w:r w:rsidRPr="009E594C">
        <w:rPr>
          <w:rFonts w:ascii="Garamond" w:hAnsi="Garamond" w:cs="Times New Roman"/>
          <w:color w:val="000000" w:themeColor="text1"/>
          <w:sz w:val="20"/>
          <w:szCs w:val="20"/>
        </w:rPr>
        <w:t xml:space="preserve"> was interdenominational in character. The church which doubled as an English learning center, operated in a rented apartment and was named the ‘Foreigner’s Club’ to avert the anger of Muslims. This interdenominational church ended in 1941 when Catholics of Maiduguri broke away and established their own church.</w:t>
      </w:r>
    </w:p>
  </w:footnote>
  <w:footnote w:id="22">
    <w:p w14:paraId="0139CC2B"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Clarke, </w:t>
      </w:r>
      <w:r w:rsidRPr="009E594C">
        <w:rPr>
          <w:rFonts w:ascii="Garamond" w:hAnsi="Garamond" w:cs="Times New Roman"/>
          <w:i/>
          <w:color w:val="000000" w:themeColor="text1"/>
          <w:sz w:val="20"/>
          <w:szCs w:val="20"/>
        </w:rPr>
        <w:t>West Africa and Christianity</w:t>
      </w:r>
      <w:r w:rsidRPr="009E594C">
        <w:rPr>
          <w:rFonts w:ascii="Garamond" w:hAnsi="Garamond" w:cs="Times New Roman"/>
          <w:color w:val="000000" w:themeColor="text1"/>
          <w:sz w:val="20"/>
          <w:szCs w:val="20"/>
        </w:rPr>
        <w:t>, 114-115.</w:t>
      </w:r>
    </w:p>
  </w:footnote>
  <w:footnote w:id="23">
    <w:p w14:paraId="215A3051"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Jacinta </w:t>
      </w:r>
      <w:proofErr w:type="spellStart"/>
      <w:r w:rsidRPr="009E594C">
        <w:rPr>
          <w:rFonts w:ascii="Garamond" w:hAnsi="Garamond" w:cs="Times New Roman"/>
          <w:color w:val="000000" w:themeColor="text1"/>
          <w:sz w:val="20"/>
          <w:szCs w:val="20"/>
        </w:rPr>
        <w:t>Chiamaka</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xml:space="preserve">, “The Early Missionary Groups and the Contest for Igboland: A Reappraisal of Their Evangelical Strategies,” </w:t>
      </w:r>
      <w:r w:rsidRPr="009E594C">
        <w:rPr>
          <w:rFonts w:ascii="Garamond" w:hAnsi="Garamond" w:cs="Times New Roman"/>
          <w:i/>
          <w:color w:val="000000" w:themeColor="text1"/>
          <w:sz w:val="20"/>
          <w:szCs w:val="20"/>
        </w:rPr>
        <w:t xml:space="preserve">Missiology: An International Review </w:t>
      </w:r>
      <w:r w:rsidRPr="009E594C">
        <w:rPr>
          <w:rFonts w:ascii="Garamond" w:hAnsi="Garamond" w:cs="Times New Roman"/>
          <w:color w:val="000000" w:themeColor="text1"/>
          <w:sz w:val="20"/>
          <w:szCs w:val="20"/>
        </w:rPr>
        <w:t>XL, no.4 (2012): 409-423; 414.</w:t>
      </w:r>
    </w:p>
  </w:footnote>
  <w:footnote w:id="24">
    <w:p w14:paraId="1BFC4ABA"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Repurchased slaves were kept in village-like enclosures where they lived semi-monastic life together, and these settlements that were set up by the Catholic missionaries in several towns were known as </w:t>
      </w:r>
      <w:r w:rsidRPr="009E594C">
        <w:rPr>
          <w:rFonts w:ascii="Garamond" w:hAnsi="Garamond" w:cs="Times New Roman"/>
          <w:i/>
          <w:color w:val="000000" w:themeColor="text1"/>
          <w:sz w:val="20"/>
          <w:szCs w:val="20"/>
        </w:rPr>
        <w:t>Christian villages</w:t>
      </w:r>
      <w:r w:rsidRPr="009E594C">
        <w:rPr>
          <w:rFonts w:ascii="Garamond" w:hAnsi="Garamond" w:cs="Times New Roman"/>
          <w:color w:val="000000" w:themeColor="text1"/>
          <w:sz w:val="20"/>
          <w:szCs w:val="20"/>
        </w:rPr>
        <w:t>. See, Obi, “French Pioneers,” 35-36.</w:t>
      </w:r>
    </w:p>
  </w:footnote>
  <w:footnote w:id="25">
    <w:p w14:paraId="38CB827F"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“Early Missionary Groups,” 412.</w:t>
      </w:r>
    </w:p>
  </w:footnote>
  <w:footnote w:id="26">
    <w:p w14:paraId="725A17D1"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Augustine S. O. </w:t>
      </w:r>
      <w:proofErr w:type="spellStart"/>
      <w:r w:rsidRPr="009E594C">
        <w:rPr>
          <w:rFonts w:ascii="Garamond" w:hAnsi="Garamond" w:cs="Times New Roman"/>
          <w:color w:val="000000" w:themeColor="text1"/>
          <w:sz w:val="20"/>
          <w:szCs w:val="20"/>
        </w:rPr>
        <w:t>Okwu</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Igbo Culture and the Christian Missions 1857-1857: Conversion in Theory and Practice</w:t>
      </w:r>
      <w:r w:rsidRPr="009E594C">
        <w:rPr>
          <w:rFonts w:ascii="Garamond" w:hAnsi="Garamond" w:cs="Times New Roman"/>
          <w:color w:val="000000" w:themeColor="text1"/>
          <w:sz w:val="20"/>
          <w:szCs w:val="20"/>
        </w:rPr>
        <w:t xml:space="preserve"> (Lanham, ML: University Press of America, 2010), 164. The data were retrieved as follows: CMS: G3/A3/0, Sidney R. Smith, Annual Letter of December, 1912; RCM: Sacred Returns in </w:t>
      </w:r>
      <w:proofErr w:type="spellStart"/>
      <w:r w:rsidRPr="009E594C">
        <w:rPr>
          <w:rFonts w:ascii="Garamond" w:hAnsi="Garamond" w:cs="Times New Roman"/>
          <w:color w:val="000000" w:themeColor="text1"/>
          <w:sz w:val="20"/>
          <w:szCs w:val="20"/>
        </w:rPr>
        <w:t>CSSp</w:t>
      </w:r>
      <w:proofErr w:type="spellEnd"/>
      <w:r w:rsidRPr="009E594C">
        <w:rPr>
          <w:rFonts w:ascii="Garamond" w:hAnsi="Garamond" w:cs="Times New Roman"/>
          <w:color w:val="000000" w:themeColor="text1"/>
          <w:sz w:val="20"/>
          <w:szCs w:val="20"/>
        </w:rPr>
        <w:t>: Bulletin, 21 (1901 to 29) (1918-1920).</w:t>
      </w:r>
    </w:p>
  </w:footnote>
  <w:footnote w:id="27">
    <w:p w14:paraId="10AA7F4A"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“Early Missionary Groups,” 411.</w:t>
      </w:r>
    </w:p>
  </w:footnote>
  <w:footnote w:id="28">
    <w:p w14:paraId="77E1E2DE"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“Early Missionary Groups,” 411.</w:t>
      </w:r>
    </w:p>
  </w:footnote>
  <w:footnote w:id="29">
    <w:p w14:paraId="2FC94633"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“Early Missionary Groups,” 413.</w:t>
      </w:r>
    </w:p>
  </w:footnote>
  <w:footnote w:id="30">
    <w:p w14:paraId="5796ED90"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“Early Missionary Groups,” 413. In Igbo language ‘</w:t>
      </w:r>
      <w:proofErr w:type="spellStart"/>
      <w:r w:rsidRPr="009E594C">
        <w:rPr>
          <w:rFonts w:ascii="Garamond" w:hAnsi="Garamond" w:cs="Times New Roman"/>
          <w:i/>
          <w:color w:val="000000" w:themeColor="text1"/>
          <w:sz w:val="20"/>
          <w:szCs w:val="20"/>
        </w:rPr>
        <w:t>ukochukwu</w:t>
      </w:r>
      <w:proofErr w:type="spellEnd"/>
      <w:r w:rsidRPr="009E594C">
        <w:rPr>
          <w:rFonts w:ascii="Garamond" w:hAnsi="Garamond" w:cs="Times New Roman"/>
          <w:color w:val="000000" w:themeColor="text1"/>
          <w:sz w:val="20"/>
          <w:szCs w:val="20"/>
        </w:rPr>
        <w:t>’ means priest, but since the Anglicans had first adopted it to refer to their priests, Catholics had to anglicize the title ‘Reverend Father’ as ‘</w:t>
      </w:r>
      <w:proofErr w:type="spellStart"/>
      <w:r w:rsidRPr="009E594C">
        <w:rPr>
          <w:rFonts w:ascii="Garamond" w:hAnsi="Garamond" w:cs="Times New Roman"/>
          <w:i/>
          <w:color w:val="000000" w:themeColor="text1"/>
          <w:sz w:val="20"/>
          <w:szCs w:val="20"/>
        </w:rPr>
        <w:t>fada</w:t>
      </w:r>
      <w:proofErr w:type="spellEnd"/>
      <w:r w:rsidRPr="009E594C">
        <w:rPr>
          <w:rFonts w:ascii="Garamond" w:hAnsi="Garamond" w:cs="Times New Roman"/>
          <w:color w:val="000000" w:themeColor="text1"/>
          <w:sz w:val="20"/>
          <w:szCs w:val="20"/>
        </w:rPr>
        <w:t>’ to distinguish themselves from Anglicans and to maintain their air of superiority and ensure a well-protected communal identity.</w:t>
      </w:r>
    </w:p>
  </w:footnote>
  <w:footnote w:id="31">
    <w:p w14:paraId="5424A1C0"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CMS: G3/A3/0: W.E. Blackett, School Report for January 1903, cited in </w:t>
      </w:r>
      <w:proofErr w:type="spellStart"/>
      <w:r w:rsidRPr="009E594C">
        <w:rPr>
          <w:rFonts w:ascii="Garamond" w:hAnsi="Garamond" w:cs="Times New Roman"/>
          <w:color w:val="000000" w:themeColor="text1"/>
          <w:sz w:val="20"/>
          <w:szCs w:val="20"/>
        </w:rPr>
        <w:t>Okwu</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Igbo Culture and the Christian Missions</w:t>
      </w:r>
      <w:r w:rsidRPr="009E594C">
        <w:rPr>
          <w:rFonts w:ascii="Garamond" w:hAnsi="Garamond" w:cs="Times New Roman"/>
          <w:color w:val="000000" w:themeColor="text1"/>
          <w:sz w:val="20"/>
          <w:szCs w:val="20"/>
        </w:rPr>
        <w:t xml:space="preserve">, 144.    </w:t>
      </w:r>
    </w:p>
  </w:footnote>
  <w:footnote w:id="32">
    <w:p w14:paraId="1C5E26EE"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Okwu</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Igbo Culture and the Christian Missions</w:t>
      </w:r>
      <w:r w:rsidRPr="009E594C">
        <w:rPr>
          <w:rFonts w:ascii="Garamond" w:hAnsi="Garamond" w:cs="Times New Roman"/>
          <w:color w:val="000000" w:themeColor="text1"/>
          <w:sz w:val="20"/>
          <w:szCs w:val="20"/>
        </w:rPr>
        <w:t>, 126.</w:t>
      </w:r>
    </w:p>
  </w:footnote>
  <w:footnote w:id="33">
    <w:p w14:paraId="63084CAE"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There are tons of literature on the war, from observers like Frederick Forsyth (</w:t>
      </w:r>
      <w:r w:rsidRPr="009E594C">
        <w:rPr>
          <w:rFonts w:ascii="Garamond" w:hAnsi="Garamond" w:cs="Times New Roman"/>
          <w:i/>
          <w:color w:val="000000" w:themeColor="text1"/>
          <w:sz w:val="20"/>
          <w:szCs w:val="20"/>
        </w:rPr>
        <w:t>The Making of a Nation: The Biafran Story</w:t>
      </w:r>
      <w:r w:rsidRPr="009E594C">
        <w:rPr>
          <w:rFonts w:ascii="Garamond" w:hAnsi="Garamond" w:cs="Times New Roman"/>
          <w:color w:val="000000" w:themeColor="text1"/>
          <w:sz w:val="20"/>
          <w:szCs w:val="20"/>
        </w:rPr>
        <w:t xml:space="preserve">, 1969; </w:t>
      </w:r>
      <w:r w:rsidRPr="009E594C">
        <w:rPr>
          <w:rFonts w:ascii="Garamond" w:hAnsi="Garamond" w:cs="Times New Roman"/>
          <w:i/>
          <w:color w:val="000000" w:themeColor="text1"/>
          <w:sz w:val="20"/>
          <w:szCs w:val="20"/>
        </w:rPr>
        <w:t>Emeka</w:t>
      </w:r>
      <w:r w:rsidRPr="009E594C">
        <w:rPr>
          <w:rFonts w:ascii="Garamond" w:hAnsi="Garamond" w:cs="Times New Roman"/>
          <w:color w:val="000000" w:themeColor="text1"/>
          <w:sz w:val="20"/>
          <w:szCs w:val="20"/>
        </w:rPr>
        <w:t xml:space="preserve">, 1992) to key actors like </w:t>
      </w:r>
      <w:proofErr w:type="spellStart"/>
      <w:r w:rsidRPr="009E594C">
        <w:rPr>
          <w:rFonts w:ascii="Garamond" w:hAnsi="Garamond" w:cs="Times New Roman"/>
          <w:color w:val="000000" w:themeColor="text1"/>
          <w:sz w:val="20"/>
          <w:szCs w:val="20"/>
        </w:rPr>
        <w:t>Odumegwu</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Ojukwu</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Principles of Biafran Revolution</w:t>
      </w:r>
      <w:r w:rsidRPr="009E594C">
        <w:rPr>
          <w:rFonts w:ascii="Garamond" w:hAnsi="Garamond" w:cs="Times New Roman"/>
          <w:color w:val="000000" w:themeColor="text1"/>
          <w:sz w:val="20"/>
          <w:szCs w:val="20"/>
        </w:rPr>
        <w:t xml:space="preserve">, 1969; </w:t>
      </w:r>
      <w:r w:rsidRPr="009E594C">
        <w:rPr>
          <w:rFonts w:ascii="Garamond" w:hAnsi="Garamond" w:cs="Times New Roman"/>
          <w:i/>
          <w:color w:val="000000" w:themeColor="text1"/>
          <w:sz w:val="20"/>
          <w:szCs w:val="20"/>
        </w:rPr>
        <w:t>Because I am Involved</w:t>
      </w:r>
      <w:r w:rsidRPr="009E594C">
        <w:rPr>
          <w:rFonts w:ascii="Garamond" w:hAnsi="Garamond" w:cs="Times New Roman"/>
          <w:color w:val="000000" w:themeColor="text1"/>
          <w:sz w:val="20"/>
          <w:szCs w:val="20"/>
        </w:rPr>
        <w:t>, 1989) and Olusegun Obasanjo (</w:t>
      </w:r>
      <w:r w:rsidRPr="009E594C">
        <w:rPr>
          <w:rFonts w:ascii="Garamond" w:hAnsi="Garamond" w:cs="Times New Roman"/>
          <w:i/>
          <w:color w:val="000000" w:themeColor="text1"/>
          <w:sz w:val="20"/>
          <w:szCs w:val="20"/>
        </w:rPr>
        <w:t>My Command: An Account of the Nigerian Civil War 1967-1970</w:t>
      </w:r>
      <w:r w:rsidRPr="009E594C">
        <w:rPr>
          <w:rFonts w:ascii="Garamond" w:hAnsi="Garamond" w:cs="Times New Roman"/>
          <w:color w:val="000000" w:themeColor="text1"/>
          <w:sz w:val="20"/>
          <w:szCs w:val="20"/>
        </w:rPr>
        <w:t xml:space="preserve">, 1980) to victims like </w:t>
      </w:r>
      <w:proofErr w:type="spellStart"/>
      <w:r w:rsidRPr="009E594C">
        <w:rPr>
          <w:rFonts w:ascii="Garamond" w:hAnsi="Garamond" w:cs="Times New Roman"/>
          <w:color w:val="000000" w:themeColor="text1"/>
          <w:sz w:val="20"/>
          <w:szCs w:val="20"/>
        </w:rPr>
        <w:t>Diliorah</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Chukwurah</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Last Train to Biafra: The Memoirs of a Biafran Child</w:t>
      </w:r>
      <w:r w:rsidRPr="009E594C">
        <w:rPr>
          <w:rFonts w:ascii="Garamond" w:hAnsi="Garamond" w:cs="Times New Roman"/>
          <w:color w:val="000000" w:themeColor="text1"/>
          <w:sz w:val="20"/>
          <w:szCs w:val="20"/>
        </w:rPr>
        <w:t xml:space="preserve">, 2015) and to recent synthesis of voices (Toyin </w:t>
      </w:r>
      <w:proofErr w:type="spellStart"/>
      <w:r w:rsidRPr="009E594C">
        <w:rPr>
          <w:rFonts w:ascii="Garamond" w:hAnsi="Garamond" w:cs="Times New Roman"/>
          <w:color w:val="000000" w:themeColor="text1"/>
          <w:sz w:val="20"/>
          <w:szCs w:val="20"/>
        </w:rPr>
        <w:t>Falola</w:t>
      </w:r>
      <w:proofErr w:type="spellEnd"/>
      <w:r w:rsidRPr="009E594C">
        <w:rPr>
          <w:rFonts w:ascii="Garamond" w:hAnsi="Garamond" w:cs="Times New Roman"/>
          <w:color w:val="000000" w:themeColor="text1"/>
          <w:sz w:val="20"/>
          <w:szCs w:val="20"/>
        </w:rPr>
        <w:t xml:space="preserve"> and </w:t>
      </w:r>
      <w:proofErr w:type="spellStart"/>
      <w:r w:rsidRPr="009E594C">
        <w:rPr>
          <w:rFonts w:ascii="Garamond" w:hAnsi="Garamond" w:cs="Times New Roman"/>
          <w:color w:val="000000" w:themeColor="text1"/>
          <w:sz w:val="20"/>
          <w:szCs w:val="20"/>
        </w:rPr>
        <w:t>Ogechukwu</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Ezekwem</w:t>
      </w:r>
      <w:proofErr w:type="spellEnd"/>
      <w:r w:rsidRPr="009E594C">
        <w:rPr>
          <w:rFonts w:ascii="Garamond" w:hAnsi="Garamond" w:cs="Times New Roman"/>
          <w:color w:val="000000" w:themeColor="text1"/>
          <w:sz w:val="20"/>
          <w:szCs w:val="20"/>
        </w:rPr>
        <w:t xml:space="preserve">, eds., </w:t>
      </w:r>
      <w:r w:rsidRPr="009E594C">
        <w:rPr>
          <w:rFonts w:ascii="Garamond" w:hAnsi="Garamond" w:cs="Times New Roman"/>
          <w:i/>
          <w:color w:val="000000" w:themeColor="text1"/>
          <w:sz w:val="20"/>
          <w:szCs w:val="20"/>
        </w:rPr>
        <w:t>Writing the Nigeria-Biafra War</w:t>
      </w:r>
      <w:r w:rsidRPr="009E594C">
        <w:rPr>
          <w:rFonts w:ascii="Garamond" w:hAnsi="Garamond" w:cs="Times New Roman"/>
          <w:color w:val="000000" w:themeColor="text1"/>
          <w:sz w:val="20"/>
          <w:szCs w:val="20"/>
        </w:rPr>
        <w:t>, 2016), each with particular twists and perspectives to the history of the war. In all accounts, the above mentioned three events are always recounted as the key prelude to the war.</w:t>
      </w:r>
    </w:p>
  </w:footnote>
  <w:footnote w:id="34">
    <w:p w14:paraId="50728F58"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Vincent A. Nwosu, “The Civil War Years: A Time of Great Trial,” 357-375 in Obi, ed., </w:t>
      </w:r>
      <w:r w:rsidRPr="009E594C">
        <w:rPr>
          <w:rFonts w:ascii="Garamond" w:hAnsi="Garamond" w:cs="Times New Roman"/>
          <w:i/>
          <w:color w:val="000000" w:themeColor="text1"/>
          <w:sz w:val="20"/>
          <w:szCs w:val="20"/>
        </w:rPr>
        <w:t>A Hundred Years</w:t>
      </w:r>
      <w:r w:rsidRPr="009E594C">
        <w:rPr>
          <w:rFonts w:ascii="Garamond" w:hAnsi="Garamond" w:cs="Times New Roman"/>
          <w:color w:val="000000" w:themeColor="text1"/>
          <w:sz w:val="20"/>
          <w:szCs w:val="20"/>
        </w:rPr>
        <w:t>, 358.</w:t>
      </w:r>
    </w:p>
  </w:footnote>
  <w:footnote w:id="35">
    <w:p w14:paraId="55F1FE88"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Nwosu, “Civil War Years,” 359.</w:t>
      </w:r>
    </w:p>
  </w:footnote>
  <w:footnote w:id="36">
    <w:p w14:paraId="3FBE7FE6"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Jacinta </w:t>
      </w:r>
      <w:proofErr w:type="spellStart"/>
      <w:r w:rsidRPr="009E594C">
        <w:rPr>
          <w:rFonts w:ascii="Garamond" w:hAnsi="Garamond" w:cs="Times New Roman"/>
          <w:color w:val="000000" w:themeColor="text1"/>
          <w:sz w:val="20"/>
          <w:szCs w:val="20"/>
        </w:rPr>
        <w:t>Chiamaka</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Nwaka</w:t>
      </w:r>
      <w:proofErr w:type="spellEnd"/>
      <w:r w:rsidRPr="009E594C">
        <w:rPr>
          <w:rFonts w:ascii="Garamond" w:hAnsi="Garamond" w:cs="Times New Roman"/>
          <w:color w:val="000000" w:themeColor="text1"/>
          <w:sz w:val="20"/>
          <w:szCs w:val="20"/>
        </w:rPr>
        <w:t xml:space="preserve">, “Reactions of the Governments of Nigeria and Biafra to the Role of the Catholic Church in the Nigeria-Biafra War,” </w:t>
      </w:r>
      <w:r w:rsidRPr="009E594C">
        <w:rPr>
          <w:rFonts w:ascii="Garamond" w:hAnsi="Garamond" w:cs="Times New Roman"/>
          <w:i/>
          <w:color w:val="000000" w:themeColor="text1"/>
          <w:sz w:val="20"/>
          <w:szCs w:val="20"/>
        </w:rPr>
        <w:t>War &amp; Society</w:t>
      </w:r>
      <w:r w:rsidRPr="009E594C">
        <w:rPr>
          <w:rFonts w:ascii="Garamond" w:hAnsi="Garamond" w:cs="Times New Roman"/>
          <w:color w:val="000000" w:themeColor="text1"/>
          <w:sz w:val="20"/>
          <w:szCs w:val="20"/>
        </w:rPr>
        <w:t xml:space="preserve"> 34, no.1 (2015): 65-83; 70, 75. The Biafran war propaganda had succeeded in constructing a religious narrative of the war, and the government of Major Gen. Gowon prevailed on Catholic bishops on the Nigerian side to counter the narrative. This subject matter also emerged at the 1968 WCC Assembly at Uppsala where the former governor of Eastern Nigeria, Francis </w:t>
      </w:r>
      <w:proofErr w:type="spellStart"/>
      <w:r w:rsidRPr="009E594C">
        <w:rPr>
          <w:rFonts w:ascii="Garamond" w:hAnsi="Garamond" w:cs="Times New Roman"/>
          <w:color w:val="000000" w:themeColor="text1"/>
          <w:sz w:val="20"/>
          <w:szCs w:val="20"/>
        </w:rPr>
        <w:t>Akanu</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Ibiam</w:t>
      </w:r>
      <w:proofErr w:type="spellEnd"/>
      <w:r w:rsidRPr="009E594C">
        <w:rPr>
          <w:rFonts w:ascii="Garamond" w:hAnsi="Garamond" w:cs="Times New Roman"/>
          <w:color w:val="000000" w:themeColor="text1"/>
          <w:sz w:val="20"/>
          <w:szCs w:val="20"/>
        </w:rPr>
        <w:t xml:space="preserve"> (on the Biafran side), and the Nigerian lawyer and human rights activist, Bola </w:t>
      </w:r>
      <w:proofErr w:type="spellStart"/>
      <w:r w:rsidRPr="009E594C">
        <w:rPr>
          <w:rFonts w:ascii="Garamond" w:hAnsi="Garamond" w:cs="Times New Roman"/>
          <w:color w:val="000000" w:themeColor="text1"/>
          <w:sz w:val="20"/>
          <w:szCs w:val="20"/>
        </w:rPr>
        <w:t>Ige</w:t>
      </w:r>
      <w:proofErr w:type="spellEnd"/>
      <w:r w:rsidRPr="009E594C">
        <w:rPr>
          <w:rFonts w:ascii="Garamond" w:hAnsi="Garamond" w:cs="Times New Roman"/>
          <w:color w:val="000000" w:themeColor="text1"/>
          <w:sz w:val="20"/>
          <w:szCs w:val="20"/>
        </w:rPr>
        <w:t xml:space="preserve"> (on the Nigerian side), both ecumenists, fiercely debated each other. At the end the WCC opted for political neutrality. See, </w:t>
      </w:r>
      <w:proofErr w:type="spellStart"/>
      <w:r w:rsidRPr="009E594C">
        <w:rPr>
          <w:rFonts w:ascii="Garamond" w:hAnsi="Garamond" w:cs="Times New Roman"/>
          <w:color w:val="000000" w:themeColor="text1"/>
          <w:sz w:val="20"/>
          <w:szCs w:val="20"/>
        </w:rPr>
        <w:t>Annegreth</w:t>
      </w:r>
      <w:proofErr w:type="spellEnd"/>
      <w:r w:rsidRPr="009E594C">
        <w:rPr>
          <w:rFonts w:ascii="Garamond" w:hAnsi="Garamond" w:cs="Times New Roman"/>
          <w:color w:val="000000" w:themeColor="text1"/>
          <w:sz w:val="20"/>
          <w:szCs w:val="20"/>
        </w:rPr>
        <w:t xml:space="preserve"> Schilling, “The Ecumenical Movement and 1968: The Uppsala Assembly as the Beginning of a New Era?” </w:t>
      </w:r>
      <w:r w:rsidRPr="009E594C">
        <w:rPr>
          <w:rFonts w:ascii="Garamond" w:hAnsi="Garamond" w:cs="Times New Roman"/>
          <w:i/>
          <w:color w:val="000000" w:themeColor="text1"/>
          <w:sz w:val="20"/>
          <w:szCs w:val="20"/>
        </w:rPr>
        <w:t>The Ecumenical Review</w:t>
      </w:r>
      <w:r w:rsidRPr="009E594C">
        <w:rPr>
          <w:rFonts w:ascii="Garamond" w:hAnsi="Garamond" w:cs="Times New Roman"/>
          <w:color w:val="000000" w:themeColor="text1"/>
          <w:sz w:val="20"/>
          <w:szCs w:val="20"/>
        </w:rPr>
        <w:t xml:space="preserve"> 70, no.2 (2018): 194-215; 210-211.</w:t>
      </w:r>
    </w:p>
  </w:footnote>
  <w:footnote w:id="37">
    <w:p w14:paraId="0A3D61E4"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Nwosu, “Civil War Years,” 366-367.</w:t>
      </w:r>
    </w:p>
  </w:footnote>
  <w:footnote w:id="38">
    <w:p w14:paraId="6FE1184E"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Nwosu, “Civil War Years,” 368-369. Nwosu lists the estimate of donations from certain countries as follows: a) Norway – c. USD13 million; b) Germany – c. USD15 million; c) Holland – c. USD2.5 million; and d) Ireland – c. USD420,000. See also, Henry J. </w:t>
      </w:r>
      <w:proofErr w:type="spellStart"/>
      <w:r w:rsidRPr="009E594C">
        <w:rPr>
          <w:rFonts w:ascii="Garamond" w:hAnsi="Garamond" w:cs="Times New Roman"/>
          <w:color w:val="000000" w:themeColor="text1"/>
          <w:sz w:val="20"/>
          <w:szCs w:val="20"/>
        </w:rPr>
        <w:t>Koren</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To the Ends of the Earth: A General History of the Congregation of the Holy Ghost</w:t>
      </w:r>
      <w:r w:rsidRPr="009E594C">
        <w:rPr>
          <w:rFonts w:ascii="Garamond" w:hAnsi="Garamond" w:cs="Times New Roman"/>
          <w:color w:val="000000" w:themeColor="text1"/>
          <w:sz w:val="20"/>
          <w:szCs w:val="20"/>
        </w:rPr>
        <w:t xml:space="preserve"> (Pittsburg: Duquesne University Press, 1983), 506.</w:t>
      </w:r>
    </w:p>
  </w:footnote>
  <w:footnote w:id="39">
    <w:p w14:paraId="296E562F"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Arua</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Oko</w:t>
      </w:r>
      <w:proofErr w:type="spellEnd"/>
      <w:r w:rsidRPr="009E594C">
        <w:rPr>
          <w:rFonts w:ascii="Garamond" w:hAnsi="Garamond" w:cs="Times New Roman"/>
          <w:color w:val="000000" w:themeColor="text1"/>
          <w:sz w:val="20"/>
          <w:szCs w:val="20"/>
        </w:rPr>
        <w:t xml:space="preserve"> </w:t>
      </w:r>
      <w:proofErr w:type="spellStart"/>
      <w:r w:rsidRPr="009E594C">
        <w:rPr>
          <w:rFonts w:ascii="Garamond" w:hAnsi="Garamond" w:cs="Times New Roman"/>
          <w:color w:val="000000" w:themeColor="text1"/>
          <w:sz w:val="20"/>
          <w:szCs w:val="20"/>
        </w:rPr>
        <w:t>Omaka</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The Biafran Humanitarian Crisis, 1967-1970: International Human Rights and Joint Church Aid</w:t>
      </w:r>
      <w:r w:rsidRPr="009E594C">
        <w:rPr>
          <w:rFonts w:ascii="Garamond" w:hAnsi="Garamond" w:cs="Times New Roman"/>
          <w:color w:val="000000" w:themeColor="text1"/>
          <w:sz w:val="20"/>
          <w:szCs w:val="20"/>
        </w:rPr>
        <w:t xml:space="preserve"> (Madison: Fairleigh Dickinson University Press, 2016).</w:t>
      </w:r>
    </w:p>
  </w:footnote>
  <w:footnote w:id="40">
    <w:p w14:paraId="08ED07A5"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Lasse </w:t>
      </w:r>
      <w:proofErr w:type="spellStart"/>
      <w:r w:rsidRPr="009E594C">
        <w:rPr>
          <w:rFonts w:ascii="Garamond" w:hAnsi="Garamond" w:cs="Times New Roman"/>
          <w:color w:val="000000" w:themeColor="text1"/>
          <w:sz w:val="20"/>
          <w:szCs w:val="20"/>
        </w:rPr>
        <w:t>Heerten</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 xml:space="preserve">The Biafran War and Postcolonial Humanitarianism: Spectacles of Suffering </w:t>
      </w:r>
      <w:r w:rsidRPr="009E594C">
        <w:rPr>
          <w:rFonts w:ascii="Garamond" w:hAnsi="Garamond" w:cs="Times New Roman"/>
          <w:color w:val="000000" w:themeColor="text1"/>
          <w:sz w:val="20"/>
          <w:szCs w:val="20"/>
        </w:rPr>
        <w:t xml:space="preserve">(Cambridge: Cambridge University Press, 2017), 175-176, 218. The three missionaries who left the war zone to come to New York to make an appeal for Biafran victims were named as Fr. Anthony Byrne, Fr. Raymond Kennedy, and Fr. Fintan </w:t>
      </w:r>
      <w:proofErr w:type="spellStart"/>
      <w:r w:rsidRPr="009E594C">
        <w:rPr>
          <w:rFonts w:ascii="Garamond" w:hAnsi="Garamond" w:cs="Times New Roman"/>
          <w:color w:val="000000" w:themeColor="text1"/>
          <w:sz w:val="20"/>
          <w:szCs w:val="20"/>
        </w:rPr>
        <w:t>Kilbride</w:t>
      </w:r>
      <w:proofErr w:type="spellEnd"/>
      <w:r w:rsidRPr="009E594C">
        <w:rPr>
          <w:rFonts w:ascii="Garamond" w:hAnsi="Garamond" w:cs="Times New Roman"/>
          <w:color w:val="000000" w:themeColor="text1"/>
          <w:sz w:val="20"/>
          <w:szCs w:val="20"/>
        </w:rPr>
        <w:t>.</w:t>
      </w:r>
    </w:p>
  </w:footnote>
  <w:footnote w:id="41">
    <w:p w14:paraId="084AEBC2" w14:textId="7DA2C8D3" w:rsidR="00FD14B3" w:rsidRPr="009E594C" w:rsidRDefault="00FD14B3" w:rsidP="00FD14B3">
      <w:pPr>
        <w:pStyle w:val="NormalWeb"/>
        <w:spacing w:before="0" w:beforeAutospacing="0" w:after="0" w:afterAutospacing="0"/>
        <w:rPr>
          <w:rFonts w:ascii="Garamond" w:eastAsia="Times New Roman" w:hAnsi="Garamond"/>
          <w:color w:val="000000" w:themeColor="text1"/>
          <w:sz w:val="20"/>
          <w:szCs w:val="20"/>
        </w:rPr>
      </w:pPr>
      <w:r w:rsidRPr="009E594C">
        <w:rPr>
          <w:rStyle w:val="FootnoteReference"/>
          <w:rFonts w:ascii="Garamond" w:hAnsi="Garamond"/>
          <w:color w:val="000000" w:themeColor="text1"/>
          <w:sz w:val="20"/>
          <w:szCs w:val="20"/>
        </w:rPr>
        <w:footnoteRef/>
      </w:r>
      <w:r w:rsidRPr="009E594C">
        <w:rPr>
          <w:rFonts w:ascii="Garamond" w:hAnsi="Garamond"/>
          <w:color w:val="000000" w:themeColor="text1"/>
          <w:sz w:val="20"/>
          <w:szCs w:val="20"/>
        </w:rPr>
        <w:t xml:space="preserve"> </w:t>
      </w:r>
      <w:r w:rsidR="00525D86" w:rsidRPr="009E594C">
        <w:rPr>
          <w:rFonts w:ascii="Garamond" w:hAnsi="Garamond"/>
          <w:color w:val="000000" w:themeColor="text1"/>
          <w:sz w:val="20"/>
          <w:szCs w:val="20"/>
        </w:rPr>
        <w:t xml:space="preserve">Pope </w:t>
      </w:r>
      <w:r w:rsidRPr="009E594C">
        <w:rPr>
          <w:rFonts w:ascii="Garamond" w:eastAsia="Times New Roman" w:hAnsi="Garamond"/>
          <w:bCs/>
          <w:color w:val="000000" w:themeColor="text1"/>
          <w:sz w:val="20"/>
          <w:szCs w:val="20"/>
        </w:rPr>
        <w:t>Francis, ‘Address of His Holiness Pope Francis to Members of the Anglican-Roman Catholic International Commission (ARCIC) (30 April, 2015)’</w:t>
      </w:r>
      <w:r w:rsidR="00525D86" w:rsidRPr="009E594C">
        <w:rPr>
          <w:rFonts w:ascii="Garamond" w:eastAsia="Times New Roman" w:hAnsi="Garamond"/>
          <w:bCs/>
          <w:color w:val="000000" w:themeColor="text1"/>
          <w:sz w:val="20"/>
          <w:szCs w:val="20"/>
        </w:rPr>
        <w:t xml:space="preserve">, </w:t>
      </w:r>
      <w:hyperlink r:id="rId1" w:history="1">
        <w:r w:rsidR="00525D86" w:rsidRPr="009E594C">
          <w:rPr>
            <w:rStyle w:val="Hyperlink"/>
            <w:rFonts w:ascii="Garamond" w:eastAsia="Times New Roman" w:hAnsi="Garamond"/>
            <w:bCs/>
            <w:sz w:val="20"/>
            <w:szCs w:val="20"/>
          </w:rPr>
          <w:t>http://www.archivioradiovaticana.va/storico/2015/04/30/pope_meets_members_of_anglican-roman_catholic_commission/en-1140721</w:t>
        </w:r>
      </w:hyperlink>
      <w:r w:rsidR="00525D86" w:rsidRPr="009E594C">
        <w:rPr>
          <w:rFonts w:ascii="Garamond" w:eastAsia="Times New Roman" w:hAnsi="Garamond"/>
          <w:bCs/>
          <w:color w:val="000000" w:themeColor="text1"/>
          <w:sz w:val="20"/>
          <w:szCs w:val="20"/>
        </w:rPr>
        <w:t xml:space="preserve"> (accessed 25 January 2022).</w:t>
      </w:r>
      <w:r w:rsidRPr="009E594C">
        <w:rPr>
          <w:rFonts w:ascii="Garamond" w:eastAsia="Times New Roman" w:hAnsi="Garamond"/>
          <w:bCs/>
          <w:color w:val="000000" w:themeColor="text1"/>
          <w:sz w:val="20"/>
          <w:szCs w:val="20"/>
        </w:rPr>
        <w:t xml:space="preserve"> Here, the concept is not understood in terms of ecumenical martyrdom but in terms of ecumenical collaboration in the face of full-blown war.</w:t>
      </w:r>
    </w:p>
  </w:footnote>
  <w:footnote w:id="42">
    <w:p w14:paraId="3D432866"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The military took over mission schools by the </w:t>
      </w:r>
      <w:r w:rsidRPr="009E594C">
        <w:rPr>
          <w:rFonts w:ascii="Garamond" w:hAnsi="Garamond" w:cs="Times New Roman"/>
          <w:i/>
          <w:color w:val="000000" w:themeColor="text1"/>
          <w:sz w:val="20"/>
          <w:szCs w:val="20"/>
        </w:rPr>
        <w:t>Public Education Edict</w:t>
      </w:r>
      <w:r w:rsidRPr="009E594C">
        <w:rPr>
          <w:rFonts w:ascii="Garamond" w:hAnsi="Garamond" w:cs="Times New Roman"/>
          <w:color w:val="000000" w:themeColor="text1"/>
          <w:sz w:val="20"/>
          <w:szCs w:val="20"/>
        </w:rPr>
        <w:t xml:space="preserve"> of 1970. See, Federal Government of Nigeria, </w:t>
      </w:r>
      <w:r w:rsidRPr="009E594C">
        <w:rPr>
          <w:rFonts w:ascii="Garamond" w:hAnsi="Garamond" w:cs="Times New Roman"/>
          <w:i/>
          <w:color w:val="000000" w:themeColor="text1"/>
          <w:sz w:val="20"/>
          <w:szCs w:val="20"/>
        </w:rPr>
        <w:t xml:space="preserve">Second National Development Plan, 1970-1974: </w:t>
      </w:r>
      <w:proofErr w:type="spellStart"/>
      <w:r w:rsidRPr="009E594C">
        <w:rPr>
          <w:rFonts w:ascii="Garamond" w:hAnsi="Garamond" w:cs="Times New Roman"/>
          <w:i/>
          <w:color w:val="000000" w:themeColor="text1"/>
          <w:sz w:val="20"/>
          <w:szCs w:val="20"/>
        </w:rPr>
        <w:t>Programme</w:t>
      </w:r>
      <w:proofErr w:type="spellEnd"/>
      <w:r w:rsidRPr="009E594C">
        <w:rPr>
          <w:rFonts w:ascii="Garamond" w:hAnsi="Garamond" w:cs="Times New Roman"/>
          <w:i/>
          <w:color w:val="000000" w:themeColor="text1"/>
          <w:sz w:val="20"/>
          <w:szCs w:val="20"/>
        </w:rPr>
        <w:t xml:space="preserve"> of Post-war Reconstruction </w:t>
      </w:r>
      <w:r w:rsidRPr="009E594C">
        <w:rPr>
          <w:rFonts w:ascii="Garamond" w:hAnsi="Garamond" w:cs="Times New Roman"/>
          <w:color w:val="000000" w:themeColor="text1"/>
          <w:sz w:val="20"/>
          <w:szCs w:val="20"/>
        </w:rPr>
        <w:t xml:space="preserve">(Lagos: Federal Ministry of Information, 1970), 235. See also, Austin </w:t>
      </w:r>
      <w:proofErr w:type="spellStart"/>
      <w:r w:rsidRPr="009E594C">
        <w:rPr>
          <w:rFonts w:ascii="Garamond" w:hAnsi="Garamond" w:cs="Times New Roman"/>
          <w:color w:val="000000" w:themeColor="text1"/>
          <w:sz w:val="20"/>
          <w:szCs w:val="20"/>
        </w:rPr>
        <w:t>Ahanotu</w:t>
      </w:r>
      <w:proofErr w:type="spellEnd"/>
      <w:r w:rsidRPr="009E594C">
        <w:rPr>
          <w:rFonts w:ascii="Garamond" w:hAnsi="Garamond" w:cs="Times New Roman"/>
          <w:color w:val="000000" w:themeColor="text1"/>
          <w:sz w:val="20"/>
          <w:szCs w:val="20"/>
        </w:rPr>
        <w:t xml:space="preserve">, “The Nigerian Military and the Issue of State Control of Mission Schools,” </w:t>
      </w:r>
      <w:r w:rsidRPr="009E594C">
        <w:rPr>
          <w:rFonts w:ascii="Garamond" w:hAnsi="Garamond" w:cs="Times New Roman"/>
          <w:i/>
          <w:color w:val="000000" w:themeColor="text1"/>
          <w:sz w:val="20"/>
          <w:szCs w:val="20"/>
        </w:rPr>
        <w:t>Church History</w:t>
      </w:r>
      <w:r w:rsidRPr="009E594C">
        <w:rPr>
          <w:rFonts w:ascii="Garamond" w:hAnsi="Garamond" w:cs="Times New Roman"/>
          <w:color w:val="000000" w:themeColor="text1"/>
          <w:sz w:val="20"/>
          <w:szCs w:val="20"/>
        </w:rPr>
        <w:t xml:space="preserve"> 52, no.3 (1983): 333-344</w:t>
      </w:r>
    </w:p>
  </w:footnote>
  <w:footnote w:id="43">
    <w:p w14:paraId="5471B05D"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Nwosu, “Civil War Years,” 374.</w:t>
      </w:r>
    </w:p>
  </w:footnote>
  <w:footnote w:id="44">
    <w:p w14:paraId="2887BB6D"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vertAlign w:val="superscript"/>
        </w:rPr>
        <w:t xml:space="preserve"> </w:t>
      </w:r>
      <w:r w:rsidRPr="009E594C">
        <w:rPr>
          <w:rFonts w:ascii="Garamond" w:hAnsi="Garamond" w:cs="Times New Roman"/>
          <w:color w:val="000000" w:themeColor="text1"/>
          <w:sz w:val="20"/>
          <w:szCs w:val="20"/>
        </w:rPr>
        <w:t>It must be acknowledged that the divisiveness between Catholics and Anglicans in south-eastern Nigeria is not completely healed in the post-civil war period. The political climate in that part of the country continues to exhibit strong divide between Catholics and Anglicans.</w:t>
      </w:r>
    </w:p>
  </w:footnote>
  <w:footnote w:id="45">
    <w:p w14:paraId="7A2DFDB1"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Vitus C. Eke, “Development and Challenges of Ecumenical Movement in Nigeria,” </w:t>
      </w:r>
      <w:proofErr w:type="spellStart"/>
      <w:r w:rsidRPr="009E594C">
        <w:rPr>
          <w:rFonts w:ascii="Garamond" w:hAnsi="Garamond" w:cs="Times New Roman"/>
          <w:i/>
          <w:color w:val="000000" w:themeColor="text1"/>
          <w:sz w:val="20"/>
          <w:szCs w:val="20"/>
        </w:rPr>
        <w:t>Roczniki</w:t>
      </w:r>
      <w:proofErr w:type="spellEnd"/>
      <w:r w:rsidRPr="009E594C">
        <w:rPr>
          <w:rFonts w:ascii="Garamond" w:hAnsi="Garamond" w:cs="Times New Roman"/>
          <w:i/>
          <w:color w:val="000000" w:themeColor="text1"/>
          <w:sz w:val="20"/>
          <w:szCs w:val="20"/>
        </w:rPr>
        <w:t xml:space="preserve"> </w:t>
      </w:r>
      <w:proofErr w:type="spellStart"/>
      <w:r w:rsidRPr="009E594C">
        <w:rPr>
          <w:rFonts w:ascii="Garamond" w:hAnsi="Garamond" w:cs="Times New Roman"/>
          <w:i/>
          <w:color w:val="000000" w:themeColor="text1"/>
          <w:sz w:val="20"/>
          <w:szCs w:val="20"/>
        </w:rPr>
        <w:t>Teologiczne</w:t>
      </w:r>
      <w:proofErr w:type="spellEnd"/>
      <w:r w:rsidRPr="009E594C">
        <w:rPr>
          <w:rFonts w:ascii="Garamond" w:hAnsi="Garamond" w:cs="Times New Roman"/>
          <w:i/>
          <w:color w:val="000000" w:themeColor="text1"/>
          <w:sz w:val="20"/>
          <w:szCs w:val="20"/>
        </w:rPr>
        <w:t xml:space="preserve"> </w:t>
      </w:r>
      <w:r w:rsidRPr="009E594C">
        <w:rPr>
          <w:rFonts w:ascii="Garamond" w:hAnsi="Garamond" w:cs="Times New Roman"/>
          <w:color w:val="000000" w:themeColor="text1"/>
          <w:sz w:val="20"/>
          <w:szCs w:val="20"/>
        </w:rPr>
        <w:t>LXIII, no.7 (2016): 221-236; 229.</w:t>
      </w:r>
    </w:p>
  </w:footnote>
  <w:footnote w:id="46">
    <w:p w14:paraId="516A58E0" w14:textId="77777777" w:rsidR="00FD14B3" w:rsidRPr="009E594C" w:rsidRDefault="00FD14B3" w:rsidP="00FD14B3">
      <w:pPr>
        <w:pStyle w:val="FootnoteText"/>
        <w:spacing w:before="0" w:after="0" w:line="240" w:lineRule="auto"/>
        <w:rPr>
          <w:rFonts w:ascii="Garamond" w:hAnsi="Garamond" w:cs="Times New Roman"/>
          <w:color w:val="000000" w:themeColor="text1"/>
          <w:sz w:val="20"/>
          <w:szCs w:val="20"/>
        </w:rPr>
      </w:pPr>
      <w:r w:rsidRPr="009E594C">
        <w:rPr>
          <w:rStyle w:val="FootnoteReference"/>
          <w:rFonts w:ascii="Garamond" w:hAnsi="Garamond" w:cs="Times New Roman"/>
          <w:color w:val="000000" w:themeColor="text1"/>
          <w:sz w:val="20"/>
          <w:szCs w:val="20"/>
        </w:rPr>
        <w:footnoteRef/>
      </w:r>
      <w:r w:rsidRPr="009E594C">
        <w:rPr>
          <w:rFonts w:ascii="Garamond" w:hAnsi="Garamond" w:cs="Times New Roman"/>
          <w:color w:val="000000" w:themeColor="text1"/>
          <w:sz w:val="20"/>
          <w:szCs w:val="20"/>
        </w:rPr>
        <w:t xml:space="preserve"> Cf. Benjamin </w:t>
      </w:r>
      <w:proofErr w:type="spellStart"/>
      <w:r w:rsidRPr="009E594C">
        <w:rPr>
          <w:rFonts w:ascii="Garamond" w:hAnsi="Garamond" w:cs="Times New Roman"/>
          <w:color w:val="000000" w:themeColor="text1"/>
          <w:sz w:val="20"/>
          <w:szCs w:val="20"/>
        </w:rPr>
        <w:t>Diara</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Anglican Spirituality: The Practice of Balanced Christianity</w:t>
      </w:r>
      <w:r w:rsidRPr="009E594C">
        <w:rPr>
          <w:rFonts w:ascii="Garamond" w:hAnsi="Garamond" w:cs="Times New Roman"/>
          <w:color w:val="000000" w:themeColor="text1"/>
          <w:sz w:val="20"/>
          <w:szCs w:val="20"/>
        </w:rPr>
        <w:t xml:space="preserve"> (Enugu: Computer-edge Publishers, 2005); Hilary </w:t>
      </w:r>
      <w:proofErr w:type="spellStart"/>
      <w:r w:rsidRPr="009E594C">
        <w:rPr>
          <w:rFonts w:ascii="Garamond" w:hAnsi="Garamond" w:cs="Times New Roman"/>
          <w:color w:val="000000" w:themeColor="text1"/>
          <w:sz w:val="20"/>
          <w:szCs w:val="20"/>
        </w:rPr>
        <w:t>Achunike</w:t>
      </w:r>
      <w:proofErr w:type="spellEnd"/>
      <w:r w:rsidRPr="009E594C">
        <w:rPr>
          <w:rFonts w:ascii="Garamond" w:hAnsi="Garamond" w:cs="Times New Roman"/>
          <w:color w:val="000000" w:themeColor="text1"/>
          <w:sz w:val="20"/>
          <w:szCs w:val="20"/>
        </w:rPr>
        <w:t xml:space="preserve">, </w:t>
      </w:r>
      <w:r w:rsidRPr="009E594C">
        <w:rPr>
          <w:rFonts w:ascii="Garamond" w:hAnsi="Garamond" w:cs="Times New Roman"/>
          <w:i/>
          <w:color w:val="000000" w:themeColor="text1"/>
          <w:sz w:val="20"/>
          <w:szCs w:val="20"/>
        </w:rPr>
        <w:t>Dreams of Heaven: A Modern Response to Christianity in North-Western Igboland, 1970-1990</w:t>
      </w:r>
      <w:r w:rsidRPr="009E594C">
        <w:rPr>
          <w:rFonts w:ascii="Garamond" w:hAnsi="Garamond" w:cs="Times New Roman"/>
          <w:color w:val="000000" w:themeColor="text1"/>
          <w:sz w:val="20"/>
          <w:szCs w:val="20"/>
        </w:rPr>
        <w:t xml:space="preserve"> (Bloomington: </w:t>
      </w:r>
      <w:proofErr w:type="spellStart"/>
      <w:r w:rsidRPr="009E594C">
        <w:rPr>
          <w:rFonts w:ascii="Garamond" w:hAnsi="Garamond" w:cs="Times New Roman"/>
          <w:color w:val="000000" w:themeColor="text1"/>
          <w:sz w:val="20"/>
          <w:szCs w:val="20"/>
        </w:rPr>
        <w:t>iUniverse</w:t>
      </w:r>
      <w:proofErr w:type="spellEnd"/>
      <w:r w:rsidRPr="009E594C">
        <w:rPr>
          <w:rFonts w:ascii="Garamond" w:hAnsi="Garamond" w:cs="Times New Roman"/>
          <w:color w:val="000000" w:themeColor="text1"/>
          <w:sz w:val="20"/>
          <w:szCs w:val="20"/>
        </w:rPr>
        <w:t>,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4B3"/>
    <w:rsid w:val="00004AD8"/>
    <w:rsid w:val="00110540"/>
    <w:rsid w:val="00192EFD"/>
    <w:rsid w:val="002513A9"/>
    <w:rsid w:val="002D50B2"/>
    <w:rsid w:val="003036CF"/>
    <w:rsid w:val="00391EDD"/>
    <w:rsid w:val="003A5626"/>
    <w:rsid w:val="00411F4C"/>
    <w:rsid w:val="004A61A1"/>
    <w:rsid w:val="00504E3F"/>
    <w:rsid w:val="00525D86"/>
    <w:rsid w:val="00623466"/>
    <w:rsid w:val="0067057E"/>
    <w:rsid w:val="006E2ED2"/>
    <w:rsid w:val="007629B0"/>
    <w:rsid w:val="0084327D"/>
    <w:rsid w:val="009E594C"/>
    <w:rsid w:val="00A64D4E"/>
    <w:rsid w:val="00A717CC"/>
    <w:rsid w:val="00B74539"/>
    <w:rsid w:val="00D23562"/>
    <w:rsid w:val="00E66206"/>
    <w:rsid w:val="00E860C0"/>
    <w:rsid w:val="00FD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CF5014"/>
  <w15:chartTrackingRefBased/>
  <w15:docId w15:val="{6E9CD475-8427-3D40-B600-9A775B5B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line="264" w:lineRule="auto"/>
        <w:ind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14B3"/>
    <w:pPr>
      <w:spacing w:before="120" w:after="120" w:line="276" w:lineRule="auto"/>
      <w:ind w:firstLine="0"/>
    </w:pPr>
    <w:rPr>
      <w:rFonts w:ascii="Times New Roman" w:eastAsia="Calibri" w:hAnsi="Times New Roman"/>
      <w:color w:val="00000A"/>
      <w:sz w:val="22"/>
      <w:szCs w:val="22"/>
      <w:lang w:val="nl-BE"/>
    </w:rPr>
  </w:style>
  <w:style w:type="paragraph" w:styleId="Heading2">
    <w:name w:val="heading 2"/>
    <w:basedOn w:val="ListParagraph"/>
    <w:next w:val="Normal"/>
    <w:link w:val="Heading2Char"/>
    <w:autoRedefine/>
    <w:uiPriority w:val="9"/>
    <w:unhideWhenUsed/>
    <w:qFormat/>
    <w:rsid w:val="00A64D4E"/>
    <w:pPr>
      <w:spacing w:before="480" w:after="360"/>
      <w:ind w:left="0"/>
      <w:jc w:val="center"/>
      <w:outlineLvl w:val="1"/>
    </w:pPr>
    <w:rPr>
      <w:rFonts w:cs="Times New Roman"/>
      <w:color w:val="000000" w:themeColor="text1"/>
      <w:sz w:val="24"/>
      <w:szCs w:val="24"/>
      <w:lang w:val="en-US"/>
    </w:rPr>
  </w:style>
  <w:style w:type="paragraph" w:styleId="Heading3">
    <w:name w:val="heading 3"/>
    <w:basedOn w:val="Normal"/>
    <w:next w:val="Normal"/>
    <w:link w:val="Heading3Char"/>
    <w:autoRedefine/>
    <w:uiPriority w:val="9"/>
    <w:unhideWhenUsed/>
    <w:qFormat/>
    <w:rsid w:val="00A717CC"/>
    <w:pPr>
      <w:spacing w:before="0" w:after="0" w:line="252" w:lineRule="auto"/>
      <w:ind w:left="360"/>
      <w:jc w:val="left"/>
      <w:outlineLvl w:val="2"/>
    </w:pPr>
    <w:rPr>
      <w:rFonts w:ascii="Garamond" w:eastAsiaTheme="majorEastAsia" w:hAnsi="Garamond" w:cs="Times New Roman"/>
      <w:i/>
      <w:color w:val="000000" w:themeColor="tex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4D4E"/>
    <w:rPr>
      <w:rFonts w:ascii="Times New Roman" w:eastAsia="Calibri" w:hAnsi="Times New Roman" w:cs="Times New Roman"/>
      <w:color w:val="000000" w:themeColor="text1"/>
    </w:rPr>
  </w:style>
  <w:style w:type="character" w:customStyle="1" w:styleId="Heading3Char">
    <w:name w:val="Heading 3 Char"/>
    <w:basedOn w:val="DefaultParagraphFont"/>
    <w:link w:val="Heading3"/>
    <w:uiPriority w:val="9"/>
    <w:rsid w:val="00A717CC"/>
    <w:rPr>
      <w:rFonts w:ascii="Garamond" w:eastAsiaTheme="majorEastAsia" w:hAnsi="Garamond" w:cs="Times New Roman"/>
      <w:i/>
      <w:color w:val="000000" w:themeColor="text1"/>
    </w:rPr>
  </w:style>
  <w:style w:type="character" w:styleId="FootnoteReference">
    <w:name w:val="footnote reference"/>
    <w:basedOn w:val="DefaultParagraphFont"/>
    <w:uiPriority w:val="99"/>
    <w:unhideWhenUsed/>
    <w:qFormat/>
    <w:rsid w:val="00FD14B3"/>
    <w:rPr>
      <w:vertAlign w:val="superscript"/>
    </w:rPr>
  </w:style>
  <w:style w:type="character" w:customStyle="1" w:styleId="FootnoteTextChar">
    <w:name w:val="Footnote Text Char"/>
    <w:basedOn w:val="DefaultParagraphFont"/>
    <w:link w:val="FootnoteText"/>
    <w:uiPriority w:val="99"/>
    <w:qFormat/>
    <w:rsid w:val="00FD14B3"/>
    <w:rPr>
      <w:color w:val="00000A"/>
    </w:rPr>
  </w:style>
  <w:style w:type="paragraph" w:styleId="FootnoteText">
    <w:name w:val="footnote text"/>
    <w:basedOn w:val="Normal"/>
    <w:link w:val="FootnoteTextChar"/>
    <w:uiPriority w:val="99"/>
    <w:rsid w:val="00FD14B3"/>
    <w:rPr>
      <w:rFonts w:asciiTheme="minorHAnsi" w:eastAsiaTheme="minorHAnsi" w:hAnsiTheme="minorHAnsi"/>
      <w:sz w:val="24"/>
      <w:szCs w:val="24"/>
      <w:lang w:val="en-US"/>
    </w:rPr>
  </w:style>
  <w:style w:type="character" w:customStyle="1" w:styleId="FootnoteTextChar1">
    <w:name w:val="Footnote Text Char1"/>
    <w:basedOn w:val="DefaultParagraphFont"/>
    <w:uiPriority w:val="99"/>
    <w:semiHidden/>
    <w:rsid w:val="00FD14B3"/>
    <w:rPr>
      <w:rFonts w:ascii="Times New Roman" w:eastAsia="Calibri" w:hAnsi="Times New Roman"/>
      <w:color w:val="00000A"/>
      <w:sz w:val="20"/>
      <w:szCs w:val="20"/>
      <w:lang w:val="nl-BE"/>
    </w:rPr>
  </w:style>
  <w:style w:type="paragraph" w:styleId="NormalWeb">
    <w:name w:val="Normal (Web)"/>
    <w:basedOn w:val="Normal"/>
    <w:uiPriority w:val="99"/>
    <w:unhideWhenUsed/>
    <w:rsid w:val="00FD14B3"/>
    <w:pPr>
      <w:spacing w:before="100" w:beforeAutospacing="1" w:after="100" w:afterAutospacing="1" w:line="240" w:lineRule="auto"/>
    </w:pPr>
    <w:rPr>
      <w:rFonts w:eastAsia="Arial Unicode MS" w:cs="Times New Roman"/>
      <w:color w:val="auto"/>
      <w:sz w:val="24"/>
      <w:szCs w:val="24"/>
      <w:lang w:val="en-US"/>
    </w:rPr>
  </w:style>
  <w:style w:type="table" w:customStyle="1" w:styleId="GridTable1Light1">
    <w:name w:val="Grid Table 1 Light1"/>
    <w:basedOn w:val="TableNormal"/>
    <w:uiPriority w:val="46"/>
    <w:rsid w:val="00FD14B3"/>
    <w:pPr>
      <w:spacing w:line="240" w:lineRule="auto"/>
      <w:ind w:firstLine="0"/>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FD14B3"/>
    <w:pPr>
      <w:ind w:left="720"/>
      <w:contextualSpacing/>
    </w:pPr>
  </w:style>
  <w:style w:type="paragraph" w:styleId="BalloonText">
    <w:name w:val="Balloon Text"/>
    <w:basedOn w:val="Normal"/>
    <w:link w:val="BalloonTextChar"/>
    <w:uiPriority w:val="99"/>
    <w:semiHidden/>
    <w:unhideWhenUsed/>
    <w:rsid w:val="00E66206"/>
    <w:pPr>
      <w:spacing w:before="0"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E66206"/>
    <w:rPr>
      <w:rFonts w:ascii="Times New Roman" w:eastAsia="Calibri" w:hAnsi="Times New Roman" w:cs="Times New Roman"/>
      <w:color w:val="00000A"/>
      <w:sz w:val="18"/>
      <w:szCs w:val="18"/>
      <w:lang w:val="nl-BE"/>
    </w:rPr>
  </w:style>
  <w:style w:type="paragraph" w:styleId="Footer">
    <w:name w:val="footer"/>
    <w:basedOn w:val="Normal"/>
    <w:link w:val="FooterChar"/>
    <w:uiPriority w:val="99"/>
    <w:unhideWhenUsed/>
    <w:rsid w:val="00525D8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25D86"/>
    <w:rPr>
      <w:rFonts w:ascii="Times New Roman" w:eastAsia="Calibri" w:hAnsi="Times New Roman"/>
      <w:color w:val="00000A"/>
      <w:sz w:val="22"/>
      <w:szCs w:val="22"/>
      <w:lang w:val="nl-BE"/>
    </w:rPr>
  </w:style>
  <w:style w:type="character" w:styleId="PageNumber">
    <w:name w:val="page number"/>
    <w:basedOn w:val="DefaultParagraphFont"/>
    <w:uiPriority w:val="99"/>
    <w:semiHidden/>
    <w:unhideWhenUsed/>
    <w:rsid w:val="00525D86"/>
  </w:style>
  <w:style w:type="character" w:styleId="Hyperlink">
    <w:name w:val="Hyperlink"/>
    <w:basedOn w:val="DefaultParagraphFont"/>
    <w:uiPriority w:val="99"/>
    <w:unhideWhenUsed/>
    <w:rsid w:val="00525D86"/>
    <w:rPr>
      <w:color w:val="0563C1" w:themeColor="hyperlink"/>
      <w:u w:val="single"/>
    </w:rPr>
  </w:style>
  <w:style w:type="character" w:styleId="UnresolvedMention">
    <w:name w:val="Unresolved Mention"/>
    <w:basedOn w:val="DefaultParagraphFont"/>
    <w:uiPriority w:val="99"/>
    <w:semiHidden/>
    <w:unhideWhenUsed/>
    <w:rsid w:val="00525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490867">
      <w:bodyDiv w:val="1"/>
      <w:marLeft w:val="0"/>
      <w:marRight w:val="0"/>
      <w:marTop w:val="0"/>
      <w:marBottom w:val="0"/>
      <w:divBdr>
        <w:top w:val="none" w:sz="0" w:space="0" w:color="auto"/>
        <w:left w:val="none" w:sz="0" w:space="0" w:color="auto"/>
        <w:bottom w:val="none" w:sz="0" w:space="0" w:color="auto"/>
        <w:right w:val="none" w:sz="0" w:space="0" w:color="auto"/>
      </w:divBdr>
      <w:divsChild>
        <w:div w:id="1573546426">
          <w:marLeft w:val="0"/>
          <w:marRight w:val="0"/>
          <w:marTop w:val="0"/>
          <w:marBottom w:val="0"/>
          <w:divBdr>
            <w:top w:val="none" w:sz="0" w:space="0" w:color="auto"/>
            <w:left w:val="none" w:sz="0" w:space="0" w:color="auto"/>
            <w:bottom w:val="none" w:sz="0" w:space="0" w:color="auto"/>
            <w:right w:val="none" w:sz="0" w:space="0" w:color="auto"/>
          </w:divBdr>
          <w:divsChild>
            <w:div w:id="1848784622">
              <w:marLeft w:val="0"/>
              <w:marRight w:val="0"/>
              <w:marTop w:val="0"/>
              <w:marBottom w:val="0"/>
              <w:divBdr>
                <w:top w:val="none" w:sz="0" w:space="0" w:color="auto"/>
                <w:left w:val="none" w:sz="0" w:space="0" w:color="auto"/>
                <w:bottom w:val="none" w:sz="0" w:space="0" w:color="auto"/>
                <w:right w:val="none" w:sz="0" w:space="0" w:color="auto"/>
              </w:divBdr>
              <w:divsChild>
                <w:div w:id="69200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rchivioradiovaticana.va/storico/2015/04/30/pope_meets_members_of_anglican-roman_catholic_commission/en-1140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A233493F-CB3A-3F4B-B9B1-D9203A7F4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Pages>
  <Words>4358</Words>
  <Characters>24842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2022-01-24T00:29:00Z</dcterms:created>
  <dcterms:modified xsi:type="dcterms:W3CDTF">2022-01-31T11:00:00Z</dcterms:modified>
</cp:coreProperties>
</file>