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EC3" w:rsidRDefault="006C4EC3" w:rsidP="006C4EC3">
      <w:pPr>
        <w:pStyle w:val="DeBoeckTitrechapitre"/>
      </w:pPr>
      <w:bookmarkStart w:id="0" w:name="_Toc423095243"/>
      <w:bookmarkStart w:id="1" w:name="_Toc423095323"/>
      <w:r>
        <w:t>Chapitre 7 – Récits</w:t>
      </w:r>
      <w:r w:rsidRPr="003F48C4">
        <w:t xml:space="preserve"> concurrents à propos </w:t>
      </w:r>
      <w:r>
        <w:t>de la refondation de l’É</w:t>
      </w:r>
      <w:r w:rsidRPr="003F48C4">
        <w:t>cole</w:t>
      </w:r>
      <w:bookmarkEnd w:id="0"/>
      <w:bookmarkEnd w:id="1"/>
    </w:p>
    <w:p w:rsidR="006C4EC3" w:rsidRDefault="006C4EC3" w:rsidP="006C4EC3">
      <w:pPr>
        <w:pStyle w:val="DeBoeckauteurchapitre"/>
      </w:pPr>
      <w:r w:rsidRPr="008F2D4D">
        <w:t xml:space="preserve">Marie </w:t>
      </w:r>
      <w:proofErr w:type="spellStart"/>
      <w:r w:rsidRPr="008F2D4D">
        <w:t>Verhoeven</w:t>
      </w:r>
      <w:proofErr w:type="spellEnd"/>
      <w:r>
        <w:t xml:space="preserve">, Jean-Marie De </w:t>
      </w:r>
      <w:proofErr w:type="spellStart"/>
      <w:r>
        <w:t>Ketele</w:t>
      </w:r>
      <w:proofErr w:type="spellEnd"/>
      <w:r>
        <w:t xml:space="preserve">, Dominique </w:t>
      </w:r>
      <w:proofErr w:type="spellStart"/>
      <w:r>
        <w:t>Grootaers</w:t>
      </w:r>
      <w:proofErr w:type="spellEnd"/>
      <w:r>
        <w:t xml:space="preserve"> et Philippe </w:t>
      </w:r>
      <w:proofErr w:type="spellStart"/>
      <w:r>
        <w:t>Hambye</w:t>
      </w:r>
      <w:proofErr w:type="spellEnd"/>
      <w:r>
        <w:rPr>
          <w:rStyle w:val="Appelnotedebasdep"/>
          <w:i/>
        </w:rPr>
        <w:footnoteReference w:id="1"/>
      </w:r>
    </w:p>
    <w:p w:rsidR="006C4EC3" w:rsidRDefault="006C4EC3" w:rsidP="006C4EC3">
      <w:pPr>
        <w:pStyle w:val="DeBoeckcorpsdetexte"/>
        <w:rPr>
          <w:bCs/>
        </w:rPr>
      </w:pPr>
      <w:r w:rsidRPr="00A37265">
        <w:t xml:space="preserve">La </w:t>
      </w:r>
      <w:r w:rsidRPr="009C781C">
        <w:rPr>
          <w:bCs/>
        </w:rPr>
        <w:t>forme scolaire</w:t>
      </w:r>
      <w:r w:rsidRPr="00A21EB3">
        <w:rPr>
          <w:bCs/>
        </w:rPr>
        <w:t xml:space="preserve">, </w:t>
      </w:r>
      <w:r>
        <w:t xml:space="preserve">en tant qu’institution historique d’une forme </w:t>
      </w:r>
      <w:r w:rsidRPr="00A37265">
        <w:t>spécifique d’apprentissage</w:t>
      </w:r>
      <w:r>
        <w:t xml:space="preserve"> et de relation sociale </w:t>
      </w:r>
      <w:r w:rsidRPr="009C781C">
        <w:t>(</w:t>
      </w:r>
      <w:r>
        <w:rPr>
          <w:bCs/>
        </w:rPr>
        <w:t xml:space="preserve">Vincent, </w:t>
      </w:r>
      <w:proofErr w:type="spellStart"/>
      <w:r>
        <w:rPr>
          <w:bCs/>
        </w:rPr>
        <w:t>Lahire</w:t>
      </w:r>
      <w:proofErr w:type="spellEnd"/>
      <w:r>
        <w:rPr>
          <w:bCs/>
        </w:rPr>
        <w:t xml:space="preserve"> &amp;</w:t>
      </w:r>
      <w:r w:rsidRPr="009C781C">
        <w:rPr>
          <w:bCs/>
        </w:rPr>
        <w:t xml:space="preserve"> </w:t>
      </w:r>
      <w:proofErr w:type="spellStart"/>
      <w:r w:rsidRPr="009C781C">
        <w:rPr>
          <w:bCs/>
        </w:rPr>
        <w:t>Thin</w:t>
      </w:r>
      <w:proofErr w:type="spellEnd"/>
      <w:r w:rsidRPr="009C781C">
        <w:rPr>
          <w:bCs/>
        </w:rPr>
        <w:t>, 1991)</w:t>
      </w:r>
      <w:r w:rsidRPr="009C781C">
        <w:t>,</w:t>
      </w:r>
      <w:r>
        <w:t xml:space="preserve"> a tiré sa force des</w:t>
      </w:r>
      <w:r w:rsidRPr="00A37265">
        <w:t xml:space="preserve"> </w:t>
      </w:r>
      <w:r>
        <w:t>« </w:t>
      </w:r>
      <w:r w:rsidRPr="00A83522">
        <w:rPr>
          <w:bCs/>
        </w:rPr>
        <w:t>grands récits</w:t>
      </w:r>
      <w:r>
        <w:rPr>
          <w:bCs/>
        </w:rPr>
        <w:t> »</w:t>
      </w:r>
      <w:r w:rsidRPr="00A83522">
        <w:rPr>
          <w:bCs/>
        </w:rPr>
        <w:t xml:space="preserve"> de la modernité</w:t>
      </w:r>
      <w:r w:rsidRPr="00A21EB3">
        <w:rPr>
          <w:bCs/>
        </w:rPr>
        <w:t xml:space="preserve">. </w:t>
      </w:r>
      <w:r>
        <w:t xml:space="preserve">Invoquant la Raison, la Nation ou l’Humanité comme des garants universels et quasi sacralisés (Dubet, 2002 ; </w:t>
      </w:r>
      <w:proofErr w:type="spellStart"/>
      <w:r>
        <w:t>Prairat</w:t>
      </w:r>
      <w:proofErr w:type="spellEnd"/>
      <w:r>
        <w:t xml:space="preserve">, 2005), ces récits ont conféré à l’École une forte légitimité. Cette légitimité est désormais ébranlée. Les critiques nourries dont fait l’objet la forme scolaire (voir chapitre 1) nous renseignent sur l’intense travail de reconfiguration symbolique dont le champ scolaire est aujourd’hui le terrain. Sur la toile de fond d’un diagnostic de « crise de l’École », c’est tout un discours du </w:t>
      </w:r>
      <w:r w:rsidRPr="00574FA0">
        <w:rPr>
          <w:i/>
        </w:rPr>
        <w:t>changement nécessaire</w:t>
      </w:r>
      <w:r w:rsidRPr="00394C46">
        <w:t xml:space="preserve"> qui s’est</w:t>
      </w:r>
      <w:r>
        <w:t xml:space="preserve"> peu à peu installé,</w:t>
      </w:r>
      <w:r w:rsidRPr="00394C46">
        <w:t xml:space="preserve"> </w:t>
      </w:r>
      <w:r w:rsidRPr="00394C46">
        <w:rPr>
          <w:bCs/>
        </w:rPr>
        <w:t xml:space="preserve">souvent étayé, d’ailleurs, par </w:t>
      </w:r>
      <w:r>
        <w:rPr>
          <w:bCs/>
        </w:rPr>
        <w:t>la référence aux mutations</w:t>
      </w:r>
      <w:r w:rsidRPr="00394C46">
        <w:rPr>
          <w:bCs/>
        </w:rPr>
        <w:t xml:space="preserve"> technologique</w:t>
      </w:r>
      <w:r>
        <w:rPr>
          <w:bCs/>
        </w:rPr>
        <w:t>s</w:t>
      </w:r>
      <w:r w:rsidRPr="00394C46">
        <w:rPr>
          <w:bCs/>
        </w:rPr>
        <w:t xml:space="preserve"> </w:t>
      </w:r>
      <w:r>
        <w:rPr>
          <w:bCs/>
        </w:rPr>
        <w:t xml:space="preserve">(TIC) ou économiques (globalisation, compétitivité), présentées comme </w:t>
      </w:r>
      <w:r w:rsidRPr="00394C46">
        <w:rPr>
          <w:bCs/>
        </w:rPr>
        <w:t xml:space="preserve">les moteurs premiers </w:t>
      </w:r>
      <w:r>
        <w:rPr>
          <w:bCs/>
        </w:rPr>
        <w:t>d’une révolution éducative inéluctable.</w:t>
      </w:r>
    </w:p>
    <w:p w:rsidR="006C4EC3" w:rsidRPr="00DD7F00" w:rsidRDefault="006C4EC3" w:rsidP="006C4EC3">
      <w:pPr>
        <w:pStyle w:val="DeBoeckcorpsdetexte"/>
        <w:rPr>
          <w:bCs/>
        </w:rPr>
      </w:pPr>
      <w:r>
        <w:rPr>
          <w:bCs/>
        </w:rPr>
        <w:t>Face</w:t>
      </w:r>
      <w:r>
        <w:t xml:space="preserve"> à la puissance performative de ce discours</w:t>
      </w:r>
      <w:r w:rsidRPr="00883126">
        <w:t xml:space="preserve">, le chercheur </w:t>
      </w:r>
      <w:r>
        <w:t>se doit de garder</w:t>
      </w:r>
      <w:r w:rsidRPr="00883126">
        <w:t xml:space="preserve"> une </w:t>
      </w:r>
      <w:r>
        <w:t>distance</w:t>
      </w:r>
      <w:r w:rsidRPr="00883126">
        <w:t xml:space="preserve"> critique</w:t>
      </w:r>
      <w:r>
        <w:rPr>
          <w:bCs/>
        </w:rPr>
        <w:t>. L</w:t>
      </w:r>
      <w:r>
        <w:t xml:space="preserve">es orientations à donner à ce que Dubet (2002) nomme le </w:t>
      </w:r>
      <w:r w:rsidRPr="00AA1560">
        <w:rPr>
          <w:i/>
        </w:rPr>
        <w:t>programme institutionnel</w:t>
      </w:r>
      <w:r>
        <w:t xml:space="preserve"> de l’École (à savoir, les </w:t>
      </w:r>
      <w:r w:rsidRPr="00805D29">
        <w:rPr>
          <w:i/>
        </w:rPr>
        <w:t>principes</w:t>
      </w:r>
      <w:r>
        <w:t xml:space="preserve"> et </w:t>
      </w:r>
      <w:r w:rsidRPr="00E12129">
        <w:rPr>
          <w:i/>
        </w:rPr>
        <w:t>valeurs</w:t>
      </w:r>
      <w:r>
        <w:t xml:space="preserve"> qui la fondent ainsi que leur traduction concrète dans des </w:t>
      </w:r>
      <w:r>
        <w:rPr>
          <w:i/>
        </w:rPr>
        <w:t>formes organisationnelles</w:t>
      </w:r>
      <w:r>
        <w:t xml:space="preserve"> et des </w:t>
      </w:r>
      <w:r w:rsidRPr="00483FF9">
        <w:t xml:space="preserve">dispositifs de </w:t>
      </w:r>
      <w:r w:rsidRPr="00E12129">
        <w:rPr>
          <w:i/>
        </w:rPr>
        <w:t>socialisation</w:t>
      </w:r>
      <w:r>
        <w:t xml:space="preserve">) ne sont ni naturelles, ni inéluctables. Elles sont aujourd’hui au cœur d’un débat sociétal majeur. Elles </w:t>
      </w:r>
      <w:r>
        <w:rPr>
          <w:bCs/>
        </w:rPr>
        <w:t>font</w:t>
      </w:r>
      <w:r w:rsidRPr="00883126">
        <w:rPr>
          <w:bCs/>
        </w:rPr>
        <w:t xml:space="preserve"> l’objet de luttes symboliques </w:t>
      </w:r>
      <w:r>
        <w:rPr>
          <w:bCs/>
        </w:rPr>
        <w:t>entre acteurs aux projets et aux intérêts divergents</w:t>
      </w:r>
      <w:r>
        <w:t>. Ce texte se propose de</w:t>
      </w:r>
      <w:r w:rsidRPr="00A37265">
        <w:t xml:space="preserve"> </w:t>
      </w:r>
      <w:r w:rsidRPr="00805D29">
        <w:rPr>
          <w:bCs/>
        </w:rPr>
        <w:t>cartographier le débat entre quelques-uns des</w:t>
      </w:r>
      <w:r>
        <w:rPr>
          <w:bCs/>
        </w:rPr>
        <w:t xml:space="preserve"> principaux</w:t>
      </w:r>
      <w:r w:rsidRPr="00805D29">
        <w:rPr>
          <w:bCs/>
        </w:rPr>
        <w:t> </w:t>
      </w:r>
      <w:r>
        <w:rPr>
          <w:bCs/>
        </w:rPr>
        <w:t>récits</w:t>
      </w:r>
      <w:r w:rsidRPr="00A37265">
        <w:t xml:space="preserve"> </w:t>
      </w:r>
      <w:r>
        <w:t>ou « métarécits</w:t>
      </w:r>
      <w:r>
        <w:rPr>
          <w:rStyle w:val="Appelnotedebasdep"/>
        </w:rPr>
        <w:footnoteReference w:id="2"/>
      </w:r>
      <w:r>
        <w:t xml:space="preserve"> » </w:t>
      </w:r>
      <w:r w:rsidRPr="00A37265">
        <w:t>qui se disputent aujourd’hui le</w:t>
      </w:r>
      <w:r>
        <w:t xml:space="preserve"> terrain de la refondation du </w:t>
      </w:r>
      <w:r w:rsidRPr="00A37265">
        <w:t>programme inst</w:t>
      </w:r>
      <w:r>
        <w:t>itutionnel</w:t>
      </w:r>
      <w:r w:rsidRPr="00A37265">
        <w:t xml:space="preserve"> de l’</w:t>
      </w:r>
      <w:r>
        <w:t>École, en se penchant sur le discours de trois acteurs clés : le patronat et les acteurs associés au monde de l’entreprise, les organisations internationales et différentes figures d’un « discours pédagogique alternatif » centré sur l’enfant.</w:t>
      </w:r>
    </w:p>
    <w:p w:rsidR="006C4EC3" w:rsidRDefault="006C4EC3" w:rsidP="006C4EC3">
      <w:pPr>
        <w:pStyle w:val="DeBoeckcorpsdetexte"/>
      </w:pPr>
      <w:r>
        <w:t xml:space="preserve">Ce chapitre s’articulera en cinq points : après avoir présenté la grille d’analyse qui nous permettra de faire dialoguer ces métarécits, (1) nous reconstruirons le portrait « typifié » du métarécit proposé par les acteurs les plus visibles du monde patronal, (2) par les grandes institutions internationales (OCDE, UE et </w:t>
      </w:r>
      <w:r w:rsidRPr="00C86DA9">
        <w:t>Unesco</w:t>
      </w:r>
      <w:r>
        <w:t>) et (3) par les promoteurs d’une pédagogie « alternative ». (4) En conclusion, nous tenterons de dégager les points de continuité et de tension entre ces récits, en mettant au jour les différents ressorts de la critique de la forme scolaire.</w:t>
      </w:r>
    </w:p>
    <w:p w:rsidR="006C4EC3" w:rsidRPr="007A3988" w:rsidRDefault="006C4EC3" w:rsidP="006C4EC3">
      <w:pPr>
        <w:pStyle w:val="DeBoecksous-titre1"/>
      </w:pPr>
      <w:bookmarkStart w:id="2" w:name="_Toc423095324"/>
      <w:r>
        <w:lastRenderedPageBreak/>
        <w:t>1.</w:t>
      </w:r>
      <w:r>
        <w:tab/>
      </w:r>
      <w:r>
        <w:tab/>
        <w:t>La</w:t>
      </w:r>
      <w:r w:rsidRPr="007A3988">
        <w:t xml:space="preserve"> grille de lecture</w:t>
      </w:r>
      <w:r>
        <w:t> :</w:t>
      </w:r>
      <w:r w:rsidRPr="007A3988">
        <w:t xml:space="preserve"> programme institutionnel, forme scolaire et gouvernance</w:t>
      </w:r>
      <w:bookmarkEnd w:id="2"/>
    </w:p>
    <w:p w:rsidR="006C4EC3" w:rsidRDefault="006C4EC3" w:rsidP="006C4EC3">
      <w:pPr>
        <w:pStyle w:val="DeBoeckcorpsdetexte"/>
      </w:pPr>
      <w:r>
        <w:t>Notre grille analytique articule trois dimensions. La définition même d’un programme institutionnel en constituera le cœur. Elle sera complétée par deux autres axes, l’un concernant la conception de la « forme scolaire » pensée par chaque métarécit, et l'autre les propositions en matière de gouvernance de l’éducation.</w:t>
      </w:r>
    </w:p>
    <w:p w:rsidR="006C4EC3" w:rsidRDefault="006C4EC3" w:rsidP="006C4EC3">
      <w:pPr>
        <w:pStyle w:val="DeBoeckcorpsdetexte"/>
      </w:pPr>
      <w:r>
        <w:t xml:space="preserve">Rappelons que la notion de </w:t>
      </w:r>
      <w:r w:rsidRPr="005A0714">
        <w:t>programme institutionnel</w:t>
      </w:r>
      <w:r w:rsidRPr="00A21EB3">
        <w:rPr>
          <w:rStyle w:val="Appelnotedebasdep"/>
        </w:rPr>
        <w:footnoteReference w:id="3"/>
      </w:r>
      <w:r>
        <w:t> désigne une « </w:t>
      </w:r>
      <w:r w:rsidRPr="00A07903">
        <w:t xml:space="preserve">matrice </w:t>
      </w:r>
      <w:r>
        <w:t xml:space="preserve">particulière de travail </w:t>
      </w:r>
      <w:r w:rsidRPr="002B786E">
        <w:t>sur autrui</w:t>
      </w:r>
      <w:r>
        <w:t> »</w:t>
      </w:r>
      <w:r w:rsidRPr="002B786E">
        <w:t xml:space="preserve"> (Dubet, 2002, p.13, p. 26)</w:t>
      </w:r>
      <w:r>
        <w:t>. Cette matrice</w:t>
      </w:r>
      <w:r w:rsidRPr="002B786E">
        <w:t xml:space="preserve"> prend appui sur des principes de sens qui orientent les</w:t>
      </w:r>
      <w:r>
        <w:t xml:space="preserve"> finalités du travail éducatif</w:t>
      </w:r>
      <w:r w:rsidRPr="00A07903">
        <w:t xml:space="preserve"> </w:t>
      </w:r>
      <w:r>
        <w:t>et</w:t>
      </w:r>
      <w:r w:rsidRPr="00A07903">
        <w:t xml:space="preserve"> la socialisation des individus, </w:t>
      </w:r>
      <w:r>
        <w:t xml:space="preserve">en incarnant ces principes dans des organisations, des rôles et des règles. Reformulant une grille d’analyse proposée par Dubet, </w:t>
      </w:r>
      <w:proofErr w:type="spellStart"/>
      <w:r>
        <w:t>Grootaers</w:t>
      </w:r>
      <w:proofErr w:type="spellEnd"/>
      <w:r>
        <w:t xml:space="preserve"> (2014a) suggère de décliner le concept de programme institutionnel de l’École autour de trois « rôles » de l’institution scolaire : (1) la </w:t>
      </w:r>
      <w:r w:rsidRPr="000E4795">
        <w:rPr>
          <w:i/>
        </w:rPr>
        <w:t>fonction d’éducation ou de formation du sujet</w:t>
      </w:r>
      <w:r w:rsidRPr="000E4795">
        <w:t xml:space="preserve">, répondant à l’enjeu de la formation du </w:t>
      </w:r>
      <w:r>
        <w:t>« </w:t>
      </w:r>
      <w:r w:rsidRPr="000E4795">
        <w:t>je</w:t>
      </w:r>
      <w:r>
        <w:t> »</w:t>
      </w:r>
      <w:r w:rsidRPr="000E4795">
        <w:t>, préfigurant le</w:t>
      </w:r>
      <w:r>
        <w:t xml:space="preserve"> sujet </w:t>
      </w:r>
      <w:r w:rsidRPr="000E4795">
        <w:t xml:space="preserve">à </w:t>
      </w:r>
      <w:r>
        <w:t>construire</w:t>
      </w:r>
      <w:r w:rsidRPr="000E4795">
        <w:t xml:space="preserve"> par le travail éducatif</w:t>
      </w:r>
      <w:r>
        <w:t> ;</w:t>
      </w:r>
      <w:r w:rsidRPr="000E4795">
        <w:t xml:space="preserve"> </w:t>
      </w:r>
      <w:r>
        <w:t xml:space="preserve">(2) </w:t>
      </w:r>
      <w:r w:rsidRPr="000E4795">
        <w:t>la</w:t>
      </w:r>
      <w:r>
        <w:t xml:space="preserve"> </w:t>
      </w:r>
      <w:r w:rsidRPr="000E4795">
        <w:rPr>
          <w:i/>
        </w:rPr>
        <w:t>fonction de socialisation</w:t>
      </w:r>
      <w:r w:rsidRPr="000E4795">
        <w:t xml:space="preserve"> ou </w:t>
      </w:r>
      <w:r w:rsidRPr="000E4795">
        <w:rPr>
          <w:i/>
        </w:rPr>
        <w:t>d’intégration sociale</w:t>
      </w:r>
      <w:r w:rsidRPr="000E4795">
        <w:t xml:space="preserve">, visant l’inscription du sujet dans un </w:t>
      </w:r>
      <w:r>
        <w:t>« </w:t>
      </w:r>
      <w:r w:rsidRPr="000E4795">
        <w:t>nous</w:t>
      </w:r>
      <w:r>
        <w:t> »</w:t>
      </w:r>
      <w:r w:rsidRPr="000E4795">
        <w:t xml:space="preserve">, </w:t>
      </w:r>
      <w:r>
        <w:t>dans une communauté</w:t>
      </w:r>
      <w:r w:rsidRPr="000E4795">
        <w:t xml:space="preserve">; cette fonction </w:t>
      </w:r>
      <w:r>
        <w:t>requiert</w:t>
      </w:r>
      <w:r w:rsidRPr="000E4795">
        <w:t xml:space="preserve"> un </w:t>
      </w:r>
      <w:r w:rsidRPr="000E4795">
        <w:rPr>
          <w:i/>
        </w:rPr>
        <w:t>travail culturel de production d’un acteur socialisé</w:t>
      </w:r>
      <w:r w:rsidRPr="000E4795">
        <w:t xml:space="preserve">, </w:t>
      </w:r>
      <w:r>
        <w:t xml:space="preserve">permettant son inscription symbolique dans un cadre collectif; (3) la </w:t>
      </w:r>
      <w:r>
        <w:rPr>
          <w:i/>
        </w:rPr>
        <w:t>fo</w:t>
      </w:r>
      <w:r w:rsidRPr="000E4795">
        <w:rPr>
          <w:i/>
        </w:rPr>
        <w:t>nction d’utilité</w:t>
      </w:r>
      <w:r w:rsidRPr="000E4795">
        <w:t xml:space="preserve"> (production de compétences</w:t>
      </w:r>
      <w:r>
        <w:t xml:space="preserve"> différenciées</w:t>
      </w:r>
      <w:r w:rsidRPr="000E4795">
        <w:t xml:space="preserve">), basée sur une </w:t>
      </w:r>
      <w:r w:rsidRPr="000E4795">
        <w:rPr>
          <w:i/>
        </w:rPr>
        <w:t xml:space="preserve">logique </w:t>
      </w:r>
      <w:r>
        <w:rPr>
          <w:i/>
        </w:rPr>
        <w:t>« </w:t>
      </w:r>
      <w:r w:rsidRPr="000E4795">
        <w:rPr>
          <w:i/>
        </w:rPr>
        <w:t>instrumentale</w:t>
      </w:r>
      <w:r>
        <w:t> » :</w:t>
      </w:r>
      <w:r w:rsidRPr="000E4795">
        <w:t xml:space="preserve"> </w:t>
      </w:r>
      <w:r>
        <w:t>l’École s’apparente alors à un ap</w:t>
      </w:r>
      <w:r w:rsidRPr="000E4795">
        <w:t>pareil de formation</w:t>
      </w:r>
      <w:r>
        <w:t xml:space="preserve"> de </w:t>
      </w:r>
      <w:r w:rsidRPr="000E4795">
        <w:t xml:space="preserve">compétences </w:t>
      </w:r>
      <w:r>
        <w:t>socialement utiles, organisant la distribution des talents et aptitudes en positions scolaires puis en places sociales. Dubet pose que, si l’École de la première modernité semblait avoir réconcilié ces trois fonctions, elles sont aujourd’hui plus que jamais en tension.</w:t>
      </w:r>
    </w:p>
    <w:p w:rsidR="006C4EC3" w:rsidRDefault="006C4EC3" w:rsidP="006C4EC3">
      <w:pPr>
        <w:pStyle w:val="DeBoeckcorpsdetexte"/>
      </w:pPr>
      <w:r>
        <w:t>Dans ce texte, nous chercherons à analyser la manière dont différents métarécits définissent, mais aussi articulent ou pondèrent, ces trois fonctions. Ainsi, si tout le monde s’accorde, du moins jusqu’à un certain point, sur la nécessaire contribution de l’École à la production de compétences différenciées, préfigurant la division sociale du travail et des rôles sociaux, reste à savoir sur quels principes cette différenciation s’opère, et au nom de quelle représentation imaginaire de la société (future) ou du « marché » elle est justifiée. Concernant la fonction d’intégration sociale, on se demandera à quel « nous », à quel « cadre collectif » elle est référée. E</w:t>
      </w:r>
      <w:bookmarkStart w:id="3" w:name="_GoBack"/>
      <w:bookmarkEnd w:id="3"/>
      <w:r>
        <w:t>nfin, concernant la fonction éducative, nous décrirons la figure du sujet à former présente dans ces récits : vise-t-on à produire un sujet émancipé, un sujet « authentique » ou encore d’un sujet « employable », entrepreneur de sa propre vie ?</w:t>
      </w:r>
    </w:p>
    <w:p w:rsidR="006C4EC3" w:rsidRDefault="006C4EC3" w:rsidP="006C4EC3">
      <w:pPr>
        <w:pStyle w:val="DeBoeckcorpsdetexte"/>
      </w:pPr>
      <w:r w:rsidRPr="00B029D3">
        <w:t xml:space="preserve">Deux autres dimensions complèteront notre grille. D’une part, </w:t>
      </w:r>
      <w:r>
        <w:t>la</w:t>
      </w:r>
      <w:r w:rsidRPr="00B029D3">
        <w:t xml:space="preserve"> forme scolaire</w:t>
      </w:r>
      <w:r>
        <w:t> :</w:t>
      </w:r>
      <w:r w:rsidRPr="00B029D3">
        <w:t xml:space="preserve"> au regard du programme</w:t>
      </w:r>
      <w:r>
        <w:t xml:space="preserve"> institutionnel proposé, quelles recommandations sont opérées sur le plan des savoirs, de la relation pédagogique ou des dispositifs concrets et organisationnels d’apprentissage ? D’autre part, la question de la </w:t>
      </w:r>
      <w:r w:rsidRPr="00B029D3">
        <w:t>gouvernance</w:t>
      </w:r>
      <w:r>
        <w:t xml:space="preserve"> de l’éducation : à qui appartient-il de définir et d’orienter les finalités de l’école et son organisation ? Quels en sont les opérateurs légitimes ?</w:t>
      </w:r>
    </w:p>
    <w:p w:rsidR="006C4EC3" w:rsidRDefault="006C4EC3" w:rsidP="006C4EC3">
      <w:pPr>
        <w:pStyle w:val="DeBoeckcorpsdetexte"/>
      </w:pPr>
      <w:r>
        <w:t>De manière générale, pour</w:t>
      </w:r>
      <w:r w:rsidRPr="00B029D3">
        <w:t xml:space="preserve"> chacun des méta</w:t>
      </w:r>
      <w:r>
        <w:t>récits</w:t>
      </w:r>
      <w:r w:rsidRPr="00B029D3">
        <w:t xml:space="preserve">, nous </w:t>
      </w:r>
      <w:r>
        <w:t>chercherons à identifier</w:t>
      </w:r>
      <w:r w:rsidRPr="00B029D3">
        <w:t xml:space="preserve"> le diagnostic</w:t>
      </w:r>
      <w:r>
        <w:t xml:space="preserve"> de crise qui est </w:t>
      </w:r>
      <w:r w:rsidRPr="00B029D3">
        <w:t xml:space="preserve">formulé, ainsi que les </w:t>
      </w:r>
      <w:r>
        <w:t>« </w:t>
      </w:r>
      <w:r w:rsidRPr="00B029D3">
        <w:t>remèdes</w:t>
      </w:r>
      <w:r>
        <w:t> »</w:t>
      </w:r>
      <w:r w:rsidRPr="00B029D3">
        <w:t xml:space="preserve"> envisagés</w:t>
      </w:r>
      <w:r>
        <w:t>.</w:t>
      </w:r>
    </w:p>
    <w:p w:rsidR="006C4EC3" w:rsidRPr="00C668FD" w:rsidRDefault="006C4EC3" w:rsidP="006C4EC3">
      <w:pPr>
        <w:pStyle w:val="DeBoecksous-titre1"/>
      </w:pPr>
      <w:bookmarkStart w:id="4" w:name="_Toc423095325"/>
      <w:r>
        <w:lastRenderedPageBreak/>
        <w:t>2.</w:t>
      </w:r>
      <w:r>
        <w:tab/>
      </w:r>
      <w:r>
        <w:tab/>
      </w:r>
      <w:r w:rsidRPr="000C6EF1">
        <w:t>Le récit du monde patronal</w:t>
      </w:r>
      <w:r>
        <w:t> :</w:t>
      </w:r>
      <w:r w:rsidRPr="000C6EF1">
        <w:t xml:space="preserve"> la sphère éducative captive de la sphère productive</w:t>
      </w:r>
      <w:bookmarkEnd w:id="4"/>
    </w:p>
    <w:p w:rsidR="006C4EC3" w:rsidRDefault="006C4EC3" w:rsidP="006C4EC3">
      <w:pPr>
        <w:pStyle w:val="DeBoeckcorpsdetexte"/>
      </w:pPr>
      <w:r>
        <w:t>Soulignons en préalable la visibilité croissante du monde économique dans le débat public sur l’École. Le nombre d’interventions émanant de ces acteurs, mais aussi leur remarquable capacité à faire entendre leur voix, ne peut que frapper l’observateur des médias. En s’exprimant dans ce débat, le monde marchand se pose ainsi comme un acteur légitime et apte à participer à la définition des orientations de l’éducation – et est, de ce fait, de plus en plus perçu comme tel. Les acteurs qui se font entendre, la plupart du temps issus des grandes entreprises, des grandes banques ou des organisations patronales, ne représentent cependant qu'une frange du monde économique. C’est pourquoi</w:t>
      </w:r>
      <w:r w:rsidRPr="00C668FD">
        <w:t xml:space="preserve"> nous avons choisi d’exclure les positions, probablement différentes, adoptées par les petites et moyennes entreprises en matière d’éducation</w:t>
      </w:r>
      <w:r>
        <w:t>.</w:t>
      </w:r>
    </w:p>
    <w:p w:rsidR="006C4EC3" w:rsidRDefault="006C4EC3" w:rsidP="006C4EC3">
      <w:pPr>
        <w:pStyle w:val="DeBoeckcorpsdetexte"/>
      </w:pPr>
      <w:r>
        <w:t xml:space="preserve">S’appuyant sur l’analyse critique d’un corpus de prises de position publiques émanant de personnes liées à ce monde patronal et à ses organisations représentatives (BECI, FEB, UWE, banques privées, économistes et lobbys liés aux entreprises, etc.), parues dans les médias écrits ou radiophoniques en CFWB (Le Soir, Métro, la Première notamment), Philippe </w:t>
      </w:r>
      <w:proofErr w:type="spellStart"/>
      <w:r>
        <w:t>Hambye</w:t>
      </w:r>
      <w:proofErr w:type="spellEnd"/>
      <w:r>
        <w:t xml:space="preserve"> propose une reconstruction du métarécit qui sous-tend ces prises de position.</w:t>
      </w:r>
    </w:p>
    <w:p w:rsidR="006C4EC3" w:rsidRDefault="006C4EC3" w:rsidP="006C4EC3">
      <w:pPr>
        <w:pStyle w:val="DeBoeckcorpsdetexte"/>
      </w:pPr>
      <w:r>
        <w:t xml:space="preserve">Le </w:t>
      </w:r>
      <w:r w:rsidRPr="00902CCA">
        <w:t>diagnostic</w:t>
      </w:r>
      <w:r>
        <w:t xml:space="preserve"> posé par ces acteurs s’arc-boute sur une forte dénonciation de l’École. Celle-ci est déclarée « obsolète » et « inadaptée », et cette inadéquation est essentiellement rapportée à la sphère économique : le « problème » de l’École, c’est d’abord son incapacité à former des individus aptes à répondre aux défis de l’entreprise et aux profils recherchés sur le marché du travail. Et ce, soit parce que les formations dispensées sont trop théoriques, et donc éloignées des « réalités de l’entreprise » ; soit parce que l’École ne produit pas suffisamment de profils « utiles » sur le marché. Parmi d’autres, une prise de position prise par un dirigeant de DSK Belgique souligne cette inadéquation aux besoins de l’entreprise : </w:t>
      </w:r>
      <w:r w:rsidRPr="006231B6">
        <w:t>« </w:t>
      </w:r>
      <w:r w:rsidRPr="006231B6">
        <w:rPr>
          <w:iCs/>
        </w:rPr>
        <w:t>La pire des choses</w:t>
      </w:r>
      <w:r w:rsidRPr="006231B6">
        <w:t xml:space="preserve">, </w:t>
      </w:r>
      <w:r w:rsidRPr="006231B6">
        <w:rPr>
          <w:iCs/>
        </w:rPr>
        <w:t>c’est de ne pas trouver le bon talent. Or, il y a une inadéquation entre la formation et les besoins des entreprises »</w:t>
      </w:r>
      <w:r>
        <w:rPr>
          <w:iCs/>
        </w:rPr>
        <w:t xml:space="preserve"> </w:t>
      </w:r>
      <w:r>
        <w:t>(</w:t>
      </w:r>
      <w:r w:rsidRPr="005868BC">
        <w:rPr>
          <w:i/>
        </w:rPr>
        <w:t>Le Soir</w:t>
      </w:r>
      <w:r>
        <w:t>, 26-27/04/2014, p. 14-15)</w:t>
      </w:r>
      <w:r>
        <w:rPr>
          <w:iCs/>
        </w:rPr>
        <w:t xml:space="preserve">. </w:t>
      </w:r>
      <w:r w:rsidRPr="004846BE">
        <w:rPr>
          <w:i/>
        </w:rPr>
        <w:t>In fine</w:t>
      </w:r>
      <w:r>
        <w:t xml:space="preserve">, l’École ne favoriserait pas suffisamment la mise à l’emploi des jeunes. En miroir, l’enseignement est présenté comme un pilier de la solution aux problèmes de l’emploi : ainsi, </w:t>
      </w:r>
      <w:proofErr w:type="spellStart"/>
      <w:r>
        <w:t>J.-Cl</w:t>
      </w:r>
      <w:proofErr w:type="spellEnd"/>
      <w:r>
        <w:t xml:space="preserve">. Daoust, </w:t>
      </w:r>
      <w:r w:rsidRPr="00837780">
        <w:t>patron</w:t>
      </w:r>
      <w:r>
        <w:t xml:space="preserve"> de BECI, </w:t>
      </w:r>
      <w:r w:rsidRPr="003F10DE">
        <w:t>point</w:t>
      </w:r>
      <w:r>
        <w:t xml:space="preserve">ait en 2013 que </w:t>
      </w:r>
      <w:r w:rsidRPr="006231B6">
        <w:t>« l’enseignement était une priorité absolue pour sortir l’emploi bruxellois de l’ornière »</w:t>
      </w:r>
      <w:r>
        <w:rPr>
          <w:i/>
        </w:rPr>
        <w:t xml:space="preserve"> </w:t>
      </w:r>
      <w:r w:rsidRPr="00837780">
        <w:t>(</w:t>
      </w:r>
      <w:r w:rsidRPr="003F10DE">
        <w:rPr>
          <w:i/>
          <w:iCs/>
        </w:rPr>
        <w:t>Le Soir</w:t>
      </w:r>
      <w:r>
        <w:rPr>
          <w:iCs/>
        </w:rPr>
        <w:t xml:space="preserve">, 4-5/05/ 2013, p. 27). </w:t>
      </w:r>
      <w:r>
        <w:t>Ces éléments témoignent de la prédominance de la fonction d’utilité (économique) comme base d’évaluation de l’institution scolaire, au détriment des fonctions de socialisation et de formation du sujet. Pour autant, cette vision n’est jamais envisagée comme une conception particulière, propre au patronat, qui pourrait s’opposer à d’autres. Les injonctions fréquentes au « dialogue nécessaire »</w:t>
      </w:r>
      <w:r w:rsidRPr="008C06F7">
        <w:t xml:space="preserve"> ou </w:t>
      </w:r>
      <w:r>
        <w:t>aux</w:t>
      </w:r>
      <w:r w:rsidRPr="008C06F7">
        <w:t xml:space="preserve"> </w:t>
      </w:r>
      <w:r>
        <w:t>« </w:t>
      </w:r>
      <w:r w:rsidRPr="008C06F7">
        <w:t>ponts</w:t>
      </w:r>
      <w:r>
        <w:t> »</w:t>
      </w:r>
      <w:r w:rsidRPr="008C06F7">
        <w:t xml:space="preserve"> à consolider entre l’</w:t>
      </w:r>
      <w:r>
        <w:t>École</w:t>
      </w:r>
      <w:r w:rsidRPr="008C06F7">
        <w:t xml:space="preserve"> et l’entreprise </w:t>
      </w:r>
      <w:r>
        <w:t>laissent au contraire penser que la sphère éducative et</w:t>
      </w:r>
      <w:r w:rsidRPr="008C06F7">
        <w:t xml:space="preserve"> la sphère productive</w:t>
      </w:r>
      <w:r>
        <w:t xml:space="preserve"> sont unies dans un même dessein</w:t>
      </w:r>
      <w:r w:rsidRPr="008C06F7">
        <w:t xml:space="preserve">. </w:t>
      </w:r>
      <w:r>
        <w:t xml:space="preserve">Cette analyse rejoint l’argumentaire développé par le sociologue français Christian Laval et ses collègues (2012) lorsqu’ils affirment que l’École, de plus en plus innervée par des logiques hétéronomes (liées au modèle néolibéral), </w:t>
      </w:r>
      <w:r w:rsidRPr="006231B6">
        <w:rPr>
          <w:i/>
        </w:rPr>
        <w:t>« ne cherche même plus à produire l’illusion de son autonomie »</w:t>
      </w:r>
      <w:r>
        <w:t xml:space="preserve"> (p.8).</w:t>
      </w:r>
    </w:p>
    <w:p w:rsidR="006C4EC3" w:rsidRDefault="006C4EC3" w:rsidP="006C4EC3">
      <w:pPr>
        <w:pStyle w:val="DeBoeckcorpsdetexte"/>
      </w:pPr>
      <w:r>
        <w:t xml:space="preserve">Lorsque la primauté à accorder à la fonction d’utilité économique de l’École est soumise à débat, relève </w:t>
      </w:r>
      <w:proofErr w:type="spellStart"/>
      <w:r>
        <w:t>Hambye</w:t>
      </w:r>
      <w:proofErr w:type="spellEnd"/>
      <w:r>
        <w:t xml:space="preserve">, les justifications avancées sont de deux ordres. Dans un premier cas de figure, c’est la « nécessité qui fait loi » : les finalités d’ordre éducatif (citoyenneté, épanouissement…) sont reconnues, mais décrétées secondaires au nom de l’impératif économique. Ces autres missions sont qualifiées de « louables » mais décrétées moins indispensables face à l’urgence du défi de l’emploi. Comme le souligne un administrateur délégué de BECI : </w:t>
      </w:r>
      <w:r w:rsidRPr="006231B6">
        <w:t xml:space="preserve">« C’est bien que l’école veuille </w:t>
      </w:r>
      <w:r>
        <w:t>« </w:t>
      </w:r>
      <w:r w:rsidRPr="006231B6">
        <w:t>faire des citoyens », mais, au XXI</w:t>
      </w:r>
      <w:r w:rsidRPr="006231B6">
        <w:rPr>
          <w:vertAlign w:val="superscript"/>
        </w:rPr>
        <w:t>e</w:t>
      </w:r>
      <w:r w:rsidRPr="006231B6">
        <w:t xml:space="preserve"> siècle, un citoyen c’est aussi quelqu’un qui travaille. On doit donc donner une chance aux jeunes de trouver un emploi demain »</w:t>
      </w:r>
      <w:r>
        <w:t xml:space="preserve"> (Le Soir, 15/05/2013 p.12).</w:t>
      </w:r>
    </w:p>
    <w:p w:rsidR="006C4EC3" w:rsidRDefault="006C4EC3" w:rsidP="006C4EC3">
      <w:pPr>
        <w:pStyle w:val="DeBoeckcorpsdetexte"/>
      </w:pPr>
      <w:r>
        <w:lastRenderedPageBreak/>
        <w:t>Dans d’autres cas, la priorité accordée aux fonctions instrumentales de l’École puise ses justifications dans d’autres registres que l’efficacité marchande, en mobilisant par exemple le référentiel de l’égalité des chances. Assurer l’adéquation des formations au marché du travail est alors présenté comme une manière de garantir l’accès des jeunes issus de milieux défavorisés à un emploi. Mais cela, sans remettre en question ni les inégalités socioéconomiques globales, ni les problèmes structurels de quantité et de qualité de l’emploi.</w:t>
      </w:r>
    </w:p>
    <w:p w:rsidR="006C4EC3" w:rsidRDefault="006C4EC3" w:rsidP="006C4EC3">
      <w:pPr>
        <w:pStyle w:val="DeBoeckcorpsdetexte"/>
      </w:pPr>
      <w:r>
        <w:t xml:space="preserve">Du côté des </w:t>
      </w:r>
      <w:r w:rsidRPr="002A3C70">
        <w:t>remèdes</w:t>
      </w:r>
      <w:r>
        <w:t xml:space="preserve"> proposés par ce métarécit patronal, le décor est planté : on attend de l’École qu’elle produise des jeunes « employables ». Ceci se traduit, montre </w:t>
      </w:r>
      <w:proofErr w:type="spellStart"/>
      <w:r>
        <w:t>Hambye</w:t>
      </w:r>
      <w:proofErr w:type="spellEnd"/>
      <w:r>
        <w:t xml:space="preserve">, soit par une demande de savoirs techniques fonctionnels (formation technique pointue), soit par une demande de compétences de base (lire, écrire) ou « transversales » (capacité à résoudre des situations) soit par l’insistance sur les compétences sociales et le « savoir-être ». Ce dirigeant de la FEB affirme ainsi attendre de l’enseignement </w:t>
      </w:r>
      <w:r w:rsidRPr="006231B6">
        <w:t>« qu’il transmette des savoir-faire plutôt que des savoirs. Lire, écrire, compter. Mais aussi, à l’heure d’Internet, rechercher des informations et, parmi le flot disponible, filtrer celles qui sont pertinentes et les interpréter. Mais il doit également apprendre certaines attitudes humaines importantes</w:t>
      </w:r>
      <w:r>
        <w:t> :</w:t>
      </w:r>
      <w:r w:rsidRPr="006231B6">
        <w:t xml:space="preserve"> la ponctualité, le respect des collègues, le respect des consignes, le travail en équipe… »</w:t>
      </w:r>
      <w:r>
        <w:t xml:space="preserve"> </w:t>
      </w:r>
      <w:r w:rsidRPr="00A36371">
        <w:t>(</w:t>
      </w:r>
      <w:r>
        <w:t>Prof</w:t>
      </w:r>
      <w:r w:rsidRPr="00A36371">
        <w:t>, n°21, mars 2014, p. 28)</w:t>
      </w:r>
      <w:r>
        <w:t>.</w:t>
      </w:r>
    </w:p>
    <w:p w:rsidR="006C4EC3" w:rsidRDefault="006C4EC3" w:rsidP="006C4EC3">
      <w:pPr>
        <w:pStyle w:val="DeBoeckcorpsdetexte"/>
      </w:pPr>
      <w:r>
        <w:t>Ces différents éléments font écho à l’hypothèse proposée par Laval et collègues (2012) sur l’émergence d’un « nouveau régime de connaissance ». Ce que valorise ce modèle, c’est moins le savoir « pour lui-même » (valeur d’usage) que le savoir-support à un profit, à une utilité directe dans la sphère socioéconomique (valeur d’échange). La connaissance se mue en « capital immatériel » qu’il convient d’accumuler, de rentabiliser, mais aussi de remplacer dès que son utilité immédiate n’est plus assurée. On est bien loin du rapport au savoir qu’avait instauré la forme scolaire moderne, qui reposait sur une « mise à distance du monde » prenant appui sur des savoirs spéculatifs, non directement opératoires (p 60). La situation scolaire est ainsi repensée au regard de la situation de travail, d’où la valorisation des apprentissages « en situation » et des stages (p. 100). C’est également la temporalité, à la fois longue et détachée des urgences immédiates, sur laquelle reposait la forme scolaire (voir chapitres 3 et 4), qui se trouve mise à mal.</w:t>
      </w:r>
    </w:p>
    <w:p w:rsidR="006C4EC3" w:rsidRDefault="006C4EC3" w:rsidP="006C4EC3">
      <w:pPr>
        <w:pStyle w:val="DeBoeckcorpsdetexte"/>
      </w:pPr>
      <w:r>
        <w:t xml:space="preserve">Concernant la manière dont la </w:t>
      </w:r>
      <w:r w:rsidRPr="006B4072">
        <w:t>fonction</w:t>
      </w:r>
      <w:r w:rsidRPr="00A21EB3">
        <w:t xml:space="preserve"> </w:t>
      </w:r>
      <w:r w:rsidRPr="006B4072">
        <w:t>de socialisation</w:t>
      </w:r>
      <w:r>
        <w:t xml:space="preserve"> de l’École est pensée dans ce métarécit patronal, relevons deux points essentiels. D’une part, l’horizon collectif (le « nous ») dans lequel il s’agit de faire entrer l’élève est moins la Nation que le monde du travail, mis en équivalence symbolique avec la « société ». D’autre part, alors que la forme scolaire moderne socialisait les individus en les « disciplinant », les ressorts de la socialisation scolaire semblent aujourd’hui plutôt relever de ce que Foucault appelait le </w:t>
      </w:r>
      <w:r w:rsidRPr="00F640B5">
        <w:rPr>
          <w:i/>
        </w:rPr>
        <w:t>gouvernement des conduites</w:t>
      </w:r>
      <w:r>
        <w:t xml:space="preserve"> : l’élève est appréhendé en tant que personne globale (et plus uniquement comme élève dans un rapport de savoir) qu’il s’agit d’enrôler subjectivement et d’accompagner vers la meilleure utilisation possible de son potentiel (p. 193). Cette insistance sur la motivation et la mise en projet est d’ailleurs tout à fait centrale et fonctionnelle dans le cadre du capitalisme postfordiste (Boltanski &amp; </w:t>
      </w:r>
      <w:proofErr w:type="spellStart"/>
      <w:r>
        <w:t>Chiapello</w:t>
      </w:r>
      <w:proofErr w:type="spellEnd"/>
      <w:r>
        <w:t>, 1999). Dans la foulée, l’image du « sujet à former » (</w:t>
      </w:r>
      <w:r w:rsidRPr="006B4072">
        <w:t>fonction d’éducation</w:t>
      </w:r>
      <w:r>
        <w:t>) est bien celle d’un individu employable et entrepreneur de soi.</w:t>
      </w:r>
    </w:p>
    <w:p w:rsidR="006C4EC3" w:rsidRDefault="006C4EC3" w:rsidP="006C4EC3">
      <w:pPr>
        <w:pStyle w:val="DeBoeckcorpsdetexte"/>
      </w:pPr>
      <w:r>
        <w:t xml:space="preserve">Enfin, ce métarécit patronal est sous-tendu par une certaine conception de la </w:t>
      </w:r>
      <w:r w:rsidRPr="006B4072">
        <w:t>gouvernance</w:t>
      </w:r>
      <w:r>
        <w:t xml:space="preserve"> du champ éducatif. Deux versions complémentaires sont identifiables dans les prises de position analysées par </w:t>
      </w:r>
      <w:proofErr w:type="spellStart"/>
      <w:r>
        <w:t>Hambye</w:t>
      </w:r>
      <w:proofErr w:type="spellEnd"/>
      <w:r>
        <w:t xml:space="preserve">. D’un côté, le patronat souhaite une participation active et directe à l’orientation et à la régulation du champ éducatif, à travers la mise en place de commissions mixtes, à l’articulation du champ scolaire et économique, en particulier pour réguler les programmes et définir référentiels de compétences des filières qualifiantes ou de l’alternance. D’autre part, il appelle à une sorte de </w:t>
      </w:r>
      <w:r w:rsidRPr="00FC2913">
        <w:rPr>
          <w:i/>
        </w:rPr>
        <w:t xml:space="preserve">division du travail éducatif </w:t>
      </w:r>
      <w:r w:rsidRPr="00FC2913">
        <w:t>entre l’</w:t>
      </w:r>
      <w:r>
        <w:t>École</w:t>
      </w:r>
      <w:r w:rsidRPr="00FC2913">
        <w:t xml:space="preserve"> et l’entreprise</w:t>
      </w:r>
      <w:r>
        <w:t xml:space="preserve"> : à la première, on laisse la formation de base (savoirs scolaires de base et </w:t>
      </w:r>
      <w:r>
        <w:lastRenderedPageBreak/>
        <w:t>compétences sociales ou « dispositions » utiles au monde du travail) ; à la seconde, on demande de parachever efficacement la formation pointue du travailleur. C’est ainsi qu’on peut comprendre le développement récent de « campus d’entreprises » ou de modules de formation directement organisés par les entreprises. Ces deux versions renvoient à deux figures différentes de l’</w:t>
      </w:r>
      <w:proofErr w:type="spellStart"/>
      <w:r>
        <w:t>adéquationnisme</w:t>
      </w:r>
      <w:proofErr w:type="spellEnd"/>
      <w:r>
        <w:t> : une version directe, basée sur la conformation de l’une (l’École) par l’autre (le champ économique), et une version indirecte, basée sur la division des tâches en vue d’une même finalité.</w:t>
      </w:r>
    </w:p>
    <w:p w:rsidR="006C4EC3" w:rsidRPr="000C6EF1" w:rsidRDefault="006C4EC3" w:rsidP="006C4EC3">
      <w:pPr>
        <w:pStyle w:val="DeBoecksous-titre1"/>
      </w:pPr>
      <w:bookmarkStart w:id="5" w:name="_Toc423095326"/>
      <w:r>
        <w:t>3.</w:t>
      </w:r>
      <w:r>
        <w:tab/>
      </w:r>
      <w:r>
        <w:tab/>
        <w:t>L</w:t>
      </w:r>
      <w:r w:rsidRPr="000C6EF1">
        <w:t>’</w:t>
      </w:r>
      <w:r>
        <w:t>École</w:t>
      </w:r>
      <w:r w:rsidRPr="000C6EF1">
        <w:t xml:space="preserve"> de demain promue par les organisations internationales</w:t>
      </w:r>
      <w:r>
        <w:t> :</w:t>
      </w:r>
      <w:r w:rsidRPr="000C6EF1">
        <w:t xml:space="preserve"> économie de la connaissance, cohésion sociale et citoyenneté mondiale</w:t>
      </w:r>
      <w:bookmarkEnd w:id="5"/>
    </w:p>
    <w:p w:rsidR="006C4EC3" w:rsidRDefault="006C4EC3" w:rsidP="006C4EC3">
      <w:pPr>
        <w:pStyle w:val="DeBoeckcorpsdetexte"/>
      </w:pPr>
      <w:r w:rsidRPr="008A49CB">
        <w:t>Un second acteur pèse dans le débat sur le programme institutionnel de l’École</w:t>
      </w:r>
      <w:r>
        <w:t> :</w:t>
      </w:r>
      <w:r w:rsidRPr="008A49CB">
        <w:t xml:space="preserve"> il s’agit des organisations internationales. Jean-Marie De </w:t>
      </w:r>
      <w:proofErr w:type="spellStart"/>
      <w:r w:rsidRPr="008A49CB">
        <w:t>Ketele</w:t>
      </w:r>
      <w:proofErr w:type="spellEnd"/>
      <w:r w:rsidRPr="008A49CB">
        <w:t xml:space="preserve"> s’est penché sur le métarécit produit au cours des dix dernières années par trois des plus influentes en matière d’orientations éducatives: l’OCDE, l’UE et l’UNESCO, en analysant un certain nombre de leurs rapports et recommandations</w:t>
      </w:r>
      <w:r>
        <w:rPr>
          <w:rStyle w:val="Appelnotedebasdep"/>
          <w:rFonts w:ascii="Calibri" w:hAnsi="Calibri"/>
        </w:rPr>
        <w:footnoteReference w:id="4"/>
      </w:r>
      <w:r w:rsidRPr="008A49CB">
        <w:t xml:space="preserve">. Si ces organisations n’ont pas de prise directe sur la régulation des systèmes éducatifs nationaux, leurs prises de </w:t>
      </w:r>
      <w:r>
        <w:t>position</w:t>
      </w:r>
      <w:r w:rsidRPr="008A49CB">
        <w:t xml:space="preserve"> constituent néanmoins des instruments de </w:t>
      </w:r>
      <w:r w:rsidRPr="00CE05B3">
        <w:rPr>
          <w:i/>
        </w:rPr>
        <w:t xml:space="preserve">soft </w:t>
      </w:r>
      <w:proofErr w:type="spellStart"/>
      <w:r w:rsidRPr="00CE05B3">
        <w:rPr>
          <w:i/>
        </w:rPr>
        <w:t>policy</w:t>
      </w:r>
      <w:proofErr w:type="spellEnd"/>
      <w:r>
        <w:rPr>
          <w:rStyle w:val="Appelnotedebasdep"/>
          <w:rFonts w:ascii="Calibri" w:hAnsi="Calibri"/>
        </w:rPr>
        <w:footnoteReference w:id="5"/>
      </w:r>
      <w:r w:rsidRPr="008A49CB">
        <w:t xml:space="preserve">dont les effets performatifs ne sont pas à négliger. Jean-Marie De </w:t>
      </w:r>
      <w:proofErr w:type="spellStart"/>
      <w:r w:rsidRPr="008A49CB">
        <w:t>Ketele</w:t>
      </w:r>
      <w:proofErr w:type="spellEnd"/>
      <w:r w:rsidRPr="008A49CB">
        <w:t xml:space="preserve"> pose l’hypothèse de l’émergence d’un métarécit transversal prônant l’ajustement de l’éducation à des finalités </w:t>
      </w:r>
      <w:r>
        <w:t>« </w:t>
      </w:r>
      <w:r w:rsidRPr="008A49CB">
        <w:t>extrinsèques</w:t>
      </w:r>
      <w:r>
        <w:t> »</w:t>
      </w:r>
      <w:r w:rsidRPr="008A49CB">
        <w:t xml:space="preserve">, qu’elles soient économiques (innovation et société de la connaissance au service de la compétitivité) ou non (accès à l’éducation pour construire de l’inclusion, de la cohésion sociale ou une citoyenneté mondiale…). Il existe cependant des nuances significatives entre les </w:t>
      </w:r>
      <w:r>
        <w:t>« </w:t>
      </w:r>
      <w:r w:rsidRPr="008A49CB">
        <w:t>récits</w:t>
      </w:r>
      <w:r>
        <w:t> »</w:t>
      </w:r>
      <w:r w:rsidRPr="008A49CB">
        <w:t xml:space="preserve"> des trois organisations citées, et plus particulièrement entre l'UNESCO et les deux autres</w:t>
      </w:r>
      <w:r>
        <w:t>.</w:t>
      </w:r>
    </w:p>
    <w:p w:rsidR="006C4EC3" w:rsidRPr="008A49CB" w:rsidRDefault="006C4EC3" w:rsidP="006C4EC3">
      <w:pPr>
        <w:pStyle w:val="DeBoeckcorpsdetexte"/>
      </w:pPr>
      <w:r w:rsidRPr="008A49CB">
        <w:t xml:space="preserve">Au contraire de l'OCDE et de l'UE, centrées sur les pays riches ou </w:t>
      </w:r>
      <w:r w:rsidR="009D4F79">
        <w:t>émerge</w:t>
      </w:r>
      <w:r>
        <w:t>nts</w:t>
      </w:r>
      <w:r w:rsidRPr="008A49CB">
        <w:t xml:space="preserve">, l’UNESCO cible avant tout les pays en voie de développement, à partir d’un diagnostic de fracture Nord-Sud. Cette fracture concerne essentiellement des problèmes vitaux étroitement reliés, tels la paix, la santé, la pauvreté, l’environnement, l’éducation. C’est pourquoi l'UNESCO a successivement mis en avant les concepts de </w:t>
      </w:r>
      <w:r>
        <w:t>« </w:t>
      </w:r>
      <w:r w:rsidRPr="008A49CB">
        <w:t>scolarisation universelle</w:t>
      </w:r>
      <w:r>
        <w:t> »</w:t>
      </w:r>
      <w:r w:rsidRPr="008A49CB">
        <w:t>, d</w:t>
      </w:r>
      <w:r>
        <w:t>’« </w:t>
      </w:r>
      <w:r w:rsidRPr="008A49CB">
        <w:t>éducation pour tous</w:t>
      </w:r>
      <w:r>
        <w:t> »</w:t>
      </w:r>
      <w:r w:rsidRPr="008A49CB">
        <w:t xml:space="preserve"> et d</w:t>
      </w:r>
      <w:r>
        <w:t>’« </w:t>
      </w:r>
      <w:r w:rsidRPr="008A49CB">
        <w:t>éducation de qualité pour tous</w:t>
      </w:r>
      <w:r>
        <w:t> »</w:t>
      </w:r>
      <w:r w:rsidRPr="008A49CB">
        <w:t>, et s’est moins préoccupée de réformer la forme scolaire que d’y garantir l’accès pour tous. L’urgence est bien pour elle de construire des écoles là où il n’y en a pas et de fournir celles-ci en nombre suffisant d’enseignants correctement formés. Derrière l’objectif d</w:t>
      </w:r>
      <w:r>
        <w:t>’« </w:t>
      </w:r>
      <w:r w:rsidRPr="008A49CB">
        <w:t>éducation de qualité pour tous</w:t>
      </w:r>
      <w:r>
        <w:t> »</w:t>
      </w:r>
      <w:r w:rsidRPr="008A49CB">
        <w:t xml:space="preserve">, </w:t>
      </w:r>
      <w:r w:rsidRPr="008A49CB">
        <w:lastRenderedPageBreak/>
        <w:t xml:space="preserve">elle entend promouvoir la maîtrise d’un socle de connaissances, de compétences de base et de </w:t>
      </w:r>
      <w:r w:rsidRPr="006B4072">
        <w:rPr>
          <w:i/>
        </w:rPr>
        <w:t xml:space="preserve">life </w:t>
      </w:r>
      <w:proofErr w:type="spellStart"/>
      <w:r w:rsidRPr="006B4072">
        <w:rPr>
          <w:i/>
        </w:rPr>
        <w:t>skills</w:t>
      </w:r>
      <w:proofErr w:type="spellEnd"/>
      <w:r w:rsidRPr="008A49CB">
        <w:t xml:space="preserve"> (ou compétences de vie courante), et permettre une éducation tout au long de la vie. Elle met ainsi en évidence une fonction instrumentale, mais non nécessairement économique, de l'École. En ce qui concerne la fonction d’intégration sociale, elle articule la reconnaissance de la diversité des langues et des cultures nationales avec une série d’objectifs liés à la globalisation et aux droits de l’homme</w:t>
      </w:r>
      <w:r>
        <w:t> :</w:t>
      </w:r>
      <w:r w:rsidRPr="008A49CB">
        <w:t xml:space="preserve"> elle appelle par exemple à la formation de </w:t>
      </w:r>
      <w:r>
        <w:t>« </w:t>
      </w:r>
      <w:r w:rsidRPr="008A49CB">
        <w:t>citoyens du monde</w:t>
      </w:r>
      <w:r>
        <w:t> »</w:t>
      </w:r>
      <w:r w:rsidRPr="008A49CB">
        <w:t xml:space="preserve"> en développant une </w:t>
      </w:r>
      <w:r>
        <w:t>« </w:t>
      </w:r>
      <w:r w:rsidRPr="008A49CB">
        <w:t>culture de la paix</w:t>
      </w:r>
      <w:r>
        <w:t> »</w:t>
      </w:r>
      <w:r w:rsidRPr="008A49CB">
        <w:t xml:space="preserve"> dans le respect de la diversité culturelle, ou encore promeut des enjeux d’équité (sociale ou de genre). Il faut donc reconnaître, dans le récit de l’UNESCO, la place de référentiels inspirés de la cité civique dans une version renouvelée (</w:t>
      </w:r>
      <w:r>
        <w:t>« </w:t>
      </w:r>
      <w:r w:rsidRPr="008A49CB">
        <w:t>globalisée</w:t>
      </w:r>
      <w:r>
        <w:t> »</w:t>
      </w:r>
      <w:r w:rsidRPr="008A49CB">
        <w:t>), même si les rapports de complémentarité qu’entretient ce discours la globalisation économique ont été soulignés par certains chercheurs (</w:t>
      </w:r>
      <w:proofErr w:type="spellStart"/>
      <w:r w:rsidRPr="008A49CB">
        <w:t>Resnik</w:t>
      </w:r>
      <w:proofErr w:type="spellEnd"/>
      <w:r w:rsidRPr="008A49CB">
        <w:t>, 2009). C’est sans doute la fonction d’éducation qui est le moins thématisée, l’UNESCO laissant sa définition aux mains des gouvernements nationaux.</w:t>
      </w:r>
    </w:p>
    <w:p w:rsidR="006C4EC3" w:rsidRDefault="006C4EC3" w:rsidP="006C4EC3">
      <w:pPr>
        <w:pStyle w:val="DeBoeckcorpsdetexte"/>
      </w:pPr>
      <w:r w:rsidRPr="008A49CB">
        <w:t>De leur côté, l’OCDE et l’UE, organisations s’adressant à un ensemble plus restreint de pays, élaborent davantage leur critique des systèmes éducatifs au regard de la fonction d’utilité et des enjeux du développement économique. D</w:t>
      </w:r>
      <w:r>
        <w:t xml:space="preserve">e </w:t>
      </w:r>
      <w:proofErr w:type="spellStart"/>
      <w:r>
        <w:t>Ketele</w:t>
      </w:r>
      <w:proofErr w:type="spellEnd"/>
      <w:r>
        <w:t xml:space="preserve"> rappelle à juste titre que l’OCDE est avant tout une organisation de coopération et de développement économique, et que le CERI (Centre pour la Recherche et L’innovation dans l’Enseignement dépendant de l’OCDE) a pour mission d’œuvrer à une meilleure adéquation de l’éducation aux enjeux du développement économique.</w:t>
      </w:r>
      <w:r w:rsidRPr="008A49CB">
        <w:t xml:space="preserve"> Plus largement, ces textes dénoncent l’obsolescence et la rigidité </w:t>
      </w:r>
      <w:r>
        <w:t>« </w:t>
      </w:r>
      <w:r w:rsidRPr="008A49CB">
        <w:t>bureaucratique</w:t>
      </w:r>
      <w:r>
        <w:t> »</w:t>
      </w:r>
      <w:r w:rsidRPr="008A49CB">
        <w:t xml:space="preserve"> de la forme scolaire, dépeinte comme inadaptée au fonctionnement en </w:t>
      </w:r>
      <w:r>
        <w:t>« </w:t>
      </w:r>
      <w:r w:rsidRPr="008A49CB">
        <w:t>réseau</w:t>
      </w:r>
      <w:r>
        <w:t> »</w:t>
      </w:r>
      <w:r w:rsidRPr="008A49CB">
        <w:t xml:space="preserve"> des sociétés contemporaines et des marchés. On reproche à l’École d’être dépassée ou trop lente à la détente. On estime </w:t>
      </w:r>
      <w:r w:rsidRPr="006231B6">
        <w:t>« possible qu’une certaine inertie soit tout simplement inhérente à la nature des systèmes scolaires »</w:t>
      </w:r>
      <w:r w:rsidRPr="008A49CB">
        <w:t xml:space="preserve"> (OCDE, 2001, chap. 5). De profondes </w:t>
      </w:r>
      <w:r>
        <w:t>« </w:t>
      </w:r>
      <w:r w:rsidRPr="008A49CB">
        <w:t>mutations sociétales</w:t>
      </w:r>
      <w:r>
        <w:t> »</w:t>
      </w:r>
      <w:r w:rsidRPr="008A49CB">
        <w:t xml:space="preserve"> sont présentées comme étant à la source d’un renouvellement nécessaire de la forme scolaire. Celles-ci seraient avant tout d’ordre </w:t>
      </w:r>
      <w:r w:rsidRPr="00AA7CEA">
        <w:rPr>
          <w:i/>
        </w:rPr>
        <w:t>technologique</w:t>
      </w:r>
      <w:r w:rsidRPr="008A49CB">
        <w:t xml:space="preserve"> (rôle croissant des TIC dans la production et circulation des connaissances, rythme élevé de l’innovation…) et </w:t>
      </w:r>
      <w:r w:rsidRPr="00AA7CEA">
        <w:rPr>
          <w:i/>
        </w:rPr>
        <w:t>économique</w:t>
      </w:r>
      <w:r w:rsidRPr="008A49CB">
        <w:t xml:space="preserve"> (augmentation des niveaux de qualification attendus, exigence de mobilité et de flexibilité accrues…)</w:t>
      </w:r>
      <w:r>
        <w:t>.</w:t>
      </w:r>
    </w:p>
    <w:p w:rsidR="006C4EC3" w:rsidRDefault="006C4EC3" w:rsidP="006C4EC3">
      <w:pPr>
        <w:pStyle w:val="DeBoeckcorpsdetexte"/>
      </w:pPr>
      <w:r w:rsidRPr="008A49CB">
        <w:t>En termes de réponses</w:t>
      </w:r>
      <w:r w:rsidRPr="00A21EB3">
        <w:t xml:space="preserve"> </w:t>
      </w:r>
      <w:r w:rsidRPr="008A49CB">
        <w:t xml:space="preserve">ou remèdes envisagés, les propositions de l’OCDE comme de l’UE appellent une refonte des systèmes éducatifs, dans la perspective de mieux préparer les individus comme les sociétés à faire face à l’instabilité et à l’exigence perpétuelle d’innovation. On épinglera trois axes saillants des recommandations formulées, symbolisés par les concepts </w:t>
      </w:r>
      <w:r w:rsidRPr="00826611">
        <w:rPr>
          <w:i/>
        </w:rPr>
        <w:t>d’économie de la connaissance</w:t>
      </w:r>
      <w:r w:rsidRPr="008A49CB">
        <w:t xml:space="preserve">, </w:t>
      </w:r>
      <w:r w:rsidRPr="00826611">
        <w:rPr>
          <w:i/>
        </w:rPr>
        <w:t>d’éducation tout au long de la vie</w:t>
      </w:r>
      <w:r w:rsidRPr="008A49CB">
        <w:t xml:space="preserve"> et de </w:t>
      </w:r>
      <w:r w:rsidRPr="00826611">
        <w:rPr>
          <w:i/>
        </w:rPr>
        <w:t>compétences essentielles</w:t>
      </w:r>
      <w:r w:rsidRPr="008A49CB">
        <w:t xml:space="preserve">. Tout d’abord, l’éducation doit contribuer à générer une </w:t>
      </w:r>
      <w:r w:rsidRPr="0043739C">
        <w:rPr>
          <w:i/>
        </w:rPr>
        <w:t>économie de la connaissance</w:t>
      </w:r>
      <w:r w:rsidRPr="008A49CB">
        <w:t xml:space="preserve">, ou économie de </w:t>
      </w:r>
      <w:r w:rsidRPr="00382A7D">
        <w:rPr>
          <w:i/>
        </w:rPr>
        <w:t>l’immatériel</w:t>
      </w:r>
      <w:r w:rsidRPr="008A49CB">
        <w:t xml:space="preserve">, reposant davantage sur des savoirs </w:t>
      </w:r>
      <w:r>
        <w:t>« </w:t>
      </w:r>
      <w:r w:rsidRPr="008A49CB">
        <w:t>d’action</w:t>
      </w:r>
      <w:r>
        <w:t> »</w:t>
      </w:r>
      <w:r w:rsidRPr="008A49CB">
        <w:t xml:space="preserve"> et des savoirs </w:t>
      </w:r>
      <w:r>
        <w:t>« </w:t>
      </w:r>
      <w:r w:rsidRPr="008A49CB">
        <w:t>relationnels</w:t>
      </w:r>
      <w:r>
        <w:t> »</w:t>
      </w:r>
      <w:r w:rsidRPr="008A49CB">
        <w:t xml:space="preserve"> que sur les savoirs factuels (OCDE 2000a, 2001). Les savoirs à enseigner se mesurent à l’aune de leur capacité à se mettre au service de la production, de l’innovation et de la compétitivité – de leur </w:t>
      </w:r>
      <w:r>
        <w:t>« </w:t>
      </w:r>
      <w:r w:rsidRPr="008A49CB">
        <w:t>valeu</w:t>
      </w:r>
      <w:r>
        <w:t>r d’échange », diraient Laval et collègues</w:t>
      </w:r>
      <w:r w:rsidRPr="008A49CB">
        <w:t xml:space="preserve"> (2012). Ensuite, l’accent mis sur les </w:t>
      </w:r>
      <w:r>
        <w:t>« </w:t>
      </w:r>
      <w:r w:rsidRPr="008A49CB">
        <w:t>compétences essentielles</w:t>
      </w:r>
      <w:r>
        <w:t> »</w:t>
      </w:r>
      <w:r>
        <w:rPr>
          <w:rStyle w:val="Appelnotedebasdep"/>
          <w:rFonts w:ascii="Calibri" w:hAnsi="Calibri"/>
        </w:rPr>
        <w:footnoteReference w:id="6"/>
      </w:r>
      <w:r w:rsidRPr="008A49CB">
        <w:t xml:space="preserve"> </w:t>
      </w:r>
      <w:r>
        <w:t xml:space="preserve">rejoint l’objectif de formation d’une main-d'œuvre dont il faut s’assurer qu’elle détient les « aptitudes de base » lui permettant de « s’adapter rapidement à l’évolution constante du monde caractérisé par une plus grande interconnexion ». Enfin, </w:t>
      </w:r>
      <w:r w:rsidRPr="002D336B">
        <w:rPr>
          <w:i/>
        </w:rPr>
        <w:t>l’éducation tout au long de la vie</w:t>
      </w:r>
      <w:r w:rsidRPr="008A49CB">
        <w:t xml:space="preserve"> est présentée comme une forme éducative plus ajustée à ce nouveau défi. La forme scolaire classique, celle de l’École </w:t>
      </w:r>
      <w:r>
        <w:t>« </w:t>
      </w:r>
      <w:r w:rsidRPr="008A49CB">
        <w:t>sanctuaire</w:t>
      </w:r>
      <w:r>
        <w:t> »</w:t>
      </w:r>
      <w:r w:rsidRPr="008A49CB">
        <w:t xml:space="preserve"> ou </w:t>
      </w:r>
      <w:r>
        <w:t>« </w:t>
      </w:r>
      <w:r w:rsidRPr="008A49CB">
        <w:t>tour d’ivoire</w:t>
      </w:r>
      <w:r>
        <w:t> »</w:t>
      </w:r>
      <w:r w:rsidRPr="008A49CB">
        <w:t xml:space="preserve"> qui isolait pendant un temps l’apprenant de </w:t>
      </w:r>
      <w:r w:rsidRPr="008A49CB">
        <w:lastRenderedPageBreak/>
        <w:t>l’agitation du monde, est disqualifiée</w:t>
      </w:r>
      <w:r>
        <w:t> :</w:t>
      </w:r>
      <w:r w:rsidRPr="008A49CB">
        <w:t xml:space="preserve"> elle ne conviendrait plus au rythme rapide de l’innovation et à la complexification des savoirs. La nouvelle forme scolaire devrait laisser davantage d’espace à la mobilité, à l’ouverture au monde et à la sphère économique (notamment par des dispositifs d’aller-retour entre le monde réel et les lieux consacrés aux apprentissages)</w:t>
      </w:r>
      <w:r>
        <w:t>.</w:t>
      </w:r>
    </w:p>
    <w:p w:rsidR="006C4EC3" w:rsidRDefault="006C4EC3" w:rsidP="006C4EC3">
      <w:pPr>
        <w:pStyle w:val="DeBoeckcorpsdetexte"/>
      </w:pPr>
      <w:r w:rsidRPr="008A49CB">
        <w:t xml:space="preserve">Si c’est donc bien la fonction </w:t>
      </w:r>
      <w:r>
        <w:t>« </w:t>
      </w:r>
      <w:r w:rsidRPr="008A49CB">
        <w:t>utilité</w:t>
      </w:r>
      <w:r>
        <w:t> »</w:t>
      </w:r>
      <w:r w:rsidRPr="008A49CB">
        <w:t xml:space="preserve"> qui sert de principale matrice d’évaluation des systèmes éducatifs, d’autres registres sont également mobilisés par ces organisations. Elles rappellent régulièrement le rôle clé de l’École en tant que ciment des collectivités dans un monde à la fois pluriel et individualisé (fonction d’intégration sociale). Mais, si la cohésion sociale et la citoyenneté active constituent des référentiels récurrents (surtout dans le discours de la CE), ils sont moins présentés comme des fins en soi que comme des moyens au service du développement économique, qui s’accommode mal de l’instabilité sociale</w:t>
      </w:r>
      <w:r>
        <w:t>.</w:t>
      </w:r>
    </w:p>
    <w:p w:rsidR="006C4EC3" w:rsidRDefault="006C4EC3" w:rsidP="006C4EC3">
      <w:pPr>
        <w:pStyle w:val="DeBoeckcorpsdetexte"/>
      </w:pPr>
      <w:r w:rsidRPr="008A49CB">
        <w:t xml:space="preserve">Pour promouvoir ces réponses, l’UE s’est davantage engagée dans la mise sur pied d’instruments pragmatiques de gouvernance. Ainsi, De </w:t>
      </w:r>
      <w:proofErr w:type="spellStart"/>
      <w:r w:rsidRPr="008A49CB">
        <w:t>Ketele</w:t>
      </w:r>
      <w:proofErr w:type="spellEnd"/>
      <w:r w:rsidRPr="008A49CB">
        <w:t xml:space="preserve"> rappelle que, dans son cadre stratégique de 2014, l’UE a défini un certain nombre d’indicateurs quantitatifs à atteindre dans l’ensemble des États membres. Ceux-ci sont centrés sur la maîtrise des compétences de base (en lecture, mathématiques et sciences), l’augmentation de la couverture scolaire et la lutte contre le décrochage, le développement de l’apprentissage tout au long de la vie, la mobilité des étudiants et l’employabilité. La mise en place de ces indicateurs est assortie du déploiement d’instruments dédiés à accompagner et à évaluer leur mise en œuvre (centre de recherche Eurydice, programmes d’appui aux systèmes éducatifs afin de leur permettre de s’ajuster aux objectifs quantitatifs prônés</w:t>
      </w:r>
      <w:r>
        <w:t>…</w:t>
      </w:r>
      <w:r w:rsidRPr="008A49CB">
        <w:t>). L’implémentation de telles balises, indicateurs et instruments, contribue de manière performative à imposer ces référentiels au sein même du champ scolaire (Mangez, 2011)</w:t>
      </w:r>
      <w:r>
        <w:t>.</w:t>
      </w:r>
    </w:p>
    <w:p w:rsidR="006C4EC3" w:rsidRDefault="006C4EC3" w:rsidP="006C4EC3">
      <w:pPr>
        <w:pStyle w:val="DeBoeckcorpsdetexte"/>
      </w:pPr>
      <w:r w:rsidRPr="008A49CB">
        <w:t xml:space="preserve"> L'OCDE a également mis en place des instruments pragmatiques de gouvernance, dont le plus emblématique est assurément PISA. Mais il a également défini des </w:t>
      </w:r>
      <w:r w:rsidRPr="00A21EB3">
        <w:t>scénarios</w:t>
      </w:r>
      <w:r w:rsidRPr="008A49CB">
        <w:t xml:space="preserve"> pour sortir du diagnostic de </w:t>
      </w:r>
      <w:r>
        <w:t>« </w:t>
      </w:r>
      <w:r w:rsidRPr="008A49CB">
        <w:t>crise de l’école</w:t>
      </w:r>
      <w:r>
        <w:t> »</w:t>
      </w:r>
      <w:r w:rsidRPr="008A49CB">
        <w:t>. Six scénarios sont déclinés par ce document de l’OCDE-CERI (2001), et organisés en trois catégories</w:t>
      </w:r>
      <w:r>
        <w:t> :</w:t>
      </w:r>
      <w:r w:rsidRPr="008A49CB">
        <w:t xml:space="preserve"> une première catégorie, qualifiée d</w:t>
      </w:r>
      <w:r>
        <w:t>’« </w:t>
      </w:r>
      <w:r w:rsidRPr="008A49CB">
        <w:t>e</w:t>
      </w:r>
      <w:r>
        <w:t>xtrapolation du statu quo », envisage le maintien de la forme scolaire actuelle. Un second ensemble envisage des mutations profondes de la forme scolaire tandis qu'un troisième présente deux scénarios pessimistes de « déscolarisation ».</w:t>
      </w:r>
    </w:p>
    <w:p w:rsidR="006C4EC3" w:rsidRDefault="006C4EC3" w:rsidP="006C4EC3">
      <w:pPr>
        <w:pStyle w:val="DeBoeckcorpsdetexte"/>
      </w:pPr>
      <w:r>
        <w:t xml:space="preserve">L'extrapolation du </w:t>
      </w:r>
      <w:r w:rsidRPr="00B414BD">
        <w:rPr>
          <w:i/>
        </w:rPr>
        <w:t>statu quo</w:t>
      </w:r>
      <w:r>
        <w:t xml:space="preserve"> comporte deux scénarios. En appui du premier (« maintien de systèmes scolaires bureaucratiques forts »), l’OCDE brandit des arguments insistant sur l’intérêt de maintenir la régulation de l’éducation entre les mains des États nationaux. L’État y est présenté comme un partenaire nécessaire de la mise en œuvre de programmes d’évaluation ou encore comme le garant de la cohésion sociale, au service de la globalisation. Mais on devine que ce ne sont pas les forces du changement mais des forces de résistance sociale qui – selon l’OCDE – plaideraient en faveur de ce scénario. Celui-ci est plutôt associé aux positions défensives d’acteurs comme les syndicats (dépeints comme résistants au changement) ou les enseignants, dont l’identité professionnelle resterait attachée à la forme scolaire traditionnelle. En revanche, les failles de ce scénario (démotivation, savoirs scolaires obsolètes, crise du financement public, pénuries d’enseignants…) sont largement soulignées.</w:t>
      </w:r>
    </w:p>
    <w:p w:rsidR="006C4EC3" w:rsidRDefault="006C4EC3" w:rsidP="006C4EC3">
      <w:pPr>
        <w:pStyle w:val="DeBoeckcorpsdetexte"/>
      </w:pPr>
      <w:r>
        <w:t xml:space="preserve">Le second scénario évoque, en miroir, l’effondrement des systèmes scolaires bureaucratique et leur évolution vers des formes marchandes. Face à la pression sociale contre les systèmes publics, l’École se réorganiserait radicalement comme un quasi-marché. Dans le même temps, l’État encouragerait l’émergence de nouveaux prestataires de services éducatifs essentiellement privés. L’éducation y serait assimilée à un bien « privé-public » pour lequel </w:t>
      </w:r>
      <w:r>
        <w:lastRenderedPageBreak/>
        <w:t>les usagers, devenus consommateurs d’école, opteraient librement. L’évaluation de la qualité et l’accréditation (des prestataires de service, des écoles ou des enseignants) y seraient centrales. Les dérives d’un tel scénario ne sont pas ignorées par l’OCDE, qui reconnaît les risques de renforcement des inégalités ou de fragmentation du projet éducatif.</w:t>
      </w:r>
    </w:p>
    <w:p w:rsidR="006C4EC3" w:rsidRDefault="006C4EC3" w:rsidP="006C4EC3">
      <w:pPr>
        <w:pStyle w:val="DeBoeckcorpsdetexte"/>
      </w:pPr>
      <w:r>
        <w:t>Les deux scénarios suivants évoquent plutôt l’idée d’une « </w:t>
      </w:r>
      <w:proofErr w:type="spellStart"/>
      <w:r>
        <w:t>rescolarisation</w:t>
      </w:r>
      <w:proofErr w:type="spellEnd"/>
      <w:r>
        <w:t> », d’une consolidation de la forme scolaire qui serait parvenue à intégrer ses critiques. Le scénario 3 (« l‘École au cœur de la collectivité ») est présenté comme une réponse à la fragmentation sociale et à l’individualisation. Tout en conservant un financement public, l’École serait appelée à s’ancrer dans la collectivité locale et à s’ériger en lieu de coordination d’une série de projets d’éducation offerts à la jeune génération. Cette école « communautaire » serait susceptible de répondre à des questions de sens des apprentissages et à l’enjeu de formation citoyenne, tout en surmontant les critiques de la forme scolaire « bureaucratique ». Au risque toutefois, reconnaît l’OCDE, de perdre de vue le projet d’une école commune voire d’entériner les disparités sociales géographiques. Quant au scénario 4 (« l’École comme organisation apprenante ciblée »), il envisage de tirer systématiquement parti des nouvelles technologies et de la recherche en éducation pour « </w:t>
      </w:r>
      <w:proofErr w:type="spellStart"/>
      <w:r>
        <w:t>reprofessionnaliser</w:t>
      </w:r>
      <w:proofErr w:type="spellEnd"/>
      <w:r>
        <w:t> » l’École. Transformée en véritable organisation apprenante, cette nouvelle école resterait considérée comme un bien public et à ce titre, financée par l’État. Mais pour l’OCDE, le chemin reste long pour transformer la culture scolaire actuelle et conquérir l’opinion publique dans ce sens.</w:t>
      </w:r>
    </w:p>
    <w:p w:rsidR="006C4EC3" w:rsidRDefault="006C4EC3" w:rsidP="006C4EC3">
      <w:pPr>
        <w:pStyle w:val="DeBoeckcorpsdetexte"/>
      </w:pPr>
      <w:r>
        <w:t>Les deux derniers scénarios évoquent la fin des systèmes scolaires organisés centralement au profit du développement de nouvelles formes de l’apprendre, plus en phase avec la société en réseau. Le scénario 5 propose l’image d’un enchevêtrement de réseaux de formation locaux et globaux, soutenus par des opérateurs multiples (privés ou liés à des organisations religieuses, culturelles ou politiques). Ces réseaux coexisteraient avec le développement des formes individualisées d’apprentissage (école à la maison, enseignement à distance…). Un dernier scénario évoque une désintégration pure et simple de la forme scolaire et une extension d’un marché de la formation articulant école privée, école de l’ombre</w:t>
      </w:r>
      <w:r>
        <w:rPr>
          <w:rStyle w:val="Appelnotedebasdep"/>
        </w:rPr>
        <w:footnoteReference w:id="7"/>
      </w:r>
      <w:r>
        <w:t xml:space="preserve"> et école à domicile. L’OCDE souligne que les fonctions critiques de l’École (socialisation, formation du citoyen) risqueraient d’être secondarisées, sans compter le risque de fragmentation sociale accrue en l’absence d’un système éducatif commun.</w:t>
      </w:r>
    </w:p>
    <w:p w:rsidR="006C4EC3" w:rsidRDefault="006C4EC3" w:rsidP="006C4EC3">
      <w:pPr>
        <w:pStyle w:val="DeBoeckcorpsdetexte"/>
      </w:pPr>
      <w:r>
        <w:t xml:space="preserve">À travers ces six scénarios se dessine un métarécit qui peut être typifié autour des axes de notre </w:t>
      </w:r>
      <w:r w:rsidRPr="00276498">
        <w:t>grille d’analyse</w:t>
      </w:r>
      <w:r>
        <w:t xml:space="preserve"> (forme scolaire, programme institutionnel et gouvernance). Tout d’abord, la </w:t>
      </w:r>
      <w:r w:rsidRPr="00EE17E8">
        <w:rPr>
          <w:i/>
        </w:rPr>
        <w:t>forme scolaire</w:t>
      </w:r>
      <w:r>
        <w:t xml:space="preserve"> est implicitement posée comme « non viable ». Implicitement, les scénarios du </w:t>
      </w:r>
      <w:r w:rsidRPr="00F0054B">
        <w:rPr>
          <w:i/>
        </w:rPr>
        <w:t>statu quo</w:t>
      </w:r>
      <w:r>
        <w:t xml:space="preserve"> sont présentés comme peu tenables (en termes de « coût » ou d’inadéquation par rapport à la société « globalisée et en réseau »). Pour l’OCDE, la forme scolaire ne survivra que si elle « mute », soit en prenant appui sur une rationalisation pédagogique et organisationnelle qui n’interroge plus ses finalités (scénario 4 de la professionnalisation et de l’organisation apprenante), soit en s’inscrivant, comme le préconise le scénario 3, dans des communautés locales et des réseaux (seul horizon pour reconstruire du sens). Sans une telle réforme profonde, nous annonce l’OCDE, la forme scolaire risque bien d’imploser, laissant le champ libre aux opérateurs privés.</w:t>
      </w:r>
    </w:p>
    <w:p w:rsidR="006C4EC3" w:rsidRDefault="006C4EC3" w:rsidP="006C4EC3">
      <w:pPr>
        <w:pStyle w:val="DeBoeckcorpsdetexte"/>
      </w:pPr>
      <w:r>
        <w:t xml:space="preserve">Ensuite, les </w:t>
      </w:r>
      <w:r w:rsidRPr="00EE17E8">
        <w:rPr>
          <w:i/>
        </w:rPr>
        <w:t>différentes fonctions de l’éducation</w:t>
      </w:r>
      <w:r>
        <w:t xml:space="preserve"> sont redessinées. Comme dans les prises de position générales de l’OCDE ou de l’UE, c’est la </w:t>
      </w:r>
      <w:r w:rsidRPr="00F0054B">
        <w:rPr>
          <w:i/>
        </w:rPr>
        <w:t>fonction instrumentale</w:t>
      </w:r>
      <w:r>
        <w:t xml:space="preserve"> de production d’individus ajustés aux besoins d’une économie de l’innovation et de la connaissance qui sous-tend en filigrane l’ensemble des scénarios.</w:t>
      </w:r>
      <w:r w:rsidRPr="008A49CB">
        <w:t xml:space="preserve"> La figure du sujet à former </w:t>
      </w:r>
      <w:r w:rsidRPr="008A49CB">
        <w:lastRenderedPageBreak/>
        <w:t>(</w:t>
      </w:r>
      <w:r w:rsidRPr="00F0054B">
        <w:rPr>
          <w:i/>
        </w:rPr>
        <w:t>fonction d’éducation</w:t>
      </w:r>
      <w:r w:rsidRPr="008A49CB">
        <w:t xml:space="preserve">) qui traverse ces recommandations est celle d’un individu ayant appris à s’adapter à des sociétés normativement complexes et caractérisées par une économie exigeant la flexibilité. Au niveau de la </w:t>
      </w:r>
      <w:r w:rsidRPr="00460F9C">
        <w:rPr>
          <w:i/>
        </w:rPr>
        <w:t>fonction de socialisation</w:t>
      </w:r>
      <w:r w:rsidRPr="008A49CB">
        <w:t xml:space="preserve">, deux points méritent d’être soulignés. </w:t>
      </w:r>
      <w:r>
        <w:rPr>
          <w:i/>
        </w:rPr>
        <w:t>L</w:t>
      </w:r>
      <w:r w:rsidRPr="00460F9C">
        <w:rPr>
          <w:i/>
        </w:rPr>
        <w:t>’échelle</w:t>
      </w:r>
      <w:r w:rsidRPr="008A49CB">
        <w:t xml:space="preserve"> à laquelle le </w:t>
      </w:r>
      <w:r>
        <w:t>« </w:t>
      </w:r>
      <w:r w:rsidRPr="008A49CB">
        <w:t>nous</w:t>
      </w:r>
      <w:r>
        <w:t> »</w:t>
      </w:r>
      <w:r w:rsidRPr="008A49CB">
        <w:t xml:space="preserve"> est pensé est de moins en moins nationale et cède le pas à l’échelle internationale et aux échelles locales (collectivités territoriales, communautés, identités d’établissement). Les valeurs d‘égalité des chances, de cohésion sociale et de citoyenneté active renvoient à l’image d’un acteur à la fois </w:t>
      </w:r>
      <w:r w:rsidRPr="00460F9C">
        <w:rPr>
          <w:i/>
        </w:rPr>
        <w:t>inscrit dans l’ordre social</w:t>
      </w:r>
      <w:r w:rsidRPr="008A49CB">
        <w:t xml:space="preserve"> (inséré), </w:t>
      </w:r>
      <w:r>
        <w:t>« </w:t>
      </w:r>
      <w:r w:rsidRPr="008A49CB">
        <w:t xml:space="preserve">actif» et </w:t>
      </w:r>
      <w:r>
        <w:t>« </w:t>
      </w:r>
      <w:r w:rsidRPr="00460F9C">
        <w:rPr>
          <w:i/>
        </w:rPr>
        <w:t>apte à rentrer en compétition</w:t>
      </w:r>
      <w:r>
        <w:t> ».</w:t>
      </w:r>
    </w:p>
    <w:p w:rsidR="006C4EC3" w:rsidRPr="008A49CB" w:rsidRDefault="006C4EC3" w:rsidP="006C4EC3">
      <w:pPr>
        <w:pStyle w:val="DeBoeckcorpsdetexte"/>
      </w:pPr>
      <w:r w:rsidRPr="008A49CB">
        <w:t xml:space="preserve">En ce qui concerne la </w:t>
      </w:r>
      <w:r w:rsidRPr="00681A61">
        <w:rPr>
          <w:i/>
        </w:rPr>
        <w:t>gouvernance</w:t>
      </w:r>
      <w:r w:rsidRPr="008A49CB">
        <w:t xml:space="preserve">, l’État s’affaiblit ou s’efface dans tous les cas de figure envisagés. </w:t>
      </w:r>
      <w:r>
        <w:t>Soit,</w:t>
      </w:r>
      <w:r w:rsidRPr="008A49CB">
        <w:t xml:space="preserve"> il est réduit à sa fonction de financeur public et de méta-pilote de l’efficacité des systèmes, mais n’endosse plus une fonction d’orientation </w:t>
      </w:r>
      <w:r>
        <w:t>« </w:t>
      </w:r>
      <w:r w:rsidRPr="008A49CB">
        <w:t>en valeurs</w:t>
      </w:r>
      <w:r>
        <w:t> »</w:t>
      </w:r>
      <w:r w:rsidRPr="008A49CB">
        <w:t xml:space="preserve">; </w:t>
      </w:r>
      <w:r>
        <w:t>soit,</w:t>
      </w:r>
      <w:r w:rsidRPr="008A49CB">
        <w:t xml:space="preserve"> il perd son rôle de régulateur central en se diluant dans des réseaux d’organisations apprenantes ou en devenant un prestataire de services éducatifs parmi d’autres</w:t>
      </w:r>
      <w:r>
        <w:t> ;</w:t>
      </w:r>
      <w:r w:rsidRPr="008A49CB">
        <w:t xml:space="preserve"> soit encore il s’efface carrément au profit d’opérateurs privés.</w:t>
      </w:r>
    </w:p>
    <w:p w:rsidR="006C4EC3" w:rsidRDefault="006C4EC3" w:rsidP="006C4EC3">
      <w:pPr>
        <w:pStyle w:val="DeBoecksous-titre1"/>
      </w:pPr>
      <w:bookmarkStart w:id="6" w:name="_Toc423095327"/>
      <w:r>
        <w:t>4.</w:t>
      </w:r>
      <w:r>
        <w:tab/>
      </w:r>
      <w:r>
        <w:tab/>
        <w:t>L</w:t>
      </w:r>
      <w:r w:rsidRPr="00681A61">
        <w:t xml:space="preserve">es </w:t>
      </w:r>
      <w:r>
        <w:t>pédagogies « critiques » et les conceptions éducatives « centrées sur l’enfant », d’hier à aujourd’hui : un programme institutionnel alternatif ?</w:t>
      </w:r>
      <w:bookmarkEnd w:id="6"/>
    </w:p>
    <w:p w:rsidR="006C4EC3" w:rsidRDefault="006C4EC3" w:rsidP="006C4EC3">
      <w:pPr>
        <w:pStyle w:val="DeBoeckcorpsdetexte"/>
      </w:pPr>
      <w:r>
        <w:t>Jusqu’ici, ce chapitre s’est focalisé sur les récits produits par des acteurs en position de force sur l’échiquier socioéconomique. À ce titre, ceux-ci participent à la production d’une nouvelle conception hégémonique de l’éducation et de son programme institutionnel. Pourtant, dans l’histoire du siècle passé ou plus récente, les récits alternatifs n’ont pas manqué, cherchant à proposer et à diffuser d’autres conceptions des finalités de l’éducation. S’opposant au caractère « transmissif » de la pédagogie classique, mais aussi à la réduction des missions de l’École à sa fonction instrumentale, nombre de pédagogues qualifiés de « progressistes », « critiques », « alternatifs » ou encore « centrés sur l’enfant » ont fait exister dans le champ éducatif des expériences inédites, dont certaines sont aujourd’hui plus ou moins instituées, d’autres affaiblies, d’autres encore renouvelées.</w:t>
      </w:r>
    </w:p>
    <w:p w:rsidR="006C4EC3" w:rsidRDefault="006C4EC3" w:rsidP="006C4EC3">
      <w:pPr>
        <w:pStyle w:val="DeBoeckcorpsdetexte"/>
      </w:pPr>
      <w:r>
        <w:t>Il serait impossible de rendre justice à leur diversité et à leur complexité dans ces lignes, car il nous faudrait explorer, dans le détail, les propositions d’Ovide Decroly, celles de Célestin Freinet, les classes « coopératives » et la pédagogie « institutionnelle » initiée par Fernand Oury, ou encore l’expérience latino-américaine initiée par Paolo Freire autour de la pédagogie « critique ». Dans l’histoire récente, la philosophie ayant conduit à la mise en place de l’enseignement « rénové » et même le tout récent débat autour de la refonte du tronc commun (</w:t>
      </w:r>
      <w:proofErr w:type="spellStart"/>
      <w:r>
        <w:t>Grootaers</w:t>
      </w:r>
      <w:proofErr w:type="spellEnd"/>
      <w:r>
        <w:t xml:space="preserve">, 2014b) mériteraient d’être déconstruits au regard du programme institutionnel qu’ils proposent. En prenant appui sur les apports de Dominique </w:t>
      </w:r>
      <w:proofErr w:type="spellStart"/>
      <w:r>
        <w:t>Grootaers</w:t>
      </w:r>
      <w:proofErr w:type="spellEnd"/>
      <w:r>
        <w:t xml:space="preserve"> et de Jacques Cornet, nous nous contenterons d’en proposer ici un métarécit typifié.</w:t>
      </w:r>
    </w:p>
    <w:p w:rsidR="006C4EC3" w:rsidRDefault="006C4EC3" w:rsidP="006C4EC3">
      <w:pPr>
        <w:pStyle w:val="DeBoeckcorpsdetexte"/>
      </w:pPr>
      <w:r>
        <w:t>Tout d’abord, ce « </w:t>
      </w:r>
      <w:r w:rsidRPr="00214131">
        <w:rPr>
          <w:i/>
        </w:rPr>
        <w:t>programme institutionnel critique</w:t>
      </w:r>
      <w:r>
        <w:t xml:space="preserve"> » s’oppose trait pour trait aux axes centraux du programme institutionnel de la première modernité. Là où ce dernier visait à produire à la fois des sujets de raison, des citoyens et des acteurs socioéconomiques insérés, à travers un processus « transmissif » de normes et de savoirs, le programme alternatif vise à construire des sujets épanouis, développés dans l’intégralité de leur personne (et non uniquement formés sur le plan cognitif). Le rapport aux normes y est moins pensé du côté de l’intégration normative que du côté de l’apprentissage à la construction active et responsable de la loi qui fonde le vivre ensemble. Là où il s’agissait d’élever le sujet (« élève ») en le faisant accéder à l’universalité de la Raison et à une communauté politique large (abstraite) pensée à échelle de la Nation, voire de l’Humanité, les approches alternatives valorisent plutôt </w:t>
      </w:r>
      <w:r w:rsidRPr="00015CE6">
        <w:t>l’expérience vécue et les relations avec le milieu proche</w:t>
      </w:r>
      <w:r>
        <w:t xml:space="preserve">. À ce titre, </w:t>
      </w:r>
      <w:proofErr w:type="spellStart"/>
      <w:r>
        <w:t>Grootaers</w:t>
      </w:r>
      <w:proofErr w:type="spellEnd"/>
      <w:r>
        <w:t xml:space="preserve"> a raison de </w:t>
      </w:r>
      <w:r>
        <w:lastRenderedPageBreak/>
        <w:t>souligner la proximité entre la constellation des « approches centrées sur l’enfant » et la conception « pragmatique » de l’éducation inspirée du pédagogue et philosophe J. Dewey.</w:t>
      </w:r>
    </w:p>
    <w:p w:rsidR="006C4EC3" w:rsidRDefault="006C4EC3" w:rsidP="006C4EC3">
      <w:pPr>
        <w:pStyle w:val="DeBoeckcorpsdetexte"/>
      </w:pPr>
      <w:r>
        <w:t xml:space="preserve">Parallèlement, alors que la </w:t>
      </w:r>
      <w:r w:rsidRPr="00214131">
        <w:rPr>
          <w:i/>
        </w:rPr>
        <w:t>forme scolaire</w:t>
      </w:r>
      <w:r>
        <w:t xml:space="preserve"> moderne était axée sur la transmission, l’instruction et la répétition, au cœur d’une école de la discipline, les conceptions éducatives centrées sur l’enfant ont trouvé à s’incarner dans un tout autre format : loin de l’école caserne, on a valorisé l’école « ouverte » sur la vie et la communauté ; la pédagogie transmissive est supplantée par la découverte et la construction des savoirs au cœur de dispositifs collectifs et ancrés dans le « milieu » et l’expérience. L’émancipation, classiquement pensée comme confrontation (et soumission) à l’universel et à la norme, est ici pensée comme construction des capacités critiques au cœur de la vie collective, et comme développement du potentiel du sujet.</w:t>
      </w:r>
    </w:p>
    <w:p w:rsidR="006C4EC3" w:rsidRDefault="006C4EC3" w:rsidP="006C4EC3">
      <w:pPr>
        <w:pStyle w:val="DeBoeckcorpsdetexte"/>
      </w:pPr>
      <w:r>
        <w:t xml:space="preserve">À titre illustratif de ce paradigme alternatif, on peut par exemple décrypter, avec </w:t>
      </w:r>
      <w:proofErr w:type="spellStart"/>
      <w:r>
        <w:t>Grootaers</w:t>
      </w:r>
      <w:proofErr w:type="spellEnd"/>
      <w:r>
        <w:t xml:space="preserve">, le projet pédagogique proposé par Ovide Decroly (Belgique, 1871-1932), en le présentant à partir des trois fonctions du programme institutionnel. Tout d’abord, c’est sans nul doute la </w:t>
      </w:r>
      <w:r w:rsidRPr="001C7A36">
        <w:rPr>
          <w:i/>
        </w:rPr>
        <w:t>fonction d’éducation</w:t>
      </w:r>
      <w:r>
        <w:t xml:space="preserve"> qui est centrale dans cette approche. Elle vise à former, davantage qu’un « élève », un sujet pris dans sa globalité, amené à développer l’ensemble de ses talents et aptitudes, et dont on va stimuler la créativité. Le sujet qu’on veut produire est un être créatif, épanoui et autonome, acteur de son environnement. La pédagogie active « dans et par la vie » qui est proposée (puisque les lieux d’apprentissages sont pluriels, ne se limitent pas à la classe mais s’ouvrent au jardin, à l’atelier, aux sorties …) vise à éveiller et à alimenter constamment la curiosité d’un enfant dont on veut stimuler le dynamisme et respecter le rythme. L’enfant est stimulé à se poser des questions sur lui-même et son milieu, en interaction avec ceux qu’il côtoie : cette curiosité, associée à l’activité et aux interactions sociales constitue le moteur et le carburant des démarches d’apprentissage. Toutefois, </w:t>
      </w:r>
      <w:proofErr w:type="spellStart"/>
      <w:r>
        <w:t>Grootaers</w:t>
      </w:r>
      <w:proofErr w:type="spellEnd"/>
      <w:r>
        <w:t xml:space="preserve"> souligne que la </w:t>
      </w:r>
      <w:r w:rsidRPr="00E01CFD">
        <w:rPr>
          <w:i/>
        </w:rPr>
        <w:t>fonction d’utilité (instrumentale</w:t>
      </w:r>
      <w:r>
        <w:t xml:space="preserve">) n’est pas absente de cette conception, qui reste marquée par le modèle culturel de la modernité, dont il constituerait une variante moins rationaliste ou plus centrée sur l’authenticité du sujet. Ainsi, l’enjeu de ce programme pédagogique est de tirer parti de toute la palette des talents et potentiels des individus, certes pour former des individus créatifs et épanouis, mais aussi pour répondre aux besoins socioéconomiques de la nation. En d’autres termes, le principe d’épanouissement des talents (« toutes les aptitudes et les talents étant </w:t>
      </w:r>
      <w:r w:rsidRPr="000D4D25">
        <w:rPr>
          <w:i/>
        </w:rPr>
        <w:t>a priori</w:t>
      </w:r>
      <w:r>
        <w:t xml:space="preserve"> valorisables et utiles dans la communauté humaine ») s’articule bien ici avec une fonction de différenciation fonctionnelle (répondre au mieux aux besoins diversifiés des sociétés modernes complexes). Enfin, la </w:t>
      </w:r>
      <w:r w:rsidRPr="000841D6">
        <w:rPr>
          <w:i/>
        </w:rPr>
        <w:t xml:space="preserve">fonction </w:t>
      </w:r>
      <w:r>
        <w:rPr>
          <w:i/>
        </w:rPr>
        <w:t>d’intégration sociale</w:t>
      </w:r>
      <w:r>
        <w:t xml:space="preserve"> vise à inscrire l’enfant dans son environnement immédiat, les activités d’apprentissage étant pensées dans un continuum entre l'École et un milieu intégrant autant la nature que le lieu de vie proche (village, ville), les lieux de la production économique et les institutions politiques. Ajoutons que la fonction de socialisation y est clairement marquée par une ambition politique et citoyenne, puisque l’enfant apprend aussi, dans le cadre de procédures démocratiques d’une société « en miniature », à travailler en équipe, à prendre des responsabilités, à mener des projets, à élaborer des règles, à négocier… Il y a donc clairement un objectif de formation d’une communauté politique locale, où l’acteur apprend à agir, à transformer le monde. </w:t>
      </w:r>
      <w:proofErr w:type="spellStart"/>
      <w:r>
        <w:t>Grootaers</w:t>
      </w:r>
      <w:proofErr w:type="spellEnd"/>
      <w:r>
        <w:t xml:space="preserve"> rappelle toutefois que cette fonction d’intégration sociale comporte également une facette « fonctionnelle » ou instrumentale, puisqu’en permettant à l’enfant de développer de telles aptitudes, on prépare aussi son insertion sociale et économique future.</w:t>
      </w:r>
    </w:p>
    <w:p w:rsidR="006C4EC3" w:rsidRDefault="006C4EC3" w:rsidP="006C4EC3">
      <w:pPr>
        <w:pStyle w:val="DeBoeckcorpsdetexte"/>
      </w:pPr>
      <w:r>
        <w:t xml:space="preserve">Il faut préciser (en suivant l’analyse proposée par Jacques Cornet) que cette matrice commune du programme institutionnel alternatif se décline de façon variable au gré des différents courants pédagogiques qualifiés de « nouveaux » ou « critiques ». Si, globalement, ces approches contestent le monopole de la fonction d’utilité, pour privilégier plutôt la </w:t>
      </w:r>
      <w:r>
        <w:lastRenderedPageBreak/>
        <w:t xml:space="preserve">fonction d’éducation et de formation du sujet, on note des variations dans leur conception du Sujet à former. Certains courants promeuvent plutôt le développement d’un sujet authentique et créatif et s’enracinent plutôt dans la cité « inspirée » ou la critique « authentique » (Boltanski &amp; </w:t>
      </w:r>
      <w:proofErr w:type="spellStart"/>
      <w:r>
        <w:t>Chiapello</w:t>
      </w:r>
      <w:proofErr w:type="spellEnd"/>
      <w:r>
        <w:t>, 1999) alors que d’autres (à situer plutôt du côté de l’approche de Célestin Freinet et de la pédagogie institutionnelle) poursuivent plus explicitement la formation d’un Sujet politique, notamment à partir de dispositifs pédagogiques mettant l’accent sur l’institution collective de la Loi. Ils s’inspirent alors davantage de la cité civique.</w:t>
      </w:r>
    </w:p>
    <w:p w:rsidR="006C4EC3" w:rsidRDefault="006C4EC3" w:rsidP="006C4EC3">
      <w:pPr>
        <w:pStyle w:val="DeBoeckcorpsdetexte"/>
      </w:pPr>
      <w:r>
        <w:t xml:space="preserve">En termes de </w:t>
      </w:r>
      <w:r w:rsidRPr="00115E29">
        <w:rPr>
          <w:i/>
        </w:rPr>
        <w:t>gouvernance</w:t>
      </w:r>
      <w:r>
        <w:t>, notons simplement que ce paradigme alternatif considère la sphère éducative comme une institution clé de la construction de la communauté politique ou citoyenne. L’État n’est pas absent de cette perspective, même si c’est plutôt « le politique » qui est à l’honneur : l’École est placée au cœur d’un réseau d’acteurs (familles, milieu, institutions) en charge de définir et de prendre en charge collectivement le projet éducatif. C’est bien une alternative politique que dessine en creux ce programme pédagogique alternatif. Si l’environnement social et le marché sont présents, c’est comme lieux d’inscription du sujet dans le collectif, non comme sphère déterminant de l’extérieur l’École et son régime de connaissance.</w:t>
      </w:r>
    </w:p>
    <w:p w:rsidR="006C4EC3" w:rsidRDefault="006C4EC3" w:rsidP="006C4EC3">
      <w:pPr>
        <w:pStyle w:val="DeBoecksous-titre1"/>
      </w:pPr>
      <w:bookmarkStart w:id="7" w:name="_Toc423095328"/>
      <w:r w:rsidRPr="001F66B9">
        <w:t>5</w:t>
      </w:r>
      <w:r>
        <w:t>.</w:t>
      </w:r>
      <w:r>
        <w:tab/>
      </w:r>
      <w:r>
        <w:tab/>
      </w:r>
      <w:r w:rsidRPr="001F66B9">
        <w:t>Conclusion et ouverture</w:t>
      </w:r>
      <w:bookmarkEnd w:id="7"/>
    </w:p>
    <w:p w:rsidR="006C4EC3" w:rsidRDefault="006C4EC3" w:rsidP="006C4EC3">
      <w:pPr>
        <w:pStyle w:val="DeBoeckcorpsdetexte"/>
      </w:pPr>
      <w:r>
        <w:t>L’analyse des métarécits produits aujourd’hui par deux acteurs dominants (l’acteur « patronal » et les organisations internationales) révèle un projet institutionnel clair pour l’École de demain. Les systèmes éducatifs formels et, plus profondément, « la forme scolaire » dans son rapport particulier aux savoirs, à la discipline et à l’émancipation, font l’objet d’une critique à la fois fonctionnelle et normative. Fonctionnelle, d’une part, puisque l’École « moderne » est accusée (non sans raison, si l’on en croit les indicateurs internationaux) de ne pas tenir les promesses de démocratisation et d’égalité des chances qu’elle s’était données avec le projet des Lumières. Mais surtout normative, lorsque sa fonction éducative de formation d’un Sujet et d’un citoyen est tantôt secondarisée voire ravalée au rang d’utopie, tantôt tout bonnement « </w:t>
      </w:r>
      <w:proofErr w:type="spellStart"/>
      <w:r>
        <w:t>invisibilisée</w:t>
      </w:r>
      <w:proofErr w:type="spellEnd"/>
      <w:r>
        <w:t xml:space="preserve"> », tant la fonction d’utilité, parfois exclusivement économique, sert de référentiel central d’évaluation. La visibilité croissante de l’acteur patronal dans le débat public sur l’éducation, ainsi que le rôle de </w:t>
      </w:r>
      <w:r w:rsidRPr="0030630D">
        <w:rPr>
          <w:i/>
        </w:rPr>
        <w:t xml:space="preserve">soft </w:t>
      </w:r>
      <w:proofErr w:type="spellStart"/>
      <w:r w:rsidRPr="0030630D">
        <w:rPr>
          <w:i/>
        </w:rPr>
        <w:t>governance</w:t>
      </w:r>
      <w:proofErr w:type="spellEnd"/>
      <w:r>
        <w:t xml:space="preserve"> endossé par les organisations internationales, témoignent de la naturalisation croissante de ce paradigme. Ce programme institutionnel promeut un nouveau régime de la connaissance, mis au service d’un projet de société qui semble dépolitisé : ainsi, la gouvernance se fait plus performative (centrée sur l’efficacité et la réalisation d’objectifs) que normative (centrée sur des valeurs collectives). L’État lui-même, lorsqu’il reste encore considéré comme un acteur pertinent, se profile davantage comme une échelle de coordination parmi d’autres d’un projet technique d’amélioration de résultats ; à moins qu’il ne se dilue dans le marché ou ne se fragmente dans des collectivités locales ou des réseaux d’apprenants. La fonction d’éducation mute, elle aussi, lorsqu’elle prétend produire un sujet habilité à s’insérer dans une société et un marché qui requièrent davantage des capacités d’adaptation qu’une véritable réflexivité critique prenant appui sur des valeurs communes.</w:t>
      </w:r>
    </w:p>
    <w:p w:rsidR="006C4EC3" w:rsidRDefault="006C4EC3" w:rsidP="006C4EC3">
      <w:pPr>
        <w:pStyle w:val="DeBoeckcorpsdetexte"/>
      </w:pPr>
      <w:r>
        <w:t>Qu’en est-il alors des alternatives, des projets institutionnels susceptibles de résister à ce nouveau régime de vérité ? Les pédagogies « critiques » du XX</w:t>
      </w:r>
      <w:r w:rsidRPr="0030630D">
        <w:rPr>
          <w:vertAlign w:val="superscript"/>
        </w:rPr>
        <w:t>e</w:t>
      </w:r>
      <w:r>
        <w:t xml:space="preserve"> siècle avaient tracé une voie, renversant l’ordre de priorité entre la fonction instrumentale et la fonction éducative, et cherchant à inventer une forme scolaire ouverte, plus propice à soutenir le développement d’individus créatifs, authentiques et acteurs politiques dans la Cité. Mais si l’on observe bien le métarécit hégémonique contemporain, on peut se demander s’il n’a pas en partie phagocyté </w:t>
      </w:r>
      <w:r>
        <w:lastRenderedPageBreak/>
        <w:t>ces critiques. Ainsi, lorsque le nouveau récit dominant évoque le développement du « potentiel » de l’individu et de la diversité des talents et des aptitudes, c’est essentiellement pour les mobiliser, jusque dans leur subjectivité et leurs désirs, dans les besoins d’innovation et de connectivité de l’économie globalisée. Et lorsqu’on promeut aujourd’hui les communautés et les réseaux d’apprenants, il s’agit moins de communautés politiques que de collectifs tournés eux aussi vers l’amélioration efficace de processus technicisés d’apprentissage. Témoignant d’une telle dynamique, de nouveaux prestataires de service éducatifs (souvent privés) ont récemment émergé en marge du système ou pour répondre à ses défaillances (voir chapitre 1). En mettant au centre de leur récit l’individu, la révélation de ses talents et la construction de sa motivation, en inscrivant l’École dans sa communauté locale, définie comme communauté de vie mais aussi comme économie locale, en promouvant l’esprit d’entreprendre et la capacité d’initiative, ceux-ci reprennent à nouveaux frais certains des éléments du programme pédagogique « critique » du siècle passé, en les hybridant avec certains éléments centraux du métarécit dominant porté par le patronat, l'OCDE et l'UE.</w:t>
      </w:r>
    </w:p>
    <w:p w:rsidR="006C4EC3" w:rsidRDefault="006C4EC3" w:rsidP="006C4EC3">
      <w:pPr>
        <w:pStyle w:val="DeBoeckcorpsdetexte"/>
      </w:pPr>
      <w:r>
        <w:t>Tout ceci invite à nous interroger sur le devenir de la critique pédagogique face à un paradigme éducatif dominant dont le récit et les normes ont eux-mêmes évolué.</w:t>
      </w:r>
    </w:p>
    <w:p w:rsidR="00DE5C2F" w:rsidRDefault="006C4EC3" w:rsidP="006C4EC3">
      <w:r>
        <w:br w:type="page"/>
      </w:r>
    </w:p>
    <w:sectPr w:rsidR="00DE5C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49C" w:rsidRDefault="00EC149C" w:rsidP="006C4EC3">
      <w:r>
        <w:separator/>
      </w:r>
    </w:p>
  </w:endnote>
  <w:endnote w:type="continuationSeparator" w:id="0">
    <w:p w:rsidR="00EC149C" w:rsidRDefault="00EC149C" w:rsidP="006C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49C" w:rsidRDefault="00EC149C" w:rsidP="006C4EC3">
      <w:r>
        <w:separator/>
      </w:r>
    </w:p>
  </w:footnote>
  <w:footnote w:type="continuationSeparator" w:id="0">
    <w:p w:rsidR="00EC149C" w:rsidRDefault="00EC149C" w:rsidP="006C4EC3">
      <w:r>
        <w:continuationSeparator/>
      </w:r>
    </w:p>
  </w:footnote>
  <w:footnote w:id="1">
    <w:p w:rsidR="006C4EC3" w:rsidRPr="009A34BD" w:rsidRDefault="006C4EC3" w:rsidP="006C4EC3">
      <w:pPr>
        <w:pStyle w:val="DeBoecknotedebasdepage"/>
      </w:pPr>
      <w:r w:rsidRPr="009A34BD">
        <w:rPr>
          <w:rStyle w:val="Appelnotedebasdep"/>
        </w:rPr>
        <w:footnoteRef/>
      </w:r>
      <w:r w:rsidRPr="009A34BD">
        <w:t xml:space="preserve"> Ce texte s’appuie pour une large part sur les discussions qui ont animé l’atelier </w:t>
      </w:r>
      <w:r>
        <w:t>« </w:t>
      </w:r>
      <w:r w:rsidRPr="009A34BD">
        <w:t>programme institutionnel</w:t>
      </w:r>
      <w:r>
        <w:t> »</w:t>
      </w:r>
      <w:r w:rsidRPr="009A34BD">
        <w:t xml:space="preserve"> du colloque du GIRSEF, ainsi que sa préparation. Y ont participé, en plus des co-auteurs du chapitre, </w:t>
      </w:r>
      <w:proofErr w:type="spellStart"/>
      <w:r w:rsidRPr="009A34BD">
        <w:t>Rocío</w:t>
      </w:r>
      <w:proofErr w:type="spellEnd"/>
      <w:r w:rsidRPr="009A34BD">
        <w:t xml:space="preserve"> </w:t>
      </w:r>
      <w:proofErr w:type="spellStart"/>
      <w:r w:rsidRPr="009A34BD">
        <w:t>Ferrada</w:t>
      </w:r>
      <w:proofErr w:type="spellEnd"/>
      <w:r w:rsidRPr="009A34BD">
        <w:t xml:space="preserve"> </w:t>
      </w:r>
      <w:proofErr w:type="spellStart"/>
      <w:r w:rsidRPr="009A34BD">
        <w:t>Hurtado</w:t>
      </w:r>
      <w:proofErr w:type="spellEnd"/>
      <w:r w:rsidRPr="009A34BD">
        <w:t xml:space="preserve"> (doctorante GIRSEF), et, comme </w:t>
      </w:r>
      <w:proofErr w:type="spellStart"/>
      <w:r w:rsidRPr="009A34BD">
        <w:t>discutants</w:t>
      </w:r>
      <w:proofErr w:type="spellEnd"/>
      <w:r w:rsidRPr="009A34BD">
        <w:t xml:space="preserve"> de l’atelier, Thomas </w:t>
      </w:r>
      <w:proofErr w:type="spellStart"/>
      <w:r w:rsidRPr="009A34BD">
        <w:t>Lemaigre</w:t>
      </w:r>
      <w:proofErr w:type="spellEnd"/>
      <w:r w:rsidRPr="009A34BD">
        <w:t xml:space="preserve"> (chercheur indépendant) et Jacques Cornet (</w:t>
      </w:r>
      <w:proofErr w:type="spellStart"/>
      <w:r w:rsidRPr="009A34BD">
        <w:t>Helmo</w:t>
      </w:r>
      <w:proofErr w:type="spellEnd"/>
      <w:r w:rsidRPr="009A34BD">
        <w:t xml:space="preserve">), dont les apports n’ont pas tous pu être intégrés ici faute de place. L’intervention orale de Jacques Cornet est à la source d’une partie des analyses sur les liens entre forme scolaire et </w:t>
      </w:r>
      <w:r>
        <w:t>« </w:t>
      </w:r>
      <w:r w:rsidRPr="009A34BD">
        <w:t>alternatives pédagogiques</w:t>
      </w:r>
      <w:r>
        <w:t> »</w:t>
      </w:r>
      <w:r w:rsidRPr="009A34BD">
        <w:t>. La réflexion globale de l’atelier a également bénéficié des commentaires avisés de Ch</w:t>
      </w:r>
      <w:r>
        <w:t xml:space="preserve">ristian </w:t>
      </w:r>
      <w:proofErr w:type="spellStart"/>
      <w:r>
        <w:t>Maroy</w:t>
      </w:r>
      <w:proofErr w:type="spellEnd"/>
      <w:r>
        <w:t xml:space="preserve"> (UCL/U Montréal).</w:t>
      </w:r>
    </w:p>
  </w:footnote>
  <w:footnote w:id="2">
    <w:p w:rsidR="006C4EC3" w:rsidRPr="009A34BD" w:rsidRDefault="006C4EC3" w:rsidP="006C4EC3">
      <w:pPr>
        <w:pStyle w:val="DeBoecknotedebasdepage"/>
      </w:pPr>
      <w:r w:rsidRPr="009A34BD">
        <w:rPr>
          <w:rStyle w:val="Appelnotedebasdep"/>
        </w:rPr>
        <w:footnoteRef/>
      </w:r>
      <w:r w:rsidRPr="009A34BD">
        <w:t xml:space="preserve"> Nous entendrons par </w:t>
      </w:r>
      <w:r>
        <w:t>« </w:t>
      </w:r>
      <w:r w:rsidRPr="009A34BD">
        <w:t>métarécit</w:t>
      </w:r>
      <w:r>
        <w:t> »</w:t>
      </w:r>
      <w:r w:rsidRPr="009A34BD">
        <w:t xml:space="preserve"> une structure de sens typifiée qui se dégage de l’analyse des discours des acteurs concernant leur conception de l’éducation à promouvoir.</w:t>
      </w:r>
    </w:p>
  </w:footnote>
  <w:footnote w:id="3">
    <w:p w:rsidR="006C4EC3" w:rsidRPr="009A34BD" w:rsidRDefault="006C4EC3" w:rsidP="006C4EC3">
      <w:pPr>
        <w:pStyle w:val="DeBoecknotedebasdepage"/>
      </w:pPr>
      <w:r w:rsidRPr="009A34BD">
        <w:rPr>
          <w:rStyle w:val="Appelnotedebasdep"/>
        </w:rPr>
        <w:footnoteRef/>
      </w:r>
      <w:r w:rsidRPr="009A34BD">
        <w:t xml:space="preserve"> Une définition plus extensive de la notion de programme institutionnel telle que proposée par Dubet (2002) est proposée dans le chapitre 1 de cet ouvrage.</w:t>
      </w:r>
    </w:p>
  </w:footnote>
  <w:footnote w:id="4">
    <w:p w:rsidR="006C4EC3" w:rsidRPr="009A34BD" w:rsidRDefault="006C4EC3" w:rsidP="006C4EC3">
      <w:pPr>
        <w:pStyle w:val="DeBoecknotedebasdepage"/>
      </w:pPr>
      <w:r w:rsidRPr="009A34BD">
        <w:rPr>
          <w:rStyle w:val="Appelnotedebasdep"/>
        </w:rPr>
        <w:footnoteRef/>
      </w:r>
      <w:r w:rsidRPr="009A34BD">
        <w:t xml:space="preserve"> Les principales sources mobilisées pour construire cette partie sont</w:t>
      </w:r>
      <w:r>
        <w:t> :</w:t>
      </w:r>
      <w:r w:rsidRPr="009A34BD">
        <w:t xml:space="preserve"> </w:t>
      </w:r>
      <w:proofErr w:type="spellStart"/>
      <w:r w:rsidRPr="009A34BD">
        <w:t>Carnoy</w:t>
      </w:r>
      <w:proofErr w:type="spellEnd"/>
      <w:r w:rsidRPr="009A34BD">
        <w:t xml:space="preserve">, M. (2001), </w:t>
      </w:r>
      <w:r w:rsidRPr="009A34BD">
        <w:rPr>
          <w:b/>
          <w:bCs/>
        </w:rPr>
        <w:t>“</w:t>
      </w:r>
      <w:r w:rsidRPr="009A34BD">
        <w:t>Le travail, la soci</w:t>
      </w:r>
      <w:r w:rsidRPr="009A34BD">
        <w:rPr>
          <w:bCs/>
        </w:rPr>
        <w:t>é</w:t>
      </w:r>
      <w:r w:rsidRPr="009A34BD">
        <w:t>t</w:t>
      </w:r>
      <w:r w:rsidRPr="009A34BD">
        <w:rPr>
          <w:bCs/>
        </w:rPr>
        <w:t>é</w:t>
      </w:r>
      <w:r w:rsidRPr="009A34BD">
        <w:t>, la famille et l</w:t>
      </w:r>
      <w:r w:rsidRPr="009A34BD">
        <w:rPr>
          <w:b/>
          <w:bCs/>
        </w:rPr>
        <w:t>’</w:t>
      </w:r>
      <w:r w:rsidRPr="009A34BD">
        <w:t>apprentissage pour l</w:t>
      </w:r>
      <w:r w:rsidRPr="009A34BD">
        <w:rPr>
          <w:b/>
          <w:bCs/>
        </w:rPr>
        <w:t>’</w:t>
      </w:r>
      <w:r w:rsidRPr="009A34BD">
        <w:t>avenir</w:t>
      </w:r>
      <w:r w:rsidRPr="009A34BD">
        <w:rPr>
          <w:b/>
          <w:bCs/>
        </w:rPr>
        <w:t>”</w:t>
      </w:r>
      <w:r w:rsidRPr="009A34BD">
        <w:t xml:space="preserve">, chapitre 5 dans OCDE, 2001a. </w:t>
      </w:r>
      <w:proofErr w:type="spellStart"/>
      <w:r w:rsidRPr="009A34BD">
        <w:t>Istance</w:t>
      </w:r>
      <w:proofErr w:type="spellEnd"/>
      <w:r w:rsidRPr="009A34BD">
        <w:t>, D. (OCDE/CERI) (2002). Programme de l’OCDE pour la construction et l’équipement de l’éducation. Guadalajara, Jalisco, Mexique</w:t>
      </w:r>
      <w:r>
        <w:t> :</w:t>
      </w:r>
      <w:r w:rsidRPr="009A34BD">
        <w:t xml:space="preserve"> Séminaire international. Jolly, R. (2000) "Les inégalités au niveau mondial, les droits de la personne et les paris du</w:t>
      </w:r>
      <w:r>
        <w:t xml:space="preserve"> </w:t>
      </w:r>
      <w:r w:rsidRPr="009A34BD">
        <w:t>21ème siècle", dans OCDE 2000b. OCDE (2001a), Quel avenir pour nos écoles</w:t>
      </w:r>
      <w:r>
        <w:t> ?</w:t>
      </w:r>
      <w:r w:rsidRPr="009A34BD">
        <w:t xml:space="preserve"> Paris. OCDE (2001b) Du bien-être des nations -- le rôle du capital humain et social, Paris. OCDE (2001c), Analyse des politiques d’éducation, édition de 2001, Paris. OCDE (2000a), Société du savoir et gestion des connaissances, Paris. OCDE (2000b), La société créative du 21ème siècle, Paris. OCDE (1999), Tendances des migrations internationales, Paris.</w:t>
      </w:r>
    </w:p>
  </w:footnote>
  <w:footnote w:id="5">
    <w:p w:rsidR="006C4EC3" w:rsidRPr="009A34BD" w:rsidRDefault="006C4EC3" w:rsidP="006C4EC3">
      <w:pPr>
        <w:pStyle w:val="DeBoecknotedebasdepage"/>
      </w:pPr>
      <w:r w:rsidRPr="009A34BD">
        <w:rPr>
          <w:rStyle w:val="Appelnotedebasdep"/>
        </w:rPr>
        <w:footnoteRef/>
      </w:r>
      <w:r w:rsidRPr="009A34BD">
        <w:t xml:space="preserve"> La notion de </w:t>
      </w:r>
      <w:r w:rsidRPr="005812F4">
        <w:rPr>
          <w:i/>
        </w:rPr>
        <w:t xml:space="preserve">soft </w:t>
      </w:r>
      <w:proofErr w:type="spellStart"/>
      <w:r w:rsidRPr="005812F4">
        <w:rPr>
          <w:i/>
        </w:rPr>
        <w:t>policy</w:t>
      </w:r>
      <w:proofErr w:type="spellEnd"/>
      <w:r w:rsidRPr="009A34BD">
        <w:t xml:space="preserve"> (</w:t>
      </w:r>
      <w:proofErr w:type="spellStart"/>
      <w:r w:rsidRPr="009A34BD">
        <w:t>Lawn</w:t>
      </w:r>
      <w:proofErr w:type="spellEnd"/>
      <w:r w:rsidRPr="009A34BD">
        <w:t>, 2006</w:t>
      </w:r>
      <w:r>
        <w:t> ;</w:t>
      </w:r>
      <w:r w:rsidRPr="009A34BD">
        <w:t xml:space="preserve"> </w:t>
      </w:r>
      <w:proofErr w:type="spellStart"/>
      <w:r w:rsidRPr="009A34BD">
        <w:t>Grek</w:t>
      </w:r>
      <w:proofErr w:type="spellEnd"/>
      <w:r w:rsidRPr="009A34BD">
        <w:t xml:space="preserve"> &amp; al. 2009) désigne une des modalités centrales de l’action publique aujourd’hui, qui, sans s’appuyer sur des dispositifs de régulation contraignants (d’ordre légal, par exemple), contribue à transformer les cadres de perception et de construction politique des problèmes sociaux. Ceci au travers d’instruments allant de textes à teneur normative (livres </w:t>
      </w:r>
      <w:r>
        <w:t>« </w:t>
      </w:r>
      <w:r w:rsidRPr="009A34BD">
        <w:t>blancs</w:t>
      </w:r>
      <w:r>
        <w:t> »</w:t>
      </w:r>
      <w:r w:rsidRPr="009A34BD">
        <w:t xml:space="preserve">, recommandations…), de rapports d’expertise ou </w:t>
      </w:r>
      <w:r>
        <w:t>« </w:t>
      </w:r>
      <w:r w:rsidRPr="009A34BD">
        <w:t>d’outils</w:t>
      </w:r>
      <w:r>
        <w:t> »</w:t>
      </w:r>
      <w:r w:rsidRPr="009A34BD">
        <w:t xml:space="preserve"> de mesure ou d’évaluation qui, tout en restant </w:t>
      </w:r>
      <w:r>
        <w:t>« </w:t>
      </w:r>
      <w:r w:rsidRPr="009A34BD">
        <w:t>ouverts</w:t>
      </w:r>
      <w:r>
        <w:t> »</w:t>
      </w:r>
      <w:r w:rsidRPr="009A34BD">
        <w:t xml:space="preserve"> sur leur implémentation, induisent des effets de construction des problèmes publics et de légitimation des réponses à y apporter.</w:t>
      </w:r>
    </w:p>
  </w:footnote>
  <w:footnote w:id="6">
    <w:p w:rsidR="006C4EC3" w:rsidRPr="009A34BD" w:rsidRDefault="006C4EC3" w:rsidP="006C4EC3">
      <w:pPr>
        <w:pStyle w:val="DeBoecknotedebasdepage"/>
      </w:pPr>
      <w:r w:rsidRPr="009A34BD">
        <w:rPr>
          <w:rStyle w:val="Appelnotedebasdep"/>
        </w:rPr>
        <w:footnoteRef/>
      </w:r>
      <w:r w:rsidRPr="009A34BD">
        <w:t xml:space="preserve"> Voir par exemple les huit compétences clés de la Recommandation 2006/962/CE du Parlement européen et du Conseil, du 18 décembre 2006, sur les compétences clés pour l’éducation et la formation tout au long de la vie.</w:t>
      </w:r>
    </w:p>
  </w:footnote>
  <w:footnote w:id="7">
    <w:p w:rsidR="006C4EC3" w:rsidRPr="009A34BD" w:rsidRDefault="006C4EC3" w:rsidP="006C4EC3">
      <w:pPr>
        <w:pStyle w:val="DeBoecknotedebasdepage"/>
      </w:pPr>
      <w:r w:rsidRPr="009A34BD">
        <w:rPr>
          <w:rStyle w:val="Appelnotedebasdep"/>
        </w:rPr>
        <w:footnoteRef/>
      </w:r>
      <w:r w:rsidRPr="009A34BD">
        <w:t xml:space="preserve"> Ce concept, proposé par le sociologue britannique Mark Bray, renvoie à l’ensemble des services privés payants de tutorat et de soutien scolaire, qui a pris énormément d’ampleur durant les deux dernières décennies.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EC3"/>
    <w:rsid w:val="002B57E9"/>
    <w:rsid w:val="004166FD"/>
    <w:rsid w:val="00613D51"/>
    <w:rsid w:val="006C4EC3"/>
    <w:rsid w:val="006D5875"/>
    <w:rsid w:val="009D4F79"/>
    <w:rsid w:val="00DE5C2F"/>
    <w:rsid w:val="00EC149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EC3"/>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BoeckTitrechapitre">
    <w:name w:val="De Boeck Titre chapitre"/>
    <w:basedOn w:val="Normal"/>
    <w:qFormat/>
    <w:rsid w:val="006C4EC3"/>
    <w:pPr>
      <w:spacing w:before="360" w:after="600"/>
      <w:jc w:val="center"/>
      <w:outlineLvl w:val="1"/>
    </w:pPr>
    <w:rPr>
      <w:rFonts w:ascii="Arial" w:hAnsi="Arial"/>
      <w:b/>
    </w:rPr>
  </w:style>
  <w:style w:type="paragraph" w:customStyle="1" w:styleId="DeBoeckauteurchapitre">
    <w:name w:val="De Boeck auteur chapitre"/>
    <w:basedOn w:val="Normal"/>
    <w:qFormat/>
    <w:rsid w:val="006C4EC3"/>
    <w:pPr>
      <w:pBdr>
        <w:top w:val="single" w:sz="4" w:space="1" w:color="auto"/>
      </w:pBdr>
      <w:tabs>
        <w:tab w:val="left" w:pos="567"/>
        <w:tab w:val="left" w:pos="2700"/>
      </w:tabs>
      <w:spacing w:after="480"/>
      <w:jc w:val="right"/>
    </w:pPr>
    <w:rPr>
      <w:rFonts w:eastAsia="SimSun"/>
      <w:bCs/>
      <w:smallCaps/>
      <w:color w:val="000000"/>
      <w:kern w:val="28"/>
      <w:sz w:val="20"/>
      <w:lang w:val="fr-BE" w:eastAsia="zh-CN"/>
    </w:rPr>
  </w:style>
  <w:style w:type="paragraph" w:customStyle="1" w:styleId="DeBoeckcorpsdetexte">
    <w:name w:val="De Boeck corps de texte"/>
    <w:basedOn w:val="Normal"/>
    <w:qFormat/>
    <w:rsid w:val="006C4EC3"/>
    <w:pPr>
      <w:spacing w:after="120"/>
      <w:ind w:firstLine="709"/>
      <w:jc w:val="both"/>
    </w:pPr>
  </w:style>
  <w:style w:type="paragraph" w:customStyle="1" w:styleId="DeBoecksous-titre1">
    <w:name w:val="De Boeck sous-titre 1"/>
    <w:basedOn w:val="Normal"/>
    <w:qFormat/>
    <w:rsid w:val="006C4EC3"/>
    <w:pPr>
      <w:keepNext/>
      <w:tabs>
        <w:tab w:val="left" w:pos="357"/>
      </w:tabs>
      <w:spacing w:before="600" w:after="240"/>
      <w:ind w:left="357" w:hanging="357"/>
      <w:outlineLvl w:val="2"/>
    </w:pPr>
    <w:rPr>
      <w:b/>
    </w:rPr>
  </w:style>
  <w:style w:type="paragraph" w:customStyle="1" w:styleId="DeBoecknotedebasdepage">
    <w:name w:val="De Boeck note de bas de page"/>
    <w:basedOn w:val="Normal"/>
    <w:qFormat/>
    <w:rsid w:val="006C4EC3"/>
    <w:pPr>
      <w:tabs>
        <w:tab w:val="left" w:pos="360"/>
      </w:tabs>
      <w:spacing w:after="120"/>
      <w:ind w:left="448" w:hanging="448"/>
      <w:jc w:val="both"/>
    </w:pPr>
    <w:rPr>
      <w:sz w:val="20"/>
      <w:szCs w:val="20"/>
    </w:rPr>
  </w:style>
  <w:style w:type="character" w:styleId="Appelnotedebasdep">
    <w:name w:val="footnote reference"/>
    <w:unhideWhenUsed/>
    <w:rsid w:val="006C4EC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EC3"/>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BoeckTitrechapitre">
    <w:name w:val="De Boeck Titre chapitre"/>
    <w:basedOn w:val="Normal"/>
    <w:qFormat/>
    <w:rsid w:val="006C4EC3"/>
    <w:pPr>
      <w:spacing w:before="360" w:after="600"/>
      <w:jc w:val="center"/>
      <w:outlineLvl w:val="1"/>
    </w:pPr>
    <w:rPr>
      <w:rFonts w:ascii="Arial" w:hAnsi="Arial"/>
      <w:b/>
    </w:rPr>
  </w:style>
  <w:style w:type="paragraph" w:customStyle="1" w:styleId="DeBoeckauteurchapitre">
    <w:name w:val="De Boeck auteur chapitre"/>
    <w:basedOn w:val="Normal"/>
    <w:qFormat/>
    <w:rsid w:val="006C4EC3"/>
    <w:pPr>
      <w:pBdr>
        <w:top w:val="single" w:sz="4" w:space="1" w:color="auto"/>
      </w:pBdr>
      <w:tabs>
        <w:tab w:val="left" w:pos="567"/>
        <w:tab w:val="left" w:pos="2700"/>
      </w:tabs>
      <w:spacing w:after="480"/>
      <w:jc w:val="right"/>
    </w:pPr>
    <w:rPr>
      <w:rFonts w:eastAsia="SimSun"/>
      <w:bCs/>
      <w:smallCaps/>
      <w:color w:val="000000"/>
      <w:kern w:val="28"/>
      <w:sz w:val="20"/>
      <w:lang w:val="fr-BE" w:eastAsia="zh-CN"/>
    </w:rPr>
  </w:style>
  <w:style w:type="paragraph" w:customStyle="1" w:styleId="DeBoeckcorpsdetexte">
    <w:name w:val="De Boeck corps de texte"/>
    <w:basedOn w:val="Normal"/>
    <w:qFormat/>
    <w:rsid w:val="006C4EC3"/>
    <w:pPr>
      <w:spacing w:after="120"/>
      <w:ind w:firstLine="709"/>
      <w:jc w:val="both"/>
    </w:pPr>
  </w:style>
  <w:style w:type="paragraph" w:customStyle="1" w:styleId="DeBoecksous-titre1">
    <w:name w:val="De Boeck sous-titre 1"/>
    <w:basedOn w:val="Normal"/>
    <w:qFormat/>
    <w:rsid w:val="006C4EC3"/>
    <w:pPr>
      <w:keepNext/>
      <w:tabs>
        <w:tab w:val="left" w:pos="357"/>
      </w:tabs>
      <w:spacing w:before="600" w:after="240"/>
      <w:ind w:left="357" w:hanging="357"/>
      <w:outlineLvl w:val="2"/>
    </w:pPr>
    <w:rPr>
      <w:b/>
    </w:rPr>
  </w:style>
  <w:style w:type="paragraph" w:customStyle="1" w:styleId="DeBoecknotedebasdepage">
    <w:name w:val="De Boeck note de bas de page"/>
    <w:basedOn w:val="Normal"/>
    <w:qFormat/>
    <w:rsid w:val="006C4EC3"/>
    <w:pPr>
      <w:tabs>
        <w:tab w:val="left" w:pos="360"/>
      </w:tabs>
      <w:spacing w:after="120"/>
      <w:ind w:left="448" w:hanging="448"/>
      <w:jc w:val="both"/>
    </w:pPr>
    <w:rPr>
      <w:sz w:val="20"/>
      <w:szCs w:val="20"/>
    </w:rPr>
  </w:style>
  <w:style w:type="character" w:styleId="Appelnotedebasdep">
    <w:name w:val="footnote reference"/>
    <w:unhideWhenUsed/>
    <w:rsid w:val="006C4E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6676</Words>
  <Characters>36719</Characters>
  <Application>Microsoft Office Word</Application>
  <DocSecurity>0</DocSecurity>
  <Lines>305</Lines>
  <Paragraphs>86</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43309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SIWS</dc:creator>
  <cp:lastModifiedBy>Marie Verhoeven</cp:lastModifiedBy>
  <cp:revision>2</cp:revision>
  <dcterms:created xsi:type="dcterms:W3CDTF">2017-01-26T16:24:00Z</dcterms:created>
  <dcterms:modified xsi:type="dcterms:W3CDTF">2017-01-26T16:24:00Z</dcterms:modified>
</cp:coreProperties>
</file>