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949" w:rsidRPr="000B7C7A" w:rsidRDefault="002F7949" w:rsidP="004930E0">
      <w:pPr>
        <w:spacing w:line="240" w:lineRule="auto"/>
        <w:jc w:val="center"/>
        <w:rPr>
          <w:b/>
        </w:rPr>
      </w:pPr>
      <w:r w:rsidRPr="000B7C7A">
        <w:rPr>
          <w:b/>
        </w:rPr>
        <w:t>La théologie pratique au défi de son épistémologie</w:t>
      </w:r>
    </w:p>
    <w:p w:rsidR="00141EE8" w:rsidRDefault="00141EE8" w:rsidP="004930E0">
      <w:pPr>
        <w:spacing w:line="240" w:lineRule="auto"/>
        <w:jc w:val="center"/>
      </w:pPr>
      <w:r>
        <w:t>Arnaud Join-Lambert</w:t>
      </w:r>
    </w:p>
    <w:p w:rsidR="003E64D3" w:rsidRDefault="003E64D3" w:rsidP="004930E0">
      <w:pPr>
        <w:spacing w:line="240" w:lineRule="auto"/>
      </w:pPr>
    </w:p>
    <w:p w:rsidR="00081F75" w:rsidRPr="00081F75" w:rsidRDefault="00081F75" w:rsidP="004930E0">
      <w:pPr>
        <w:pStyle w:val="Titre"/>
      </w:pPr>
      <w:proofErr w:type="gramStart"/>
      <w:r w:rsidRPr="00081F75">
        <w:t>résumé</w:t>
      </w:r>
      <w:proofErr w:type="gramEnd"/>
    </w:p>
    <w:p w:rsidR="00081F75" w:rsidRDefault="003978E2" w:rsidP="004930E0">
      <w:pPr>
        <w:spacing w:line="240" w:lineRule="auto"/>
        <w:rPr>
          <w:lang w:val="fr-FR" w:eastAsia="fr-FR"/>
        </w:rPr>
      </w:pPr>
      <w:r>
        <w:rPr>
          <w:lang w:val="fr-FR" w:eastAsia="fr-FR"/>
        </w:rPr>
        <w:t xml:space="preserve">L’épistémologie est un domaine </w:t>
      </w:r>
      <w:r w:rsidR="00DC0FFD">
        <w:rPr>
          <w:lang w:val="fr-FR" w:eastAsia="fr-FR"/>
        </w:rPr>
        <w:t xml:space="preserve">un </w:t>
      </w:r>
      <w:r>
        <w:rPr>
          <w:lang w:val="fr-FR" w:eastAsia="fr-FR"/>
        </w:rPr>
        <w:t xml:space="preserve">peu </w:t>
      </w:r>
      <w:r w:rsidR="00DC0FFD">
        <w:rPr>
          <w:lang w:val="fr-FR" w:eastAsia="fr-FR"/>
        </w:rPr>
        <w:t>oublié</w:t>
      </w:r>
      <w:r>
        <w:rPr>
          <w:lang w:val="fr-FR" w:eastAsia="fr-FR"/>
        </w:rPr>
        <w:t xml:space="preserve"> en théologie pratique, à la différence de la méthodologie. L’article développe l’hypothèse selon laquelle la manière dont un théologien ou une théologienne pratique situe la dimension empirique dans la construction d’ensemble de sa recherche</w:t>
      </w:r>
      <w:r w:rsidR="000B1604">
        <w:rPr>
          <w:lang w:val="fr-FR" w:eastAsia="fr-FR"/>
        </w:rPr>
        <w:t>,</w:t>
      </w:r>
      <w:r>
        <w:rPr>
          <w:lang w:val="fr-FR" w:eastAsia="fr-FR"/>
        </w:rPr>
        <w:t xml:space="preserve"> est significative d’une épistémologie implicite. Il y aurait des ancrages épistémologiques différents selon que les données du terrain sont situées en première partie, en deuxième partie ou disséminées tout au long de l’étude. Ce choix </w:t>
      </w:r>
      <w:r w:rsidR="003D5081">
        <w:rPr>
          <w:lang w:val="fr-FR" w:eastAsia="fr-FR"/>
        </w:rPr>
        <w:t>serait</w:t>
      </w:r>
      <w:r>
        <w:rPr>
          <w:lang w:val="fr-FR" w:eastAsia="fr-FR"/>
        </w:rPr>
        <w:t xml:space="preserve"> lié au statut de l’expérience de foi</w:t>
      </w:r>
      <w:r w:rsidR="00F26FC3">
        <w:rPr>
          <w:lang w:val="fr-FR" w:eastAsia="fr-FR"/>
        </w:rPr>
        <w:t xml:space="preserve"> dans la recherche. L’important</w:t>
      </w:r>
      <w:r>
        <w:rPr>
          <w:lang w:val="fr-FR" w:eastAsia="fr-FR"/>
        </w:rPr>
        <w:t xml:space="preserve"> est alors d’être bien au clair sur les fondements et implications de la manière choisie de développer la recherche.</w:t>
      </w:r>
      <w:bookmarkStart w:id="0" w:name="_GoBack"/>
      <w:bookmarkEnd w:id="0"/>
    </w:p>
    <w:p w:rsidR="003978E2" w:rsidRPr="00081F75" w:rsidRDefault="003978E2" w:rsidP="004930E0">
      <w:pPr>
        <w:spacing w:line="240" w:lineRule="auto"/>
        <w:rPr>
          <w:lang w:val="fr-FR" w:eastAsia="fr-FR"/>
        </w:rPr>
      </w:pPr>
    </w:p>
    <w:p w:rsidR="008F5EF4" w:rsidRPr="00F77A7A" w:rsidRDefault="00081F75" w:rsidP="004930E0">
      <w:pPr>
        <w:pStyle w:val="Titre"/>
        <w:rPr>
          <w:lang w:val="en-US"/>
        </w:rPr>
      </w:pPr>
      <w:proofErr w:type="gramStart"/>
      <w:r w:rsidRPr="00F77A7A">
        <w:rPr>
          <w:lang w:val="en-US"/>
        </w:rPr>
        <w:t>summary</w:t>
      </w:r>
      <w:proofErr w:type="gramEnd"/>
    </w:p>
    <w:p w:rsidR="00081F75" w:rsidRPr="00DC0FFD" w:rsidRDefault="00DC0FFD" w:rsidP="004930E0">
      <w:pPr>
        <w:spacing w:line="240" w:lineRule="auto"/>
        <w:rPr>
          <w:lang w:val="en-US"/>
        </w:rPr>
      </w:pPr>
      <w:r w:rsidRPr="00DC0FFD">
        <w:rPr>
          <w:lang w:val="en-US"/>
        </w:rPr>
        <w:t>Epistemology is a</w:t>
      </w:r>
      <w:r>
        <w:rPr>
          <w:lang w:val="en-US"/>
        </w:rPr>
        <w:t xml:space="preserve"> forgotten </w:t>
      </w:r>
      <w:r w:rsidRPr="00DC0FFD">
        <w:rPr>
          <w:lang w:val="en-US"/>
        </w:rPr>
        <w:t xml:space="preserve">field in practical theology, unlike methodology. The article develops the hypothesis that the way in which a </w:t>
      </w:r>
      <w:r>
        <w:rPr>
          <w:lang w:val="en-US"/>
        </w:rPr>
        <w:t>practical</w:t>
      </w:r>
      <w:r w:rsidRPr="00DC0FFD">
        <w:rPr>
          <w:lang w:val="en-US"/>
        </w:rPr>
        <w:t xml:space="preserve"> theologian situates the empirical dimension in the construction of his</w:t>
      </w:r>
      <w:r>
        <w:rPr>
          <w:lang w:val="en-US"/>
        </w:rPr>
        <w:t xml:space="preserve"> or her</w:t>
      </w:r>
      <w:r w:rsidRPr="00DC0FFD">
        <w:rPr>
          <w:lang w:val="en-US"/>
        </w:rPr>
        <w:t xml:space="preserve"> research is significant of an implicit epistemology. There would be different epistemological </w:t>
      </w:r>
      <w:r>
        <w:rPr>
          <w:lang w:val="en-US"/>
        </w:rPr>
        <w:t>options</w:t>
      </w:r>
      <w:r w:rsidRPr="00DC0FFD">
        <w:rPr>
          <w:lang w:val="en-US"/>
        </w:rPr>
        <w:t xml:space="preserve"> depending on whether the field data is located in the first part, in the second part or scattered throughout the study. This choice </w:t>
      </w:r>
      <w:proofErr w:type="gramStart"/>
      <w:r w:rsidRPr="00DC0FFD">
        <w:rPr>
          <w:lang w:val="en-US"/>
        </w:rPr>
        <w:t>would be related</w:t>
      </w:r>
      <w:proofErr w:type="gramEnd"/>
      <w:r w:rsidRPr="00DC0FFD">
        <w:rPr>
          <w:lang w:val="en-US"/>
        </w:rPr>
        <w:t xml:space="preserve"> to the status of the experience</w:t>
      </w:r>
      <w:r>
        <w:rPr>
          <w:lang w:val="en-US"/>
        </w:rPr>
        <w:t xml:space="preserve"> of faith</w:t>
      </w:r>
      <w:r w:rsidRPr="00DC0FFD">
        <w:rPr>
          <w:lang w:val="en-US"/>
        </w:rPr>
        <w:t>. The important thing then is to be clear about the foundations and implications of the chosen way of developing research.</w:t>
      </w:r>
    </w:p>
    <w:p w:rsidR="00DC0FFD" w:rsidRPr="00DC0FFD" w:rsidRDefault="00DC0FFD" w:rsidP="004930E0">
      <w:pPr>
        <w:spacing w:line="240" w:lineRule="auto"/>
        <w:rPr>
          <w:lang w:val="en-US"/>
        </w:rPr>
      </w:pPr>
    </w:p>
    <w:p w:rsidR="00983484" w:rsidRDefault="00983484" w:rsidP="004930E0">
      <w:pPr>
        <w:pStyle w:val="Titre"/>
      </w:pPr>
      <w:proofErr w:type="gramStart"/>
      <w:r>
        <w:t>biographie</w:t>
      </w:r>
      <w:proofErr w:type="gramEnd"/>
    </w:p>
    <w:p w:rsidR="00DC0FFD" w:rsidRPr="00CA2B05" w:rsidRDefault="00DC0FFD" w:rsidP="004930E0">
      <w:pPr>
        <w:spacing w:after="60" w:line="240" w:lineRule="auto"/>
      </w:pPr>
      <w:r>
        <w:t xml:space="preserve">Arnaud </w:t>
      </w:r>
      <w:r w:rsidRPr="00DC0FFD">
        <w:t>Join-Lambert</w:t>
      </w:r>
      <w:r>
        <w:t xml:space="preserve"> est professeur à l’Université catholique de Louvain (UCLouvain) en Belgique. Il y enseigne la théologie pratique et la liturgie. Ses recherches actuelles portent sur les mutations des paroisses et du ministère des prêtres et les nouvelles formes de présence chrétienne et de mission dans la société, la synodalité dans les Églises, la ritualité et la liturgie en contexte postmoderne. Il a publié récemment</w:t>
      </w:r>
      <w:r w:rsidRPr="00CA2B05">
        <w:t> </w:t>
      </w:r>
      <w:r>
        <w:rPr>
          <w:i/>
        </w:rPr>
        <w:t xml:space="preserve">Sacrés objets </w:t>
      </w:r>
      <w:r>
        <w:t xml:space="preserve">(Bayard 2019), </w:t>
      </w:r>
      <w:r w:rsidRPr="00D6314E">
        <w:rPr>
          <w:i/>
        </w:rPr>
        <w:t>Donner du goût à nos liturgie</w:t>
      </w:r>
      <w:r>
        <w:rPr>
          <w:i/>
        </w:rPr>
        <w:t>s</w:t>
      </w:r>
      <w:r w:rsidRPr="00D6314E">
        <w:rPr>
          <w:i/>
        </w:rPr>
        <w:t xml:space="preserve"> </w:t>
      </w:r>
      <w:r w:rsidRPr="00D6314E">
        <w:t xml:space="preserve">(direction, </w:t>
      </w:r>
      <w:r>
        <w:t>Lumen Vitae</w:t>
      </w:r>
      <w:r w:rsidRPr="00D6314E">
        <w:t xml:space="preserve"> 2018)</w:t>
      </w:r>
      <w:r w:rsidRPr="00CA2B05">
        <w:rPr>
          <w:lang w:val="fr-CH"/>
        </w:rPr>
        <w:t xml:space="preserve">; </w:t>
      </w:r>
      <w:r>
        <w:rPr>
          <w:i/>
        </w:rPr>
        <w:t xml:space="preserve">Entrer en théologie pratique </w:t>
      </w:r>
      <w:r>
        <w:t>(Pr</w:t>
      </w:r>
      <w:r w:rsidR="00F90F52">
        <w:t>esses Universitaires de Louvain</w:t>
      </w:r>
      <w:r>
        <w:t xml:space="preserve"> 2018), </w:t>
      </w:r>
      <w:r w:rsidRPr="00D6314E">
        <w:rPr>
          <w:i/>
        </w:rPr>
        <w:t xml:space="preserve">Vincent </w:t>
      </w:r>
      <w:proofErr w:type="spellStart"/>
      <w:r w:rsidRPr="00D6314E">
        <w:rPr>
          <w:i/>
        </w:rPr>
        <w:t>Lebbe</w:t>
      </w:r>
      <w:proofErr w:type="spellEnd"/>
      <w:r w:rsidRPr="00D6314E">
        <w:rPr>
          <w:i/>
        </w:rPr>
        <w:t xml:space="preserve"> et son héritage </w:t>
      </w:r>
      <w:r w:rsidRPr="00D6314E">
        <w:t xml:space="preserve">(codirection, </w:t>
      </w:r>
      <w:r>
        <w:t>Presses Universitaires de Louvain</w:t>
      </w:r>
      <w:r w:rsidRPr="00D6314E">
        <w:t xml:space="preserve"> 2017, trad. Chinoise</w:t>
      </w:r>
      <w:r>
        <w:t xml:space="preserve"> </w:t>
      </w:r>
      <w:r w:rsidRPr="00D6314E">
        <w:t>2018)</w:t>
      </w:r>
      <w:r>
        <w:t xml:space="preserve">, </w:t>
      </w:r>
      <w:r w:rsidRPr="00D6314E">
        <w:rPr>
          <w:i/>
        </w:rPr>
        <w:t xml:space="preserve">Conversion missionnaire des communautés chrétiennes </w:t>
      </w:r>
      <w:r w:rsidRPr="00D6314E">
        <w:t>(codirection,</w:t>
      </w:r>
      <w:r>
        <w:t xml:space="preserve"> revue</w:t>
      </w:r>
      <w:r w:rsidRPr="00D6314E">
        <w:t xml:space="preserve"> </w:t>
      </w:r>
      <w:r w:rsidRPr="00DC0FFD">
        <w:rPr>
          <w:i/>
        </w:rPr>
        <w:t>Lumen Vitae</w:t>
      </w:r>
      <w:r w:rsidRPr="00D6314E">
        <w:t xml:space="preserve"> 2017)</w:t>
      </w:r>
      <w:r>
        <w:t>. </w:t>
      </w:r>
      <w:r w:rsidRPr="00D6314E">
        <w:t> </w:t>
      </w:r>
      <w:r>
        <w:t>Il a publié une cinquantaine d’articles de recherche dans des revues scientifiques.</w:t>
      </w:r>
    </w:p>
    <w:p w:rsidR="0038188C" w:rsidRDefault="0038188C" w:rsidP="004930E0">
      <w:pPr>
        <w:spacing w:line="240" w:lineRule="auto"/>
        <w:rPr>
          <w:lang w:val="fr-FR" w:eastAsia="fr-FR"/>
        </w:rPr>
      </w:pPr>
    </w:p>
    <w:p w:rsidR="00081F75" w:rsidRDefault="00081F75" w:rsidP="004930E0">
      <w:pPr>
        <w:pStyle w:val="Titre"/>
      </w:pPr>
      <w:proofErr w:type="gramStart"/>
      <w:r>
        <w:t>texte</w:t>
      </w:r>
      <w:proofErr w:type="gramEnd"/>
    </w:p>
    <w:p w:rsidR="002F7949" w:rsidRDefault="002F7949" w:rsidP="004930E0">
      <w:pPr>
        <w:spacing w:line="240" w:lineRule="auto"/>
      </w:pPr>
      <w:r>
        <w:t>Lors du congrès de la Société Internationale de Théologie Pratique à Ottawa en 2016, un atelier fut organisé sur les difficultés spécifiques de la discipline</w:t>
      </w:r>
      <w:r w:rsidR="000B7C7A">
        <w:rPr>
          <w:rStyle w:val="Appelnotedebasdep"/>
        </w:rPr>
        <w:footnoteReference w:id="1"/>
      </w:r>
      <w:r>
        <w:t xml:space="preserve">. </w:t>
      </w:r>
      <w:r w:rsidR="00F26FC3">
        <w:t xml:space="preserve">Un point </w:t>
      </w:r>
      <w:r>
        <w:t xml:space="preserve">ressorti </w:t>
      </w:r>
      <w:r w:rsidR="00F26FC3">
        <w:t xml:space="preserve">fut </w:t>
      </w:r>
      <w:r>
        <w:t>une méconnaissance de ce que nous faisons, tant par les collègues des autres disciplines théologique</w:t>
      </w:r>
      <w:r w:rsidR="000B7C7A">
        <w:t>s</w:t>
      </w:r>
      <w:r>
        <w:t xml:space="preserve"> que </w:t>
      </w:r>
      <w:r w:rsidR="000B7C7A">
        <w:t xml:space="preserve">par ceux et celles </w:t>
      </w:r>
      <w:r>
        <w:t>des sciences humaines supposées les plus proches (anthropologie, sociologie, psychologie).</w:t>
      </w:r>
      <w:r w:rsidR="000B7C7A">
        <w:t xml:space="preserve"> Si la théologie pratique est la dernière-née des disciplines théologiques</w:t>
      </w:r>
      <w:r w:rsidR="008E2530">
        <w:rPr>
          <w:rStyle w:val="Appelnotedebasdep"/>
        </w:rPr>
        <w:footnoteReference w:id="2"/>
      </w:r>
      <w:r w:rsidR="000B7C7A">
        <w:t xml:space="preserve">, elle a tout de même une soixantaine d’années et son positionnement devrait être solidement établi dans le monde académique. La première génération, </w:t>
      </w:r>
      <w:r w:rsidR="00144080">
        <w:t xml:space="preserve">autour du </w:t>
      </w:r>
      <w:r w:rsidR="00144080">
        <w:lastRenderedPageBreak/>
        <w:t>concile Vatican II</w:t>
      </w:r>
      <w:r w:rsidR="000B7C7A">
        <w:t xml:space="preserve">, s’est efforcée de justifier la prise en compte des pratiques dans la réflexion théologique, autrement qu’en terme de domaine d’application de la </w:t>
      </w:r>
      <w:r w:rsidR="00144080">
        <w:t>dogmatique</w:t>
      </w:r>
      <w:r w:rsidR="000B7C7A">
        <w:t xml:space="preserve"> et de la </w:t>
      </w:r>
      <w:r w:rsidR="000B1604">
        <w:t xml:space="preserve">théologie </w:t>
      </w:r>
      <w:r w:rsidR="000B7C7A">
        <w:t>morale. La seconde génération a beaucoup investi dans la métho</w:t>
      </w:r>
      <w:r w:rsidR="00E86CC0">
        <w:t>do</w:t>
      </w:r>
      <w:r w:rsidR="000B7C7A">
        <w:t>logie</w:t>
      </w:r>
      <w:r w:rsidR="00E86CC0">
        <w:t xml:space="preserve"> et les fondements, ce qui reste une tâche encore actuelle</w:t>
      </w:r>
      <w:r w:rsidR="00E86CC0">
        <w:rPr>
          <w:rStyle w:val="Appelnotedebasdep"/>
        </w:rPr>
        <w:footnoteReference w:id="3"/>
      </w:r>
      <w:r w:rsidR="00E86CC0">
        <w:t>.</w:t>
      </w:r>
      <w:r w:rsidR="00C348BC">
        <w:t xml:space="preserve"> Le contexte de notre troisième génération de théologiens et théologiennes pratiques est celui d’un passage définitif dans une société de postchrétienté.</w:t>
      </w:r>
      <w:r w:rsidR="00AE2CEB">
        <w:t xml:space="preserve"> Le défi épistémologique de la recherche se pose à nouveau</w:t>
      </w:r>
      <w:r w:rsidR="0038188C">
        <w:rPr>
          <w:rStyle w:val="Appelnotedebasdep"/>
        </w:rPr>
        <w:footnoteReference w:id="4"/>
      </w:r>
      <w:r w:rsidR="00AE2CEB">
        <w:t>, dans un monde de repères qui s’effacent et de transformations rapides, ce que certains nomment la modernité liquide</w:t>
      </w:r>
      <w:r w:rsidR="00AD4EFE">
        <w:rPr>
          <w:rStyle w:val="Appelnotedebasdep"/>
        </w:rPr>
        <w:footnoteReference w:id="5"/>
      </w:r>
      <w:r w:rsidR="00AE2CEB">
        <w:t>.</w:t>
      </w:r>
    </w:p>
    <w:p w:rsidR="00D84D1A" w:rsidRDefault="00AE2CEB" w:rsidP="004930E0">
      <w:pPr>
        <w:spacing w:line="240" w:lineRule="auto"/>
      </w:pPr>
      <w:r>
        <w:t xml:space="preserve">L’objectif de cet article est de </w:t>
      </w:r>
      <w:r w:rsidR="00335155">
        <w:t xml:space="preserve">contribuer à </w:t>
      </w:r>
      <w:r w:rsidR="00D84D1A">
        <w:t>approfondir</w:t>
      </w:r>
      <w:r>
        <w:t xml:space="preserve"> l’épistémologie propre à la théologie pratique</w:t>
      </w:r>
      <w:r w:rsidR="000B4D53">
        <w:rPr>
          <w:rStyle w:val="Appelnotedebasdep"/>
        </w:rPr>
        <w:footnoteReference w:id="6"/>
      </w:r>
      <w:r>
        <w:t xml:space="preserve">. </w:t>
      </w:r>
      <w:r w:rsidR="00D84D1A">
        <w:t>D’une manière générale, l</w:t>
      </w:r>
      <w:r w:rsidR="00D84D1A" w:rsidRPr="00613910">
        <w:rPr>
          <w:rFonts w:cs="Times New Roman"/>
        </w:rPr>
        <w:t>’épistémologie</w:t>
      </w:r>
      <w:r w:rsidR="00D84D1A">
        <w:rPr>
          <w:rStyle w:val="Appelnotedebasdep"/>
        </w:rPr>
        <w:footnoteReference w:id="7"/>
      </w:r>
      <w:r w:rsidR="00D84D1A" w:rsidRPr="00613910">
        <w:rPr>
          <w:rFonts w:cs="Times New Roman"/>
        </w:rPr>
        <w:t xml:space="preserve"> cherche à clarifier les opérations qui permettent de développer la connaissance d’une science donnée. Pour ce faire, elle cherche à comprendre selon quelles modalités </w:t>
      </w:r>
      <w:r w:rsidR="00D84D1A">
        <w:rPr>
          <w:rFonts w:cs="Times New Roman"/>
        </w:rPr>
        <w:t xml:space="preserve">cette science, pour nous </w:t>
      </w:r>
      <w:r w:rsidR="00D84D1A" w:rsidRPr="00613910">
        <w:rPr>
          <w:rFonts w:cs="Times New Roman"/>
        </w:rPr>
        <w:t>la théologie pratique</w:t>
      </w:r>
      <w:r w:rsidR="00D84D1A">
        <w:rPr>
          <w:rFonts w:cs="Times New Roman"/>
        </w:rPr>
        <w:t>,</w:t>
      </w:r>
      <w:r w:rsidR="00D84D1A" w:rsidRPr="00613910">
        <w:rPr>
          <w:rFonts w:cs="Times New Roman"/>
        </w:rPr>
        <w:t xml:space="preserve"> se constitue. Elle examine en particulier quels sont ses présupposés implicites et explicites, ses sources et la logique argumentative qui sous-tend </w:t>
      </w:r>
      <w:r w:rsidR="00D84D1A">
        <w:rPr>
          <w:rFonts w:cs="Times New Roman"/>
        </w:rPr>
        <w:t>une discipline comme</w:t>
      </w:r>
      <w:r w:rsidR="00D84D1A" w:rsidRPr="00613910">
        <w:rPr>
          <w:rFonts w:cs="Times New Roman"/>
        </w:rPr>
        <w:t xml:space="preserve"> science. On pourrait dire, pour simplifier un peu, que l’épistémologie se focalise sur </w:t>
      </w:r>
      <w:r w:rsidR="00D84D1A" w:rsidRPr="007F4BA1">
        <w:rPr>
          <w:rFonts w:cs="Times New Roman"/>
          <w:i/>
          <w:iCs/>
        </w:rPr>
        <w:t>les raisons</w:t>
      </w:r>
      <w:r w:rsidR="00D84D1A" w:rsidRPr="00613910">
        <w:rPr>
          <w:rFonts w:cs="Times New Roman"/>
        </w:rPr>
        <w:t xml:space="preserve"> qui poussent à recourir aux outils qui sont nécessaires à sa recherche</w:t>
      </w:r>
      <w:r w:rsidR="00EE5EF2">
        <w:rPr>
          <w:rFonts w:cs="Times New Roman"/>
        </w:rPr>
        <w:t>,</w:t>
      </w:r>
      <w:r w:rsidR="00D84D1A" w:rsidRPr="00613910">
        <w:rPr>
          <w:rFonts w:cs="Times New Roman"/>
        </w:rPr>
        <w:t xml:space="preserve"> tandis que la méthodologie chercher à montrer </w:t>
      </w:r>
      <w:r w:rsidR="00D84D1A" w:rsidRPr="007F4BA1">
        <w:rPr>
          <w:rFonts w:cs="Times New Roman"/>
          <w:i/>
          <w:iCs/>
        </w:rPr>
        <w:t>comment le chercheur utilise les différents</w:t>
      </w:r>
      <w:r w:rsidR="00D84D1A" w:rsidRPr="00613910">
        <w:rPr>
          <w:rFonts w:cs="Times New Roman"/>
        </w:rPr>
        <w:t xml:space="preserve"> </w:t>
      </w:r>
      <w:r w:rsidR="00D84D1A" w:rsidRPr="00EE5EF2">
        <w:rPr>
          <w:rFonts w:cs="Times New Roman"/>
          <w:i/>
        </w:rPr>
        <w:t>outils</w:t>
      </w:r>
      <w:r w:rsidR="00D84D1A" w:rsidRPr="00613910">
        <w:rPr>
          <w:rFonts w:cs="Times New Roman"/>
        </w:rPr>
        <w:t xml:space="preserve"> mis à sa disposition</w:t>
      </w:r>
      <w:r w:rsidR="00D84D1A">
        <w:rPr>
          <w:rFonts w:cs="Times New Roman"/>
        </w:rPr>
        <w:t>.</w:t>
      </w:r>
    </w:p>
    <w:p w:rsidR="00950947" w:rsidRDefault="00F26FC3" w:rsidP="004930E0">
      <w:pPr>
        <w:spacing w:line="240" w:lineRule="auto"/>
      </w:pPr>
      <w:r>
        <w:t xml:space="preserve">Dans </w:t>
      </w:r>
      <w:r w:rsidR="0088231A">
        <w:t xml:space="preserve">les publications scientifiques, il apparait </w:t>
      </w:r>
      <w:r w:rsidR="00AE2CEB">
        <w:t xml:space="preserve">que plusieurs ancrages épistémologiques coexistent dans la recherche, très souvent non explicités, occasionnant un flou qui pourrait expliquer la difficulté relevée en introduction. </w:t>
      </w:r>
      <w:r w:rsidR="0088231A">
        <w:t xml:space="preserve">Notre hypothèse est que cette diversité </w:t>
      </w:r>
      <w:r w:rsidR="005E5030">
        <w:t xml:space="preserve">est liée au statut de l’expérience de foi en tant que telle et aussi dans la construction de la réflexion. </w:t>
      </w:r>
      <w:r w:rsidR="00335155">
        <w:t xml:space="preserve">On constate dans les publications trois positionnements des éléments empiriques de la recherche : soit </w:t>
      </w:r>
      <w:r w:rsidR="00D67AFE">
        <w:t xml:space="preserve">situés </w:t>
      </w:r>
      <w:r w:rsidR="00335155">
        <w:t>dans une première partie, soit dans une deuxième partie, soit au tout long du texte. Nous verrons successivement ces trois possibilités, afin d</w:t>
      </w:r>
      <w:r w:rsidR="00EF7123">
        <w:t>’</w:t>
      </w:r>
      <w:r w:rsidR="00335155">
        <w:t>e</w:t>
      </w:r>
      <w:r w:rsidR="00EF7123">
        <w:t>n</w:t>
      </w:r>
      <w:r w:rsidR="00335155">
        <w:t xml:space="preserve"> </w:t>
      </w:r>
      <w:r w:rsidR="00EF7123">
        <w:t>caractériser l’ancrage épistémologique</w:t>
      </w:r>
      <w:r w:rsidR="0011654A">
        <w:rPr>
          <w:rStyle w:val="Appelnotedebasdep"/>
        </w:rPr>
        <w:footnoteReference w:id="8"/>
      </w:r>
      <w:r w:rsidR="00EF7123">
        <w:t xml:space="preserve">. Dans un dernier temps, nous approfondirons le statut de l’expérience de foi, puisque ce serait la différence </w:t>
      </w:r>
      <w:r w:rsidR="00905882">
        <w:t>principale –</w:t>
      </w:r>
      <w:r w:rsidR="00EF7123">
        <w:t xml:space="preserve"> et en général implicite</w:t>
      </w:r>
      <w:r w:rsidR="00905882">
        <w:t xml:space="preserve"> –</w:t>
      </w:r>
      <w:r w:rsidR="00EF7123">
        <w:t xml:space="preserve"> entre </w:t>
      </w:r>
      <w:r w:rsidR="00551D5E">
        <w:t xml:space="preserve">ces </w:t>
      </w:r>
      <w:r w:rsidR="00905882">
        <w:t>approches de théologie pratique</w:t>
      </w:r>
      <w:r w:rsidR="00551D5E">
        <w:t>.</w:t>
      </w:r>
    </w:p>
    <w:p w:rsidR="00E4583D" w:rsidRDefault="00E4583D" w:rsidP="004930E0">
      <w:pPr>
        <w:pStyle w:val="Titre2"/>
      </w:pPr>
      <w:bookmarkStart w:id="1" w:name="_Toc17027306"/>
      <w:r>
        <w:lastRenderedPageBreak/>
        <w:t>1. Commencer par le terrain</w:t>
      </w:r>
      <w:bookmarkEnd w:id="1"/>
    </w:p>
    <w:p w:rsidR="00042FFE" w:rsidRPr="009D2DDC" w:rsidRDefault="00042FFE" w:rsidP="004930E0">
      <w:pPr>
        <w:pStyle w:val="Titre3"/>
        <w:spacing w:line="240" w:lineRule="auto"/>
        <w:rPr>
          <w:lang w:val="fr-BE"/>
        </w:rPr>
      </w:pPr>
      <w:bookmarkStart w:id="2" w:name="_Toc17027307"/>
      <w:r w:rsidRPr="009D2DDC">
        <w:rPr>
          <w:lang w:val="fr-BE"/>
        </w:rPr>
        <w:t>1.1. À l’origine : voir-juger-agir</w:t>
      </w:r>
      <w:bookmarkEnd w:id="2"/>
    </w:p>
    <w:p w:rsidR="00042FFE" w:rsidRPr="00C06BD6" w:rsidRDefault="00144080" w:rsidP="004930E0">
      <w:pPr>
        <w:spacing w:line="240" w:lineRule="auto"/>
      </w:pPr>
      <w:r>
        <w:t xml:space="preserve">Le moment où le contexte et les pratiques ont pris place systématiquement dans une réflexion en Église </w:t>
      </w:r>
      <w:r w:rsidR="00C21C13">
        <w:t xml:space="preserve">catholique </w:t>
      </w:r>
      <w:r>
        <w:t>est en général situé dans les années 1920, à l’</w:t>
      </w:r>
      <w:r w:rsidR="00C21C13">
        <w:t>initiative du Belge</w:t>
      </w:r>
      <w:r>
        <w:t xml:space="preserve"> Joseph </w:t>
      </w:r>
      <w:proofErr w:type="spellStart"/>
      <w:r>
        <w:t>Cardijn</w:t>
      </w:r>
      <w:proofErr w:type="spellEnd"/>
      <w:r>
        <w:t xml:space="preserve"> et étroitement lié aux mouvements de l’Action catholique.</w:t>
      </w:r>
      <w:r w:rsidR="00D2310D">
        <w:t xml:space="preserve"> Sa ‟méthode” est connue sous le triptyque ‟voir-juger-agir”, processus pédagogique en trois temps favorisant une réflexion spirituelle enracinée dans une prise en considération du réel, avec une finalité de transformation de ce réel</w:t>
      </w:r>
      <w:r w:rsidR="00A04196">
        <w:rPr>
          <w:rStyle w:val="Appelnotedebasdep"/>
        </w:rPr>
        <w:footnoteReference w:id="9"/>
      </w:r>
      <w:r w:rsidR="00D2310D">
        <w:t xml:space="preserve">. Il s’agit donc d’une méthode opératoire et non spéculative, et en tout cas pas une méthode de recherche théologique à l’origine. </w:t>
      </w:r>
      <w:r w:rsidR="00042FFE">
        <w:t xml:space="preserve">Elle trouve sa reconnaissance au concile Vatican II (avec la notion complexe de ‟signes des temps”). On peut ainsi lire dans la constitution sur l’Église dans le monde de ce temps </w:t>
      </w:r>
      <w:proofErr w:type="spellStart"/>
      <w:r w:rsidR="00042FFE">
        <w:rPr>
          <w:i/>
        </w:rPr>
        <w:t>Gaudium</w:t>
      </w:r>
      <w:proofErr w:type="spellEnd"/>
      <w:r w:rsidR="00042FFE">
        <w:rPr>
          <w:i/>
        </w:rPr>
        <w:t xml:space="preserve"> et </w:t>
      </w:r>
      <w:proofErr w:type="spellStart"/>
      <w:r w:rsidR="00042FFE">
        <w:rPr>
          <w:i/>
        </w:rPr>
        <w:t>spes</w:t>
      </w:r>
      <w:proofErr w:type="spellEnd"/>
      <w:r w:rsidR="00042FFE">
        <w:rPr>
          <w:i/>
        </w:rPr>
        <w:t xml:space="preserve"> </w:t>
      </w:r>
      <w:r w:rsidR="00042FFE">
        <w:t>en 1965 :</w:t>
      </w:r>
    </w:p>
    <w:p w:rsidR="00042FFE" w:rsidRDefault="006617F5" w:rsidP="004930E0">
      <w:pPr>
        <w:pStyle w:val="Citation"/>
        <w:spacing w:line="240" w:lineRule="auto"/>
      </w:pPr>
      <w:r>
        <w:t>‟</w:t>
      </w:r>
      <w:r w:rsidR="00042FFE">
        <w:t>Le Concile se propose avant tout de juger à cette lumière [de la foi] les valeurs les plus prisées par nos contemporains et de les relier à leur source divine.” (</w:t>
      </w:r>
      <w:proofErr w:type="gramStart"/>
      <w:r w:rsidR="00042FFE">
        <w:t>n</w:t>
      </w:r>
      <w:proofErr w:type="gramEnd"/>
      <w:r w:rsidR="00042FFE">
        <w:t>° 11,2)</w:t>
      </w:r>
    </w:p>
    <w:p w:rsidR="00D2310D" w:rsidRDefault="00C21C13" w:rsidP="004930E0">
      <w:pPr>
        <w:spacing w:line="240" w:lineRule="auto"/>
      </w:pPr>
      <w:r>
        <w:t xml:space="preserve">Le Magistère catholique, qu’il soit universel ou local, adopte ce processus par la suite jusqu’à aujourd’hui, mais principalement dans le domaine de la doctrine sociale. On </w:t>
      </w:r>
      <w:r w:rsidR="00042FFE">
        <w:t>lit</w:t>
      </w:r>
      <w:r w:rsidR="00CA4109">
        <w:t xml:space="preserve"> par exemple</w:t>
      </w:r>
      <w:r>
        <w:t xml:space="preserve"> dans l’introduction au </w:t>
      </w:r>
      <w:r>
        <w:rPr>
          <w:i/>
        </w:rPr>
        <w:t>Compendium de la doctrine sociale de l’Église</w:t>
      </w:r>
      <w:r>
        <w:t> :</w:t>
      </w:r>
    </w:p>
    <w:p w:rsidR="00C21C13" w:rsidRDefault="00C21C13" w:rsidP="004930E0">
      <w:pPr>
        <w:pStyle w:val="Citation"/>
        <w:spacing w:line="240" w:lineRule="auto"/>
      </w:pPr>
      <w:r>
        <w:t>‟L’exposé des principes de la doctrine sociale entend suggérer une méthode organique dans la recherche de solutions aux problèmes, afin que le discernement, le jugement et les choix correspondent à la réalité et que la solidarité et l’espérance puissent aussi avoir une incidence efficace sur les situations contemporaines complexes. En effet, ces principes se renvoient les uns aux autres et s’éclairent mutuellement, dans la mesure où ils expriment l’anthropologie chrétienne, illuminée par la Révélation de l’amour de Dieu pour la personne humaine.” (</w:t>
      </w:r>
      <w:proofErr w:type="gramStart"/>
      <w:r>
        <w:t>art.</w:t>
      </w:r>
      <w:proofErr w:type="gramEnd"/>
      <w:r>
        <w:t xml:space="preserve"> 9)</w:t>
      </w:r>
    </w:p>
    <w:p w:rsidR="00D2310D" w:rsidRDefault="00D2310D" w:rsidP="004930E0">
      <w:pPr>
        <w:spacing w:line="240" w:lineRule="auto"/>
      </w:pPr>
      <w:r>
        <w:t>L’influence et l’omniprésence de l’Action catholique dans l’Église sont telle</w:t>
      </w:r>
      <w:r w:rsidR="00B83B75">
        <w:t>s</w:t>
      </w:r>
      <w:r>
        <w:t xml:space="preserve"> dans les années d’après-guerre que les premiers théologiens </w:t>
      </w:r>
      <w:proofErr w:type="spellStart"/>
      <w:r>
        <w:t>pastoralistes</w:t>
      </w:r>
      <w:proofErr w:type="spellEnd"/>
      <w:r>
        <w:t xml:space="preserve"> vont puiser dans cette expérience de </w:t>
      </w:r>
      <w:r w:rsidR="00C21C13">
        <w:t>réflexion contextuelle les éléments structurants d’une théologie de l’a</w:t>
      </w:r>
      <w:r w:rsidR="00312CF9">
        <w:t>ction. Les théologiens, en écho</w:t>
      </w:r>
      <w:r w:rsidR="00C21C13">
        <w:t xml:space="preserve"> avec les travaux des premiers sociologues de la religion (Le Bras, </w:t>
      </w:r>
      <w:proofErr w:type="spellStart"/>
      <w:r w:rsidR="00C21C13">
        <w:t>Boulard</w:t>
      </w:r>
      <w:proofErr w:type="spellEnd"/>
      <w:r w:rsidR="00C21C13">
        <w:t>) vont donc situer la dimension empirique au début de leurs recherches.</w:t>
      </w:r>
      <w:r w:rsidR="00B8555A">
        <w:t xml:space="preserve"> La méthode ‟voir-juger-agir” fait alors son entrée dans la recherche théologique, sans que cela ne fasse véritablement l’objet d’une réflexion fondamentale</w:t>
      </w:r>
      <w:r w:rsidR="00B8555A">
        <w:rPr>
          <w:rStyle w:val="Appelnotedebasdep"/>
        </w:rPr>
        <w:footnoteReference w:id="10"/>
      </w:r>
      <w:r w:rsidR="00B8555A">
        <w:t xml:space="preserve">. Un lieu emblématique en sera </w:t>
      </w:r>
      <w:r w:rsidR="00A04196">
        <w:t>le Centre I</w:t>
      </w:r>
      <w:r w:rsidR="00B8555A">
        <w:t>nternational Lumen Vitae à Bruxelles, où les Jésuites adoptent et déploient cette méthode dans leurs enseignements et leurs publications</w:t>
      </w:r>
      <w:r w:rsidR="00B83B75">
        <w:rPr>
          <w:rStyle w:val="Appelnotedebasdep"/>
        </w:rPr>
        <w:footnoteReference w:id="11"/>
      </w:r>
      <w:r w:rsidR="00B8555A">
        <w:t xml:space="preserve">. L’autre ‟lieu” où la méthode de </w:t>
      </w:r>
      <w:proofErr w:type="spellStart"/>
      <w:r w:rsidR="00B8555A">
        <w:t>Cardijn</w:t>
      </w:r>
      <w:proofErr w:type="spellEnd"/>
      <w:r w:rsidR="00B8555A">
        <w:t xml:space="preserve"> sera adoptée et adaptée en théologie est l’Amérique latine, à </w:t>
      </w:r>
      <w:r w:rsidR="00A04196">
        <w:t>la source</w:t>
      </w:r>
      <w:r w:rsidR="00B8555A">
        <w:t xml:space="preserve"> des théologies de la libération</w:t>
      </w:r>
      <w:r w:rsidR="00FD47C3">
        <w:t xml:space="preserve"> et </w:t>
      </w:r>
      <w:r w:rsidR="00732F3A">
        <w:t>promue</w:t>
      </w:r>
      <w:r w:rsidR="00FD47C3">
        <w:t xml:space="preserve"> dans les </w:t>
      </w:r>
      <w:r w:rsidR="00732F3A">
        <w:t>textes</w:t>
      </w:r>
      <w:r w:rsidR="00FD47C3">
        <w:t xml:space="preserve"> du CELAM</w:t>
      </w:r>
      <w:r w:rsidR="00B8555A">
        <w:rPr>
          <w:rStyle w:val="Appelnotedebasdep"/>
        </w:rPr>
        <w:footnoteReference w:id="12"/>
      </w:r>
      <w:r w:rsidR="00B8555A">
        <w:t>.</w:t>
      </w:r>
    </w:p>
    <w:p w:rsidR="00130CB5" w:rsidRPr="00042FFE" w:rsidRDefault="00042FFE" w:rsidP="004930E0">
      <w:pPr>
        <w:pStyle w:val="Titre3"/>
        <w:spacing w:line="240" w:lineRule="auto"/>
        <w:rPr>
          <w:lang w:val="fr-BE"/>
        </w:rPr>
      </w:pPr>
      <w:bookmarkStart w:id="3" w:name="_Toc17027308"/>
      <w:r w:rsidRPr="00042FFE">
        <w:rPr>
          <w:lang w:val="fr-BE"/>
        </w:rPr>
        <w:lastRenderedPageBreak/>
        <w:t>1.2. La corrélation critique entre l’</w:t>
      </w:r>
      <w:r w:rsidR="00757880">
        <w:rPr>
          <w:lang w:val="fr-BE"/>
        </w:rPr>
        <w:t xml:space="preserve">expérience, </w:t>
      </w:r>
      <w:r w:rsidR="00312CF9">
        <w:rPr>
          <w:lang w:val="fr-BE"/>
        </w:rPr>
        <w:t>l’</w:t>
      </w:r>
      <w:r w:rsidRPr="00042FFE">
        <w:rPr>
          <w:lang w:val="fr-BE"/>
        </w:rPr>
        <w:t>Écriture sainte et les enseignements</w:t>
      </w:r>
      <w:bookmarkEnd w:id="3"/>
      <w:r w:rsidRPr="00042FFE">
        <w:rPr>
          <w:lang w:val="fr-BE"/>
        </w:rPr>
        <w:t xml:space="preserve"> </w:t>
      </w:r>
    </w:p>
    <w:p w:rsidR="00B8555A" w:rsidRDefault="000B1604" w:rsidP="004930E0">
      <w:pPr>
        <w:spacing w:line="240" w:lineRule="auto"/>
      </w:pPr>
      <w:r>
        <w:t>Lorsque le souci apparait</w:t>
      </w:r>
      <w:r w:rsidR="00130CB5">
        <w:t xml:space="preserve"> de fonder </w:t>
      </w:r>
      <w:r w:rsidR="00F70996">
        <w:t>en théologie l’</w:t>
      </w:r>
      <w:r w:rsidR="00042FFE">
        <w:t xml:space="preserve">étude contextuelle des pratiques, cela s’est fait dans la continuité avec le voir-juger-agir. </w:t>
      </w:r>
      <w:r w:rsidR="00B83B75">
        <w:t xml:space="preserve">Les auteurs commencent par </w:t>
      </w:r>
      <w:r w:rsidR="00042FFE">
        <w:t xml:space="preserve">le terrain. La dimension empirique prend </w:t>
      </w:r>
      <w:r w:rsidR="00B83B75">
        <w:t xml:space="preserve">ainsi </w:t>
      </w:r>
      <w:r w:rsidR="00042FFE">
        <w:t>place en début de recherche, à la manière des sociologues et anthropologue</w:t>
      </w:r>
      <w:r w:rsidR="00312CF9">
        <w:t>s</w:t>
      </w:r>
      <w:r w:rsidR="00042FFE">
        <w:t xml:space="preserve">. </w:t>
      </w:r>
      <w:r w:rsidR="0020067F">
        <w:t>Il se pourrait alors que, au final, la question soit celle du dialogue entre théologie et sciences humaines dans un contexte de déchristianisation. Mais n’allons pas trop loin. Ici, l</w:t>
      </w:r>
      <w:r w:rsidR="00042FFE">
        <w:t xml:space="preserve">a réflexion </w:t>
      </w:r>
      <w:r w:rsidR="0020067F">
        <w:t xml:space="preserve">des auteurs </w:t>
      </w:r>
      <w:r w:rsidR="00042FFE">
        <w:t xml:space="preserve">ne porte alors pas tant sur l’épistémologie que sur l’articulation entre les trois pôles permettant d’élaborer une réflexion de théologie pratique. </w:t>
      </w:r>
    </w:p>
    <w:p w:rsidR="00EC4053" w:rsidRPr="00B87C64" w:rsidRDefault="00EC4053" w:rsidP="004930E0">
      <w:pPr>
        <w:spacing w:line="240" w:lineRule="auto"/>
        <w:rPr>
          <w:spacing w:val="2"/>
        </w:rPr>
      </w:pPr>
      <w:r>
        <w:t xml:space="preserve">Les théologiens pratiques </w:t>
      </w:r>
      <w:r w:rsidR="00990579">
        <w:t>ont adopté</w:t>
      </w:r>
      <w:r w:rsidR="00042FFE">
        <w:t xml:space="preserve"> l</w:t>
      </w:r>
      <w:r>
        <w:t>a notion de</w:t>
      </w:r>
      <w:r w:rsidR="00042FFE">
        <w:t xml:space="preserve"> </w:t>
      </w:r>
      <w:r>
        <w:t xml:space="preserve">‟corrélation” proposée par le théologien systématicien Paul Tillich. </w:t>
      </w:r>
      <w:r w:rsidR="00990579">
        <w:t>Or s</w:t>
      </w:r>
      <w:r>
        <w:t>on but n’était pas du tout pastoral</w:t>
      </w:r>
      <w:r w:rsidR="00990579">
        <w:t>, et c’est peut-être un indice d’une difficulté pour l’épistémologie de la théologie pratique</w:t>
      </w:r>
      <w:r>
        <w:t xml:space="preserve">. </w:t>
      </w:r>
      <w:r w:rsidR="00990579">
        <w:t>Tillich</w:t>
      </w:r>
      <w:r>
        <w:t xml:space="preserve"> voulait rendre compte de la relation entre la foi chrétienne et le monde moderne, en développant une interaction réciproque (donc une dépendance mutuelle) tout en respectant l’autonomie de chacun</w:t>
      </w:r>
      <w:r w:rsidRPr="00C218A4">
        <w:rPr>
          <w:rStyle w:val="Appelnotedebasdep"/>
        </w:rPr>
        <w:footnoteReference w:id="13"/>
      </w:r>
      <w:r w:rsidRPr="00C218A4">
        <w:rPr>
          <w:sz w:val="20"/>
          <w:lang w:val="fr-CH"/>
        </w:rPr>
        <w:t>.</w:t>
      </w:r>
      <w:r>
        <w:t xml:space="preserve"> La méthode pour cela est dite corrélative. C’est </w:t>
      </w:r>
      <w:r w:rsidRPr="006C59C5">
        <w:rPr>
          <w:lang w:val="fr-CH"/>
        </w:rPr>
        <w:t xml:space="preserve">Edward </w:t>
      </w:r>
      <w:r w:rsidRPr="00C06BD6">
        <w:rPr>
          <w:lang w:val="fr-CH"/>
        </w:rPr>
        <w:t>Schillebeeckx</w:t>
      </w:r>
      <w:r>
        <w:rPr>
          <w:lang w:val="fr-CH"/>
        </w:rPr>
        <w:t xml:space="preserve"> qui adapte le premier la corrélation de Tillich pour une réflexion </w:t>
      </w:r>
      <w:r w:rsidR="00082E60">
        <w:rPr>
          <w:lang w:val="fr-CH"/>
        </w:rPr>
        <w:t xml:space="preserve">proche des préoccupations de la </w:t>
      </w:r>
      <w:r>
        <w:rPr>
          <w:lang w:val="fr-CH"/>
        </w:rPr>
        <w:t>théologie pratique</w:t>
      </w:r>
      <w:r>
        <w:rPr>
          <w:rStyle w:val="Appelnotedebasdep"/>
          <w:sz w:val="22"/>
          <w:lang w:val="fr-CH"/>
        </w:rPr>
        <w:footnoteReference w:id="14"/>
      </w:r>
      <w:r>
        <w:rPr>
          <w:lang w:val="fr-CH"/>
        </w:rPr>
        <w:t>. Il l’utilise surtout pour fonder la prise en considération des expériences de foi dans une réflexion théologique</w:t>
      </w:r>
      <w:r>
        <w:rPr>
          <w:rStyle w:val="Appelnotedebasdep"/>
          <w:lang w:val="fr-CH"/>
        </w:rPr>
        <w:footnoteReference w:id="15"/>
      </w:r>
      <w:r>
        <w:rPr>
          <w:lang w:val="fr-CH"/>
        </w:rPr>
        <w:t xml:space="preserve">. Il est suivi en cela par </w:t>
      </w:r>
      <w:r w:rsidR="00082E60">
        <w:rPr>
          <w:lang w:val="fr-CH"/>
        </w:rPr>
        <w:t xml:space="preserve">Claude </w:t>
      </w:r>
      <w:proofErr w:type="spellStart"/>
      <w:r w:rsidR="00082E60">
        <w:rPr>
          <w:lang w:val="fr-CH"/>
        </w:rPr>
        <w:t>Geffré</w:t>
      </w:r>
      <w:proofErr w:type="spellEnd"/>
      <w:r>
        <w:rPr>
          <w:lang w:val="fr-CH"/>
        </w:rPr>
        <w:t>, grand promoteur d’une théologie herméneutique</w:t>
      </w:r>
      <w:r>
        <w:rPr>
          <w:rStyle w:val="Appelnotedebasdep"/>
        </w:rPr>
        <w:footnoteReference w:id="16"/>
      </w:r>
      <w:r w:rsidR="00082E60">
        <w:rPr>
          <w:lang w:val="fr-CH"/>
        </w:rPr>
        <w:t xml:space="preserve">. Nous ne sommes </w:t>
      </w:r>
      <w:r w:rsidR="00990579">
        <w:rPr>
          <w:lang w:val="fr-CH"/>
        </w:rPr>
        <w:t xml:space="preserve">toujours </w:t>
      </w:r>
      <w:r w:rsidR="00082E60">
        <w:rPr>
          <w:lang w:val="fr-CH"/>
        </w:rPr>
        <w:t>pas dans une théologie intégrant des études de terrain.</w:t>
      </w:r>
      <w:r w:rsidRPr="002A2933">
        <w:t xml:space="preserve"> </w:t>
      </w:r>
    </w:p>
    <w:p w:rsidR="00EC4053" w:rsidRDefault="00EC4053" w:rsidP="004930E0">
      <w:pPr>
        <w:spacing w:line="240" w:lineRule="auto"/>
      </w:pPr>
      <w:r>
        <w:t xml:space="preserve">C’est au milieu des années 1980 que la jeune discipline de la théologie pastorale </w:t>
      </w:r>
      <w:r w:rsidR="00B83B75">
        <w:t>ou pratique</w:t>
      </w:r>
      <w:r>
        <w:t xml:space="preserve"> – cherchant ses marques dans le concert théologique et sa méthodologie – </w:t>
      </w:r>
      <w:r w:rsidR="00082E60">
        <w:t xml:space="preserve">fait sienne et adapte </w:t>
      </w:r>
      <w:r>
        <w:t xml:space="preserve">la </w:t>
      </w:r>
      <w:r w:rsidR="00082E60">
        <w:t>méthode</w:t>
      </w:r>
      <w:r>
        <w:t xml:space="preserve"> de corrélation. </w:t>
      </w:r>
      <w:r w:rsidR="00B83B75">
        <w:t>Il faut évoquer ici l’</w:t>
      </w:r>
      <w:r>
        <w:t xml:space="preserve">article </w:t>
      </w:r>
      <w:r w:rsidR="00E622BF">
        <w:t xml:space="preserve">de Marc Donzé qui fut pionnier francophone dans l’utilisation du terme de corrélation, </w:t>
      </w:r>
      <w:r w:rsidR="00082E60">
        <w:t>constamment référencé</w:t>
      </w:r>
      <w:r w:rsidR="00AA6CB3">
        <w:t>, et parfois amplifié</w:t>
      </w:r>
      <w:r w:rsidR="00AA6CB3">
        <w:rPr>
          <w:rStyle w:val="Appelnotedebasdep"/>
        </w:rPr>
        <w:footnoteReference w:id="17"/>
      </w:r>
      <w:r w:rsidR="00AA6CB3">
        <w:t>,</w:t>
      </w:r>
      <w:r w:rsidR="00082E60">
        <w:t xml:space="preserve"> jusqu’à aujourd’hui</w:t>
      </w:r>
      <w:r w:rsidR="00E622BF">
        <w:t xml:space="preserve"> </w:t>
      </w:r>
      <w:r>
        <w:t xml:space="preserve">: </w:t>
      </w:r>
    </w:p>
    <w:p w:rsidR="00EC4053" w:rsidRDefault="00082E60" w:rsidP="004930E0">
      <w:pPr>
        <w:pStyle w:val="Citation"/>
        <w:spacing w:line="240" w:lineRule="auto"/>
      </w:pPr>
      <w:r>
        <w:t>‟</w:t>
      </w:r>
      <w:r w:rsidR="00EC4053" w:rsidRPr="002A2933">
        <w:t>La méthode qui me parait la plus adéquate est celle d’une corrélation critique entre la réalité de la pratique ecclésiale et ses référents (dans l’ordre : le Christ, l’Évangile, la tradition) ; une corrélation qu’il ne faut pas concevoir dans un système de questions-réponses, au sens où la pratique questionnerait et le monde de la référence répondrait, mais comme une interaction constante entre les requêtes du temps présent, les pratiques du peuple chrétien et les références fondatrices.”</w:t>
      </w:r>
      <w:r w:rsidR="00EC4053">
        <w:rPr>
          <w:rStyle w:val="Appelnotedebasdep"/>
        </w:rPr>
        <w:footnoteReference w:id="18"/>
      </w:r>
    </w:p>
    <w:p w:rsidR="00990579" w:rsidRDefault="001E0A24" w:rsidP="004930E0">
      <w:pPr>
        <w:spacing w:line="240" w:lineRule="auto"/>
      </w:pPr>
      <w:r>
        <w:t xml:space="preserve">Cette méthode est depuis couramment promue, tant dans les usuels comme le </w:t>
      </w:r>
      <w:r>
        <w:rPr>
          <w:i/>
        </w:rPr>
        <w:t>Précis de théologie pratique</w:t>
      </w:r>
      <w:r w:rsidR="004220C8">
        <w:rPr>
          <w:rStyle w:val="Appelnotedebasdep"/>
        </w:rPr>
        <w:footnoteReference w:id="19"/>
      </w:r>
      <w:r>
        <w:t xml:space="preserve">, que dans les articles abordant la méthodologie. Ceci étant considéré </w:t>
      </w:r>
      <w:r>
        <w:lastRenderedPageBreak/>
        <w:t xml:space="preserve">comme acquis, </w:t>
      </w:r>
      <w:r w:rsidR="00E677DB">
        <w:t xml:space="preserve">la réflexion </w:t>
      </w:r>
      <w:r w:rsidR="00B83B75">
        <w:t xml:space="preserve">dans la littérature scientifique </w:t>
      </w:r>
      <w:r w:rsidR="00E677DB">
        <w:t xml:space="preserve">porte </w:t>
      </w:r>
      <w:r w:rsidR="00B83B75">
        <w:t>jusqu’à aujourd’hui</w:t>
      </w:r>
      <w:r w:rsidR="00990579">
        <w:t xml:space="preserve"> </w:t>
      </w:r>
      <w:r w:rsidR="00E677DB">
        <w:t xml:space="preserve">sur </w:t>
      </w:r>
      <w:r>
        <w:t>les difficultés liées à l’interprétation</w:t>
      </w:r>
      <w:r>
        <w:rPr>
          <w:rStyle w:val="Appelnotedebasdep"/>
        </w:rPr>
        <w:footnoteReference w:id="20"/>
      </w:r>
      <w:r w:rsidR="00E677DB">
        <w:t>, d’une manière renouvelée par rapport aux recherches des années 1980</w:t>
      </w:r>
      <w:r w:rsidR="00E677DB">
        <w:rPr>
          <w:rStyle w:val="Appelnotedebasdep"/>
        </w:rPr>
        <w:footnoteReference w:id="21"/>
      </w:r>
      <w:r>
        <w:t>.</w:t>
      </w:r>
      <w:r w:rsidR="004220C8">
        <w:t xml:space="preserve"> </w:t>
      </w:r>
      <w:r w:rsidR="00990579">
        <w:t xml:space="preserve">Or </w:t>
      </w:r>
      <w:r w:rsidR="009119E7">
        <w:t>cela ne va pourtant pas de soi</w:t>
      </w:r>
      <w:r w:rsidR="00990579">
        <w:t xml:space="preserve">. Comme le fait remarquer Joël </w:t>
      </w:r>
      <w:proofErr w:type="spellStart"/>
      <w:r w:rsidR="00990579">
        <w:t>Molinario</w:t>
      </w:r>
      <w:proofErr w:type="spellEnd"/>
      <w:r w:rsidR="00990579">
        <w:t xml:space="preserve"> dans un article important sur le sujet, les fondements n’ont pas été véritablement établis. Il relève ‟</w:t>
      </w:r>
      <w:r w:rsidR="00990579" w:rsidRPr="00990579">
        <w:t>la difficulté théorique de justifier théologiquement et épistémologiquement la méthode de corrélation par celui qui est reconnu comme un des meilleurs spécialistes de la question en monde francophone</w:t>
      </w:r>
      <w:r w:rsidR="00990579">
        <w:t xml:space="preserve"> [Marc Dumas]”</w:t>
      </w:r>
      <w:r w:rsidR="00990579">
        <w:rPr>
          <w:rStyle w:val="Appelnotedebasdep"/>
        </w:rPr>
        <w:footnoteReference w:id="22"/>
      </w:r>
      <w:r w:rsidR="00990579">
        <w:t>.</w:t>
      </w:r>
    </w:p>
    <w:p w:rsidR="004220C8" w:rsidRPr="001E0A24" w:rsidRDefault="004220C8" w:rsidP="004930E0">
      <w:pPr>
        <w:spacing w:line="240" w:lineRule="auto"/>
      </w:pPr>
      <w:r>
        <w:t>Il faut encore signaler que cette priorité donnée au terrain dans le processus de la recherche est aussi celle de la méthode de praxéologie théologique initiée dans les années 1980 par Jean-Guy Nadeau et ses collègues de Montréal</w:t>
      </w:r>
      <w:r w:rsidR="007F2F8D">
        <w:rPr>
          <w:rStyle w:val="Appelnotedebasdep"/>
        </w:rPr>
        <w:footnoteReference w:id="23"/>
      </w:r>
      <w:r>
        <w:t xml:space="preserve">. Olivier Bauer a fait récemment une synthèse de la dimension empirique de la praxéologie. Il </w:t>
      </w:r>
      <w:r w:rsidR="00FF31EF">
        <w:t xml:space="preserve">y </w:t>
      </w:r>
      <w:r>
        <w:t>rappelle que le diagnostic n’est pas suffisant, et souligne que le défi est de passer à l’interprétation</w:t>
      </w:r>
      <w:r>
        <w:rPr>
          <w:rStyle w:val="Appelnotedebasdep"/>
        </w:rPr>
        <w:footnoteReference w:id="24"/>
      </w:r>
      <w:r>
        <w:t xml:space="preserve">. </w:t>
      </w:r>
    </w:p>
    <w:p w:rsidR="00130CB5" w:rsidRPr="00B718AD" w:rsidRDefault="00042FFE" w:rsidP="004930E0">
      <w:pPr>
        <w:pStyle w:val="Titre3"/>
        <w:spacing w:line="240" w:lineRule="auto"/>
        <w:rPr>
          <w:lang w:val="fr-BE"/>
        </w:rPr>
      </w:pPr>
      <w:bookmarkStart w:id="4" w:name="_Toc17027309"/>
      <w:r w:rsidRPr="00B718AD">
        <w:rPr>
          <w:lang w:val="fr-BE"/>
        </w:rPr>
        <w:t>1.3. Conséquences pour l’épistémologie</w:t>
      </w:r>
      <w:bookmarkEnd w:id="4"/>
    </w:p>
    <w:p w:rsidR="00380A31" w:rsidRDefault="00B718AD" w:rsidP="004930E0">
      <w:pPr>
        <w:spacing w:line="240" w:lineRule="auto"/>
      </w:pPr>
      <w:r>
        <w:t>L’origine d’un positionnement de l’étude de terrain en début de recherche n’est pas une donnée in</w:t>
      </w:r>
      <w:r w:rsidR="00A80DD1">
        <w:t xml:space="preserve">différente pour l’épistémologie. </w:t>
      </w:r>
      <w:r>
        <w:t xml:space="preserve">Que ce soit dans une finalité opératoire comme dans le voir-juger-agir, ou dans une finalité de connaissance des pratiques comme dans la corrélation inspirée de Tillich ou dans la praxéologie, la difficulté serait la même. </w:t>
      </w:r>
      <w:r w:rsidR="009119E7">
        <w:t xml:space="preserve">Le but est de connaitre le plus </w:t>
      </w:r>
      <w:r>
        <w:t>exact</w:t>
      </w:r>
      <w:r w:rsidR="009119E7">
        <w:t>ement</w:t>
      </w:r>
      <w:r>
        <w:t xml:space="preserve"> possible le contexte</w:t>
      </w:r>
      <w:r w:rsidR="00211665">
        <w:rPr>
          <w:rStyle w:val="Appelnotedebasdep"/>
        </w:rPr>
        <w:footnoteReference w:id="25"/>
      </w:r>
      <w:r>
        <w:t xml:space="preserve">, les actions et motivations des personnes concernées par le domaine étudié. La proximité avec les autres sciences humaines étudiant le religieux est </w:t>
      </w:r>
      <w:r w:rsidR="00A80DD1">
        <w:t>dans ce cas</w:t>
      </w:r>
      <w:r>
        <w:t xml:space="preserve"> très aisément perceptible. Peut-on alors parler d’une différence épistémologique</w:t>
      </w:r>
      <w:r w:rsidR="00380A31">
        <w:t xml:space="preserve"> à propos de la dimension empirique de la recherche ? </w:t>
      </w:r>
    </w:p>
    <w:p w:rsidR="00AA6CB3" w:rsidRDefault="00380A31" w:rsidP="004930E0">
      <w:pPr>
        <w:spacing w:line="240" w:lineRule="auto"/>
        <w:rPr>
          <w:szCs w:val="24"/>
        </w:rPr>
      </w:pPr>
      <w:r w:rsidRPr="00E622BF">
        <w:rPr>
          <w:szCs w:val="24"/>
        </w:rPr>
        <w:t xml:space="preserve">À notre avis, cela dépend principalement du contexte dans lequel la recherche se déploie. Pour le dire autrement, ceci pouvait ne pas poser de problème dans un contexte encore marqué par la </w:t>
      </w:r>
      <w:r w:rsidR="007367CA">
        <w:rPr>
          <w:szCs w:val="24"/>
        </w:rPr>
        <w:t>“</w:t>
      </w:r>
      <w:r w:rsidRPr="00E622BF">
        <w:rPr>
          <w:szCs w:val="24"/>
        </w:rPr>
        <w:t>chrétienté</w:t>
      </w:r>
      <w:r w:rsidR="007367CA">
        <w:rPr>
          <w:szCs w:val="24"/>
        </w:rPr>
        <w:t>”</w:t>
      </w:r>
      <w:r w:rsidR="0023624C" w:rsidRPr="00E622BF">
        <w:rPr>
          <w:szCs w:val="24"/>
        </w:rPr>
        <w:t xml:space="preserve"> (jusqu’au changement de millénaire)</w:t>
      </w:r>
      <w:r w:rsidRPr="00E622BF">
        <w:rPr>
          <w:szCs w:val="24"/>
        </w:rPr>
        <w:t xml:space="preserve">, c’est-à-dire </w:t>
      </w:r>
      <w:r w:rsidR="00A80DD1">
        <w:rPr>
          <w:szCs w:val="24"/>
        </w:rPr>
        <w:t xml:space="preserve">imprégné </w:t>
      </w:r>
      <w:r w:rsidRPr="00E622BF">
        <w:rPr>
          <w:szCs w:val="24"/>
        </w:rPr>
        <w:t>de restes d’une homogénéité de culture, valeurs, rites et langages religieux. Le contexte permettait aux personnes interviewées ou observées de situer le théologien différemment du sociologue ou du psychologue.</w:t>
      </w:r>
      <w:r w:rsidR="00F70996">
        <w:rPr>
          <w:szCs w:val="24"/>
        </w:rPr>
        <w:t xml:space="preserve"> C’est une époque où tous les théologiens et théologiennes pratiques sont convaincu</w:t>
      </w:r>
      <w:r w:rsidR="00AA6CB3">
        <w:rPr>
          <w:szCs w:val="24"/>
        </w:rPr>
        <w:t>s à juste titre</w:t>
      </w:r>
      <w:r w:rsidR="00F70996">
        <w:rPr>
          <w:szCs w:val="24"/>
        </w:rPr>
        <w:t xml:space="preserve"> “que l’utilisation des sciences humaines de manière raisonnée et appropriée est un potentiel prophétique pour transformer les pratiques ecclésiales</w:t>
      </w:r>
      <w:r w:rsidR="00AA6CB3">
        <w:rPr>
          <w:szCs w:val="24"/>
        </w:rPr>
        <w:t xml:space="preserve"> et qu’elles peuvent avoir un impact exigeant mais nécessaire pour les Églises dans le monde de ce temps”, comme l’écrit encore </w:t>
      </w:r>
      <w:r w:rsidR="0038188C" w:rsidRPr="0038188C">
        <w:rPr>
          <w:szCs w:val="24"/>
        </w:rPr>
        <w:t xml:space="preserve">Pierrette </w:t>
      </w:r>
      <w:proofErr w:type="spellStart"/>
      <w:r w:rsidR="0038188C" w:rsidRPr="0038188C">
        <w:rPr>
          <w:szCs w:val="24"/>
        </w:rPr>
        <w:t>Dav</w:t>
      </w:r>
      <w:r w:rsidR="00AA6CB3" w:rsidRPr="0038188C">
        <w:rPr>
          <w:szCs w:val="24"/>
        </w:rPr>
        <w:t>iau</w:t>
      </w:r>
      <w:proofErr w:type="spellEnd"/>
      <w:r w:rsidR="00AA6CB3">
        <w:rPr>
          <w:szCs w:val="24"/>
        </w:rPr>
        <w:t xml:space="preserve"> en 2014</w:t>
      </w:r>
      <w:r w:rsidR="00AA6CB3">
        <w:rPr>
          <w:rStyle w:val="Appelnotedebasdep"/>
          <w:szCs w:val="24"/>
        </w:rPr>
        <w:footnoteReference w:id="26"/>
      </w:r>
      <w:r w:rsidR="00AA6CB3">
        <w:rPr>
          <w:szCs w:val="24"/>
        </w:rPr>
        <w:t>.</w:t>
      </w:r>
      <w:r w:rsidRPr="00E622BF">
        <w:rPr>
          <w:szCs w:val="24"/>
        </w:rPr>
        <w:t xml:space="preserve"> </w:t>
      </w:r>
    </w:p>
    <w:p w:rsidR="00B718AD" w:rsidRPr="00E622BF" w:rsidRDefault="00380A31" w:rsidP="004930E0">
      <w:pPr>
        <w:spacing w:line="240" w:lineRule="auto"/>
        <w:rPr>
          <w:i/>
          <w:szCs w:val="24"/>
        </w:rPr>
      </w:pPr>
      <w:r w:rsidRPr="00E622BF">
        <w:rPr>
          <w:szCs w:val="24"/>
        </w:rPr>
        <w:t>Il y avait peu de risque d’ancrer l’épistémologie théologique dans un paradigme positiviste, comme c’était courant dans les autres sciences humaines.</w:t>
      </w:r>
      <w:r w:rsidR="0023624C" w:rsidRPr="00E622BF">
        <w:rPr>
          <w:szCs w:val="24"/>
        </w:rPr>
        <w:t xml:space="preserve"> Selon ce paradigme, ‟la réalité et les faits qui la composent sont mesurables. Ce type de recherche scientifique emploie un mode de connaissance reproductible dont les résultats sont généralisables.”</w:t>
      </w:r>
      <w:r w:rsidR="0023624C" w:rsidRPr="00E622BF">
        <w:rPr>
          <w:rStyle w:val="Appelnotedebasdep"/>
          <w:szCs w:val="24"/>
        </w:rPr>
        <w:footnoteReference w:id="27"/>
      </w:r>
      <w:r w:rsidR="008F5EF4" w:rsidRPr="00E622BF">
        <w:rPr>
          <w:szCs w:val="24"/>
        </w:rPr>
        <w:t xml:space="preserve"> Dans un contexte postmoderne de postchrétienté aux éclatements multiples, il n’est pas étonnant que des </w:t>
      </w:r>
      <w:r w:rsidR="008F5EF4" w:rsidRPr="00E622BF">
        <w:rPr>
          <w:szCs w:val="24"/>
        </w:rPr>
        <w:lastRenderedPageBreak/>
        <w:t xml:space="preserve">théologiens et théologiennes pratiques aient cherché à </w:t>
      </w:r>
      <w:r w:rsidR="00AB2E39" w:rsidRPr="00E622BF">
        <w:rPr>
          <w:szCs w:val="24"/>
        </w:rPr>
        <w:t>éviter dorénavant le risque d’une épistémo</w:t>
      </w:r>
      <w:r w:rsidR="00322DA6">
        <w:rPr>
          <w:szCs w:val="24"/>
        </w:rPr>
        <w:t>logie qui serait trop semblable</w:t>
      </w:r>
      <w:r w:rsidR="00AB2E39" w:rsidRPr="00E622BF">
        <w:rPr>
          <w:szCs w:val="24"/>
        </w:rPr>
        <w:t xml:space="preserve"> aux autres sciences humaines du religieux.</w:t>
      </w:r>
      <w:r w:rsidR="00990579" w:rsidRPr="00E622BF">
        <w:rPr>
          <w:szCs w:val="24"/>
        </w:rPr>
        <w:t xml:space="preserve"> Cela rejoint </w:t>
      </w:r>
      <w:r w:rsidR="00E622BF">
        <w:rPr>
          <w:szCs w:val="24"/>
        </w:rPr>
        <w:t>ce que pressent</w:t>
      </w:r>
      <w:r w:rsidR="00990579" w:rsidRPr="00E622BF">
        <w:rPr>
          <w:szCs w:val="24"/>
        </w:rPr>
        <w:t xml:space="preserve"> Marc Dumas dans le </w:t>
      </w:r>
      <w:r w:rsidR="00990579" w:rsidRPr="00E622BF">
        <w:rPr>
          <w:i/>
          <w:szCs w:val="24"/>
        </w:rPr>
        <w:t>Précis de théologie pratique</w:t>
      </w:r>
      <w:r w:rsidR="00E622BF" w:rsidRPr="00E622BF">
        <w:rPr>
          <w:i/>
          <w:szCs w:val="24"/>
        </w:rPr>
        <w:t> </w:t>
      </w:r>
      <w:r w:rsidR="00E622BF" w:rsidRPr="00E622BF">
        <w:rPr>
          <w:szCs w:val="24"/>
        </w:rPr>
        <w:t>: ‟Et si les nouvelles conditions de la situation humaine étaient à ce point différentes, si le fossé entre la foi chrétienne et le monde contemporain devenait tout simplement infranchissable, ne devrions-nous pas imaginer une nouvelle corrélation ?”</w:t>
      </w:r>
      <w:r w:rsidR="00A80DD1" w:rsidRPr="00E622BF">
        <w:rPr>
          <w:rStyle w:val="Appelnotedebasdep"/>
          <w:szCs w:val="24"/>
        </w:rPr>
        <w:footnoteReference w:id="28"/>
      </w:r>
    </w:p>
    <w:p w:rsidR="00871FBC" w:rsidRDefault="00871FBC" w:rsidP="004930E0">
      <w:pPr>
        <w:spacing w:line="240" w:lineRule="auto"/>
      </w:pPr>
      <w:r>
        <w:t xml:space="preserve">Compréhensible par les sciences humaines du religieux, ce type de démarche empirique de théologie pratique est par contre étranger aux disciplines systématiques de la théologie (dogmatique, sacramentaire, ecclésiologie, fondamentale, morale fondamentale). Je vois dans la proximité épistémologique ici décrite une cause majeure de la difficulté pour les théologiens et théologiennes pratiques à être reconnus comme théologiens et théologiennes authentiques par leurs pairs dans les années 1980 et 1990. </w:t>
      </w:r>
    </w:p>
    <w:p w:rsidR="00EF6837" w:rsidRPr="00B16083" w:rsidRDefault="00871FBC" w:rsidP="004930E0">
      <w:pPr>
        <w:spacing w:line="240" w:lineRule="auto"/>
      </w:pPr>
      <w:r>
        <w:t xml:space="preserve">La critique la plus </w:t>
      </w:r>
      <w:r w:rsidR="00077A16">
        <w:t xml:space="preserve">novatrice et </w:t>
      </w:r>
      <w:r>
        <w:t xml:space="preserve">constructive est venue </w:t>
      </w:r>
      <w:r w:rsidR="00077A16">
        <w:t xml:space="preserve">en 1975 </w:t>
      </w:r>
      <w:r>
        <w:t>de David Tracy</w:t>
      </w:r>
      <w:r w:rsidR="00077A16">
        <w:t xml:space="preserve">, </w:t>
      </w:r>
      <w:r w:rsidR="00997D18">
        <w:t xml:space="preserve">lui aussi </w:t>
      </w:r>
      <w:r w:rsidR="00E55C19">
        <w:t>situé en</w:t>
      </w:r>
      <w:r w:rsidR="00997D18">
        <w:t xml:space="preserve"> théologie fondamentale</w:t>
      </w:r>
      <w:r w:rsidR="00E55C19">
        <w:t xml:space="preserve"> comme Tillich</w:t>
      </w:r>
      <w:r w:rsidR="00077A16">
        <w:rPr>
          <w:rStyle w:val="Appelnotedebasdep"/>
        </w:rPr>
        <w:footnoteReference w:id="29"/>
      </w:r>
      <w:r w:rsidR="00077A16">
        <w:t>.</w:t>
      </w:r>
      <w:r w:rsidR="000F0489">
        <w:t xml:space="preserve"> </w:t>
      </w:r>
      <w:r w:rsidR="00077A16">
        <w:t xml:space="preserve">Il y propose un modèle de corrélation </w:t>
      </w:r>
      <w:r w:rsidR="00E55C19">
        <w:t>novateur</w:t>
      </w:r>
      <w:r w:rsidR="00077A16">
        <w:t xml:space="preserve">, en détaillant plusieurs limites </w:t>
      </w:r>
      <w:r w:rsidR="00E55C19">
        <w:t xml:space="preserve">de Tillich </w:t>
      </w:r>
      <w:r w:rsidR="00077A16">
        <w:t>et concluant : “</w:t>
      </w:r>
      <w:proofErr w:type="spellStart"/>
      <w:r w:rsidR="00077A16">
        <w:rPr>
          <w:i/>
        </w:rPr>
        <w:t>Yet</w:t>
      </w:r>
      <w:proofErr w:type="spellEnd"/>
      <w:r w:rsidR="00077A16">
        <w:rPr>
          <w:i/>
        </w:rPr>
        <w:t xml:space="preserve"> </w:t>
      </w:r>
      <w:proofErr w:type="spellStart"/>
      <w:r w:rsidR="00077A16">
        <w:rPr>
          <w:i/>
        </w:rPr>
        <w:t>Tillich’s</w:t>
      </w:r>
      <w:proofErr w:type="spellEnd"/>
      <w:r w:rsidR="00077A16">
        <w:rPr>
          <w:i/>
        </w:rPr>
        <w:t xml:space="preserve"> </w:t>
      </w:r>
      <w:proofErr w:type="spellStart"/>
      <w:r w:rsidR="00077A16">
        <w:rPr>
          <w:i/>
        </w:rPr>
        <w:t>method</w:t>
      </w:r>
      <w:proofErr w:type="spellEnd"/>
      <w:r w:rsidR="00077A16">
        <w:rPr>
          <w:i/>
        </w:rPr>
        <w:t xml:space="preserve"> of </w:t>
      </w:r>
      <w:proofErr w:type="spellStart"/>
      <w:r w:rsidR="00077A16">
        <w:rPr>
          <w:i/>
        </w:rPr>
        <w:t>correlation</w:t>
      </w:r>
      <w:proofErr w:type="spellEnd"/>
      <w:r w:rsidR="00077A16">
        <w:rPr>
          <w:i/>
        </w:rPr>
        <w:t xml:space="preserve"> </w:t>
      </w:r>
      <w:proofErr w:type="spellStart"/>
      <w:r w:rsidR="00077A16">
        <w:rPr>
          <w:i/>
        </w:rPr>
        <w:t>is</w:t>
      </w:r>
      <w:proofErr w:type="spellEnd"/>
      <w:r w:rsidR="00077A16">
        <w:rPr>
          <w:i/>
        </w:rPr>
        <w:t xml:space="preserve"> </w:t>
      </w:r>
      <w:proofErr w:type="spellStart"/>
      <w:r w:rsidR="00077A16">
        <w:rPr>
          <w:i/>
        </w:rPr>
        <w:t>crucially</w:t>
      </w:r>
      <w:proofErr w:type="spellEnd"/>
      <w:r w:rsidR="00077A16">
        <w:rPr>
          <w:i/>
        </w:rPr>
        <w:t xml:space="preserve"> </w:t>
      </w:r>
      <w:proofErr w:type="spellStart"/>
      <w:r w:rsidR="00077A16">
        <w:rPr>
          <w:i/>
        </w:rPr>
        <w:t>inadequate</w:t>
      </w:r>
      <w:proofErr w:type="spellEnd"/>
      <w:r w:rsidR="00077A16">
        <w:t xml:space="preserve">” (p. 46). Il y critique aussi la fascination exercée sur certains théologiens, d’abord des systématiciens. Ce n’est que rétrospectivement que ses propos </w:t>
      </w:r>
      <w:r>
        <w:t>questionne</w:t>
      </w:r>
      <w:r w:rsidR="00077A16">
        <w:t>nt</w:t>
      </w:r>
      <w:r>
        <w:t xml:space="preserve"> </w:t>
      </w:r>
      <w:r w:rsidR="00086EDE">
        <w:t xml:space="preserve">indirectement </w:t>
      </w:r>
      <w:r>
        <w:t xml:space="preserve">l’appropriation de la corrélation </w:t>
      </w:r>
      <w:proofErr w:type="spellStart"/>
      <w:r w:rsidR="00EF6837">
        <w:t>tillichienne</w:t>
      </w:r>
      <w:proofErr w:type="spellEnd"/>
      <w:r w:rsidR="00EF6837">
        <w:t xml:space="preserve"> par d</w:t>
      </w:r>
      <w:r>
        <w:t xml:space="preserve">es théologiens </w:t>
      </w:r>
      <w:r w:rsidR="009E6701">
        <w:t xml:space="preserve">et théologiennes </w:t>
      </w:r>
      <w:r>
        <w:t>pratiques commenç</w:t>
      </w:r>
      <w:r w:rsidR="00077A16">
        <w:t>ant par la recherche de terrain.</w:t>
      </w:r>
      <w:r w:rsidR="00EF6837">
        <w:t xml:space="preserve"> La critique sur l’épistémologie est parfois résumée</w:t>
      </w:r>
      <w:r w:rsidR="00077A16">
        <w:t xml:space="preserve"> </w:t>
      </w:r>
      <w:r w:rsidR="007367CA">
        <w:t xml:space="preserve">par l’expression </w:t>
      </w:r>
      <w:r>
        <w:t xml:space="preserve">‟recherche à </w:t>
      </w:r>
      <w:r w:rsidRPr="00B16083">
        <w:t>étage</w:t>
      </w:r>
      <w:r w:rsidR="00BA047D" w:rsidRPr="00B16083">
        <w:t>s</w:t>
      </w:r>
      <w:r w:rsidRPr="00B16083">
        <w:t>”</w:t>
      </w:r>
      <w:r w:rsidR="00A85AA8" w:rsidRPr="00B16083">
        <w:rPr>
          <w:rStyle w:val="Appelnotedebasdep"/>
        </w:rPr>
        <w:footnoteReference w:id="30"/>
      </w:r>
      <w:r w:rsidR="00077458" w:rsidRPr="00B16083">
        <w:t xml:space="preserve">, </w:t>
      </w:r>
      <w:r w:rsidR="007367CA" w:rsidRPr="00B16083">
        <w:t xml:space="preserve">développée </w:t>
      </w:r>
      <w:r w:rsidR="00A85AA8" w:rsidRPr="00B16083">
        <w:t xml:space="preserve">particulièrement </w:t>
      </w:r>
      <w:r w:rsidR="00077458" w:rsidRPr="00B16083">
        <w:t xml:space="preserve">par Franklin </w:t>
      </w:r>
      <w:proofErr w:type="spellStart"/>
      <w:r w:rsidR="00077458" w:rsidRPr="00B16083">
        <w:t>Buitrago</w:t>
      </w:r>
      <w:proofErr w:type="spellEnd"/>
      <w:r w:rsidR="00077458" w:rsidRPr="00B16083">
        <w:t xml:space="preserve"> Rojas</w:t>
      </w:r>
      <w:r w:rsidR="002132F6" w:rsidRPr="00B16083">
        <w:rPr>
          <w:rStyle w:val="Appelnotedebasdep"/>
        </w:rPr>
        <w:footnoteReference w:id="31"/>
      </w:r>
      <w:r w:rsidRPr="00B16083">
        <w:t>. L’étude de terrain se fait d’abord à l’aide d</w:t>
      </w:r>
      <w:r w:rsidR="00BA047D" w:rsidRPr="00B16083">
        <w:t>e méthode</w:t>
      </w:r>
      <w:r w:rsidR="00E55C19">
        <w:t>s</w:t>
      </w:r>
      <w:r w:rsidR="00BA047D" w:rsidRPr="00B16083">
        <w:t xml:space="preserve"> de collecte de données propres à </w:t>
      </w:r>
      <w:r w:rsidRPr="00B16083">
        <w:t>une science humaine</w:t>
      </w:r>
      <w:r w:rsidR="00BA047D" w:rsidRPr="00B16083">
        <w:t xml:space="preserve"> empirique, que ce soit une recherche menée personnellement par le théologien ou la théologienne (ou en équipe pluridisciplinaire), ou en empruntant des données fournies par des collègues de sciences humaines (</w:t>
      </w:r>
      <w:r w:rsidRPr="00B16083">
        <w:t>psychologie, sociologie ou anthropologie religieuse</w:t>
      </w:r>
      <w:r w:rsidR="00BA047D" w:rsidRPr="00B16083">
        <w:t>)</w:t>
      </w:r>
      <w:r w:rsidRPr="00B16083">
        <w:t xml:space="preserve">. Ensuite, dans un deuxième </w:t>
      </w:r>
      <w:r w:rsidR="00BA047D" w:rsidRPr="00B16083">
        <w:t>moment de la recherche</w:t>
      </w:r>
      <w:r w:rsidRPr="00B16083">
        <w:t xml:space="preserve">, le théologien ou la théologienne </w:t>
      </w:r>
      <w:r w:rsidR="00BA047D" w:rsidRPr="00B16083">
        <w:t>travaille</w:t>
      </w:r>
      <w:r w:rsidRPr="00B16083">
        <w:t xml:space="preserve"> à partir des données obtenues. La question posée par </w:t>
      </w:r>
      <w:r w:rsidR="00077458" w:rsidRPr="00B16083">
        <w:t xml:space="preserve">Franklin </w:t>
      </w:r>
      <w:proofErr w:type="spellStart"/>
      <w:r w:rsidR="00077458" w:rsidRPr="00B16083">
        <w:t>Buitrago</w:t>
      </w:r>
      <w:proofErr w:type="spellEnd"/>
      <w:r w:rsidR="00077458" w:rsidRPr="00B16083">
        <w:t xml:space="preserve"> Rojas dans la suite de </w:t>
      </w:r>
      <w:r w:rsidRPr="00B16083">
        <w:t>Tra</w:t>
      </w:r>
      <w:r w:rsidR="00B052FE" w:rsidRPr="00B16083">
        <w:t xml:space="preserve">cy </w:t>
      </w:r>
      <w:r w:rsidR="00EF6837" w:rsidRPr="00B16083">
        <w:t>serait donc</w:t>
      </w:r>
      <w:r w:rsidR="00B052FE" w:rsidRPr="00B16083">
        <w:t xml:space="preserve"> celle d’une succession d’</w:t>
      </w:r>
      <w:r w:rsidRPr="00B16083">
        <w:t>épistémologies différentes</w:t>
      </w:r>
      <w:r w:rsidR="00411C0C" w:rsidRPr="00B16083">
        <w:t xml:space="preserve">, au risque d’invalider la dimension proprement théologique de la recherche. </w:t>
      </w:r>
    </w:p>
    <w:p w:rsidR="00871FBC" w:rsidRDefault="00EF6837" w:rsidP="004930E0">
      <w:pPr>
        <w:spacing w:line="240" w:lineRule="auto"/>
      </w:pPr>
      <w:r w:rsidRPr="00B16083">
        <w:t xml:space="preserve">Il ne s’agit donc pas d’abord ici des méthodes employées. </w:t>
      </w:r>
      <w:r w:rsidR="00C84785" w:rsidRPr="00B16083">
        <w:t xml:space="preserve">Si des </w:t>
      </w:r>
      <w:r w:rsidR="00411C0C" w:rsidRPr="00B16083">
        <w:t xml:space="preserve">chercheurs ou chercheuses utilisent des données (surtout des enquêtes) </w:t>
      </w:r>
      <w:r w:rsidR="008D1AAF" w:rsidRPr="00B16083">
        <w:t>rassemblées</w:t>
      </w:r>
      <w:r w:rsidR="00411C0C" w:rsidRPr="00B16083">
        <w:t xml:space="preserve"> par d’autres</w:t>
      </w:r>
      <w:r w:rsidR="00C84785" w:rsidRPr="00B16083">
        <w:t xml:space="preserve">, cela est </w:t>
      </w:r>
      <w:r w:rsidRPr="00B16083">
        <w:t xml:space="preserve">habituellement </w:t>
      </w:r>
      <w:r w:rsidR="00C84785" w:rsidRPr="00B16083">
        <w:t>considéré comme légitime, même si cela pose des difficultés supplémentaires</w:t>
      </w:r>
      <w:r w:rsidR="00411C0C" w:rsidRPr="00B16083">
        <w:t>. Isabelle Grellier fait justement remarqu</w:t>
      </w:r>
      <w:r w:rsidR="00C84785" w:rsidRPr="00B16083">
        <w:t>er</w:t>
      </w:r>
      <w:r w:rsidR="00411C0C" w:rsidRPr="00B16083">
        <w:t xml:space="preserve"> que les théologiens et théologiennes pratiques ont rarement toutes les </w:t>
      </w:r>
      <w:r w:rsidR="00411C0C" w:rsidRPr="00B16083">
        <w:lastRenderedPageBreak/>
        <w:t>compétences pour mener ces recherches de terrain</w:t>
      </w:r>
      <w:r w:rsidR="00411C0C" w:rsidRPr="00B16083">
        <w:rPr>
          <w:rStyle w:val="Appelnotedebasdep"/>
        </w:rPr>
        <w:footnoteReference w:id="32"/>
      </w:r>
      <w:r w:rsidR="00411C0C" w:rsidRPr="00B16083">
        <w:t xml:space="preserve">. </w:t>
      </w:r>
      <w:r w:rsidR="00B16083" w:rsidRPr="00B16083">
        <w:t>La question serait alors la pertinence de “limiter”</w:t>
      </w:r>
      <w:r w:rsidR="00411C0C" w:rsidRPr="00B16083">
        <w:t xml:space="preserve"> tout l’apport théologique </w:t>
      </w:r>
      <w:r w:rsidR="00B065ED" w:rsidRPr="00B16083">
        <w:t xml:space="preserve">seulement </w:t>
      </w:r>
      <w:r w:rsidR="00B16083" w:rsidRPr="00B16083">
        <w:t>à</w:t>
      </w:r>
      <w:r w:rsidR="00411C0C" w:rsidRPr="00B16083">
        <w:t xml:space="preserve"> l’interprétation des données.</w:t>
      </w:r>
    </w:p>
    <w:p w:rsidR="002F7949" w:rsidRDefault="00804AD4" w:rsidP="004930E0">
      <w:pPr>
        <w:pStyle w:val="Titre2"/>
      </w:pPr>
      <w:bookmarkStart w:id="5" w:name="_Toc17027310"/>
      <w:r>
        <w:t>2. La recherche empirique à mi-chemin entre la problématisation théologique et le déploiement de la réflexion</w:t>
      </w:r>
      <w:bookmarkEnd w:id="5"/>
    </w:p>
    <w:p w:rsidR="002F7949" w:rsidRPr="000726E4" w:rsidRDefault="000726E4" w:rsidP="004930E0">
      <w:pPr>
        <w:pStyle w:val="Titre3"/>
        <w:spacing w:line="240" w:lineRule="auto"/>
        <w:rPr>
          <w:lang w:val="fr-BE"/>
        </w:rPr>
      </w:pPr>
      <w:bookmarkStart w:id="6" w:name="_Toc17027311"/>
      <w:r w:rsidRPr="000726E4">
        <w:rPr>
          <w:lang w:val="fr-BE"/>
        </w:rPr>
        <w:t xml:space="preserve">2.1. Un changement de structure </w:t>
      </w:r>
      <w:r w:rsidR="000F5083">
        <w:rPr>
          <w:lang w:val="fr-BE"/>
        </w:rPr>
        <w:t>significatif</w:t>
      </w:r>
      <w:bookmarkEnd w:id="6"/>
    </w:p>
    <w:p w:rsidR="005062F9" w:rsidRDefault="005062F9" w:rsidP="004930E0">
      <w:pPr>
        <w:spacing w:line="240" w:lineRule="auto"/>
      </w:pPr>
      <w:r>
        <w:t>Dans le monde francophone</w:t>
      </w:r>
      <w:r w:rsidR="004A2B05" w:rsidRPr="004A2B05">
        <w:t xml:space="preserve"> </w:t>
      </w:r>
      <w:r w:rsidR="004A2B05">
        <w:t>au début des années 2000</w:t>
      </w:r>
      <w:r>
        <w:t xml:space="preserve">, </w:t>
      </w:r>
      <w:r w:rsidR="000726E4">
        <w:t>certaines</w:t>
      </w:r>
      <w:r>
        <w:t xml:space="preserve"> recherches </w:t>
      </w:r>
      <w:r w:rsidR="004A2B05">
        <w:t>doctorale</w:t>
      </w:r>
      <w:r w:rsidR="00AA66E1">
        <w:t>s</w:t>
      </w:r>
      <w:r w:rsidR="004A2B05">
        <w:t xml:space="preserve"> et des séminaires de recherche </w:t>
      </w:r>
      <w:r>
        <w:t xml:space="preserve">ont commencé à </w:t>
      </w:r>
      <w:r w:rsidR="0035793A">
        <w:t>dé</w:t>
      </w:r>
      <w:r>
        <w:t xml:space="preserve">placer la dimension empirique </w:t>
      </w:r>
      <w:r w:rsidR="0035793A">
        <w:t>partiellement ou totalement dans</w:t>
      </w:r>
      <w:r>
        <w:t xml:space="preserve"> une deuxième partie.</w:t>
      </w:r>
      <w:r w:rsidR="000726E4">
        <w:t xml:space="preserve"> Il nous</w:t>
      </w:r>
      <w:r>
        <w:t xml:space="preserve"> </w:t>
      </w:r>
      <w:r w:rsidR="000726E4">
        <w:t xml:space="preserve">semble que ce tournant n’a pas été assez souligné pour sa dimension épistémologique. </w:t>
      </w:r>
    </w:p>
    <w:p w:rsidR="00322DA6" w:rsidRDefault="000726E4" w:rsidP="004930E0">
      <w:pPr>
        <w:spacing w:line="240" w:lineRule="auto"/>
      </w:pPr>
      <w:r>
        <w:t xml:space="preserve">On doit à Étienne </w:t>
      </w:r>
      <w:proofErr w:type="spellStart"/>
      <w:r>
        <w:t>Grieu</w:t>
      </w:r>
      <w:proofErr w:type="spellEnd"/>
      <w:r>
        <w:t xml:space="preserve"> d’avoir proposé une impor</w:t>
      </w:r>
      <w:r w:rsidR="00422DF6">
        <w:t xml:space="preserve">tante réflexion méthodologique </w:t>
      </w:r>
      <w:r>
        <w:t xml:space="preserve">et épistémologique </w:t>
      </w:r>
      <w:r w:rsidR="003E64D3">
        <w:t>dès</w:t>
      </w:r>
      <w:r>
        <w:t xml:space="preserve"> sa thèse doctorale publiée en 2003</w:t>
      </w:r>
      <w:r w:rsidR="000D7EDF">
        <w:rPr>
          <w:rStyle w:val="Appelnotedebasdep"/>
        </w:rPr>
        <w:footnoteReference w:id="33"/>
      </w:r>
      <w:r>
        <w:t>.</w:t>
      </w:r>
      <w:r w:rsidR="000D7EDF">
        <w:t xml:space="preserve"> Il continue à fonder sa réflexion à l’aide de Paul Tillich (et </w:t>
      </w:r>
      <w:r w:rsidR="00A156F2">
        <w:t xml:space="preserve">de </w:t>
      </w:r>
      <w:r w:rsidR="000D7EDF">
        <w:t>Karl Rahner)</w:t>
      </w:r>
      <w:r w:rsidR="00A156F2">
        <w:t>,</w:t>
      </w:r>
      <w:r w:rsidR="000D7EDF">
        <w:t xml:space="preserve"> mais </w:t>
      </w:r>
      <w:r w:rsidR="00A156F2">
        <w:t xml:space="preserve">il </w:t>
      </w:r>
      <w:r w:rsidR="000D7EDF">
        <w:t>le fait autrement qu’en séparant la recherche de terrain (en l’occurrence des récits de vie) de l’interprétation. Tillich lui sert d’abord à penser l’engagement croyant dans le monde, selon une approche fondamentale</w:t>
      </w:r>
      <w:r w:rsidR="000D7EDF">
        <w:rPr>
          <w:rStyle w:val="Appelnotedebasdep"/>
        </w:rPr>
        <w:footnoteReference w:id="34"/>
      </w:r>
      <w:r w:rsidR="000D7EDF">
        <w:t>.</w:t>
      </w:r>
      <w:r w:rsidR="00322DA6">
        <w:t xml:space="preserve"> Ce déplacement est important, car il va inciter d’autres chercheurs à explorer des voies alternatives à la corrélation inspirée de Tillich. Mais </w:t>
      </w:r>
      <w:proofErr w:type="spellStart"/>
      <w:r w:rsidR="00322DA6">
        <w:t>Grieu</w:t>
      </w:r>
      <w:proofErr w:type="spellEnd"/>
      <w:r w:rsidR="00322DA6">
        <w:t xml:space="preserve"> lui-même et d’autres avec lui vont évoluer vers des structurations que nous traiterons plus loin dans le développement sur l’</w:t>
      </w:r>
      <w:proofErr w:type="spellStart"/>
      <w:r w:rsidR="00322DA6">
        <w:rPr>
          <w:i/>
        </w:rPr>
        <w:t>ordinary</w:t>
      </w:r>
      <w:proofErr w:type="spellEnd"/>
      <w:r w:rsidR="00322DA6">
        <w:rPr>
          <w:i/>
        </w:rPr>
        <w:t xml:space="preserve"> </w:t>
      </w:r>
      <w:proofErr w:type="spellStart"/>
      <w:r w:rsidR="00322DA6">
        <w:rPr>
          <w:i/>
        </w:rPr>
        <w:t>theology</w:t>
      </w:r>
      <w:proofErr w:type="spellEnd"/>
      <w:r w:rsidR="00322DA6">
        <w:rPr>
          <w:i/>
        </w:rPr>
        <w:t>.</w:t>
      </w:r>
      <w:r w:rsidR="000D7EDF">
        <w:t xml:space="preserve"> </w:t>
      </w:r>
    </w:p>
    <w:p w:rsidR="000726E4" w:rsidRPr="0092139C" w:rsidRDefault="0035793A" w:rsidP="004930E0">
      <w:pPr>
        <w:spacing w:line="240" w:lineRule="auto"/>
      </w:pPr>
      <w:r>
        <w:t xml:space="preserve">Le premier “francophone” à se </w:t>
      </w:r>
      <w:r w:rsidR="000726E4">
        <w:t>revendique</w:t>
      </w:r>
      <w:r>
        <w:t>r</w:t>
      </w:r>
      <w:r w:rsidR="000726E4">
        <w:t xml:space="preserve"> explicitement de David Tracy</w:t>
      </w:r>
      <w:r w:rsidR="00B052FE">
        <w:t>,</w:t>
      </w:r>
      <w:r w:rsidR="000726E4">
        <w:t xml:space="preserve"> pour </w:t>
      </w:r>
      <w:r w:rsidR="00B052FE">
        <w:t>justifier une construction situant</w:t>
      </w:r>
      <w:r w:rsidR="000726E4">
        <w:t xml:space="preserve"> la </w:t>
      </w:r>
      <w:r>
        <w:t xml:space="preserve">recherche de terrain </w:t>
      </w:r>
      <w:r w:rsidR="000726E4">
        <w:t>autrement que selon une corrélation inspirée de Tillich</w:t>
      </w:r>
      <w:r>
        <w:t xml:space="preserve"> est Franklin </w:t>
      </w:r>
      <w:proofErr w:type="spellStart"/>
      <w:r>
        <w:t>Buitrago</w:t>
      </w:r>
      <w:proofErr w:type="spellEnd"/>
      <w:r>
        <w:t xml:space="preserve"> Rojas</w:t>
      </w:r>
      <w:r w:rsidR="004A2B05">
        <w:t>, évoqué plus haut</w:t>
      </w:r>
      <w:r w:rsidR="000726E4">
        <w:t xml:space="preserve">. La récente publication en espagnol et en français de </w:t>
      </w:r>
      <w:r>
        <w:t>s</w:t>
      </w:r>
      <w:r w:rsidR="000726E4">
        <w:t>a thèse de</w:t>
      </w:r>
      <w:r w:rsidR="00B065ED">
        <w:t xml:space="preserve"> </w:t>
      </w:r>
      <w:r>
        <w:t xml:space="preserve">doctorat </w:t>
      </w:r>
      <w:r w:rsidR="000726E4">
        <w:t xml:space="preserve">rend accessible </w:t>
      </w:r>
      <w:r w:rsidR="00C54C87">
        <w:t>à un</w:t>
      </w:r>
      <w:r w:rsidR="000726E4">
        <w:t xml:space="preserve"> plus grand nombre </w:t>
      </w:r>
      <w:r w:rsidR="00C54C87">
        <w:t xml:space="preserve">de francophones </w:t>
      </w:r>
      <w:r w:rsidR="000726E4">
        <w:t>cette question épistémologique</w:t>
      </w:r>
      <w:r w:rsidR="00FC65D4">
        <w:t>. Elle</w:t>
      </w:r>
      <w:r w:rsidR="000726E4">
        <w:t xml:space="preserve"> permet d’aller plus loin dans la justification de placer dans un deuxième moment du travail la recherche de terrain.</w:t>
      </w:r>
      <w:r w:rsidR="000F5083">
        <w:t xml:space="preserve"> </w:t>
      </w:r>
      <w:r w:rsidR="0071692C">
        <w:t xml:space="preserve">David Tracy </w:t>
      </w:r>
      <w:r w:rsidR="0092139C">
        <w:t xml:space="preserve">a mené une relecture de ses </w:t>
      </w:r>
      <w:r w:rsidR="004A2B05">
        <w:t xml:space="preserve">propres </w:t>
      </w:r>
      <w:r w:rsidR="0092139C">
        <w:t xml:space="preserve">écrits sur la corrélation </w:t>
      </w:r>
      <w:r w:rsidR="0071692C">
        <w:t>dans un ouvrage collectif publié en 2011</w:t>
      </w:r>
      <w:r w:rsidR="0071692C">
        <w:rPr>
          <w:rStyle w:val="Appelnotedebasdep"/>
        </w:rPr>
        <w:footnoteReference w:id="35"/>
      </w:r>
      <w:r w:rsidR="0060059F">
        <w:t>, sans revenir sur les questions d’épistémologie</w:t>
      </w:r>
      <w:r w:rsidR="0071692C">
        <w:t>.</w:t>
      </w:r>
    </w:p>
    <w:p w:rsidR="00A94F52" w:rsidRPr="00086EDE" w:rsidRDefault="00C54C87" w:rsidP="004930E0">
      <w:pPr>
        <w:spacing w:line="240" w:lineRule="auto"/>
      </w:pPr>
      <w:r>
        <w:t>Si David Tracy est retenu comme le maître à penser ou tout du moins l’initiateur d’un changement dans la mise e</w:t>
      </w:r>
      <w:r w:rsidR="00086EDE">
        <w:t xml:space="preserve">n œuvre d’une corrélation, il </w:t>
      </w:r>
      <w:r w:rsidR="00C81232">
        <w:t>n’</w:t>
      </w:r>
      <w:r>
        <w:t xml:space="preserve">en a posé que des </w:t>
      </w:r>
      <w:r w:rsidR="00086EDE">
        <w:t>fondements</w:t>
      </w:r>
      <w:r>
        <w:t>, n’allant pas jusqu’à mener lui-même son application à des recherches empiriques propres.</w:t>
      </w:r>
      <w:r w:rsidR="00086EDE">
        <w:t xml:space="preserve"> Il est resté dans son domaine de la théologie systématique.</w:t>
      </w:r>
      <w:r>
        <w:t xml:space="preserve"> Il a suscité en tout cas un élan qui ne faiblit pas pour une réflexion fondamentale en théologie pratique</w:t>
      </w:r>
      <w:r>
        <w:rPr>
          <w:rStyle w:val="Appelnotedebasdep"/>
        </w:rPr>
        <w:footnoteReference w:id="36"/>
      </w:r>
      <w:r>
        <w:t>.</w:t>
      </w:r>
      <w:r w:rsidR="00A94F52">
        <w:t xml:space="preserve"> </w:t>
      </w:r>
      <w:r w:rsidR="00086EDE">
        <w:t xml:space="preserve">Pour être précis, il faut </w:t>
      </w:r>
      <w:r w:rsidR="005671D6">
        <w:t xml:space="preserve">encore </w:t>
      </w:r>
      <w:r w:rsidR="00086EDE">
        <w:t>noter qu’à partir de 1980, Tracy a toujours ajouté ‟</w:t>
      </w:r>
      <w:r w:rsidR="00DA4807">
        <w:t>mutuellement critique” (</w:t>
      </w:r>
      <w:proofErr w:type="spellStart"/>
      <w:r w:rsidR="00086EDE">
        <w:rPr>
          <w:i/>
        </w:rPr>
        <w:t>mutually</w:t>
      </w:r>
      <w:proofErr w:type="spellEnd"/>
      <w:r w:rsidR="00086EDE">
        <w:rPr>
          <w:i/>
        </w:rPr>
        <w:t xml:space="preserve"> </w:t>
      </w:r>
      <w:proofErr w:type="spellStart"/>
      <w:r w:rsidR="00086EDE">
        <w:rPr>
          <w:i/>
        </w:rPr>
        <w:t>critical</w:t>
      </w:r>
      <w:proofErr w:type="spellEnd"/>
      <w:r w:rsidR="00DA4807">
        <w:t>)</w:t>
      </w:r>
      <w:r w:rsidR="00086EDE">
        <w:t xml:space="preserve"> </w:t>
      </w:r>
      <w:r w:rsidR="00DA4807">
        <w:t>au</w:t>
      </w:r>
      <w:r w:rsidR="00086EDE">
        <w:t xml:space="preserve"> mot corrélation. Cela lui permet de se distancier d’une perspective qui serait exclusivement </w:t>
      </w:r>
      <w:r w:rsidR="00086EDE">
        <w:lastRenderedPageBreak/>
        <w:t>harmonieuse entre les pôles concernés. Tracy inclut alors la confrontation et la non-identification, dans son modèle analogique</w:t>
      </w:r>
      <w:r w:rsidR="00086EDE">
        <w:rPr>
          <w:rStyle w:val="Appelnotedebasdep"/>
        </w:rPr>
        <w:footnoteReference w:id="37"/>
      </w:r>
      <w:r w:rsidR="00086EDE">
        <w:t>.</w:t>
      </w:r>
    </w:p>
    <w:p w:rsidR="00B065ED" w:rsidRPr="00935246" w:rsidRDefault="000F5083" w:rsidP="004930E0">
      <w:pPr>
        <w:pStyle w:val="Titre3"/>
        <w:spacing w:line="240" w:lineRule="auto"/>
        <w:rPr>
          <w:lang w:val="fr-BE"/>
        </w:rPr>
      </w:pPr>
      <w:bookmarkStart w:id="7" w:name="_Toc17027312"/>
      <w:r w:rsidRPr="00935246">
        <w:rPr>
          <w:lang w:val="fr-BE"/>
        </w:rPr>
        <w:t>2.2. Conséquences pour l’épistémologie</w:t>
      </w:r>
      <w:bookmarkEnd w:id="7"/>
    </w:p>
    <w:p w:rsidR="000F5083" w:rsidRDefault="00935246" w:rsidP="004930E0">
      <w:pPr>
        <w:spacing w:line="240" w:lineRule="auto"/>
        <w:rPr>
          <w:lang w:eastAsia="fr-FR"/>
        </w:rPr>
      </w:pPr>
      <w:r w:rsidRPr="00935246">
        <w:rPr>
          <w:lang w:eastAsia="fr-FR"/>
        </w:rPr>
        <w:t xml:space="preserve">Que change cette structure par rapport à la précédente du point de vue de l’épistémologie ? </w:t>
      </w:r>
      <w:r>
        <w:rPr>
          <w:lang w:eastAsia="fr-FR"/>
        </w:rPr>
        <w:t xml:space="preserve">Cela devrait permettre </w:t>
      </w:r>
      <w:r w:rsidR="00C81232">
        <w:rPr>
          <w:lang w:eastAsia="fr-FR"/>
        </w:rPr>
        <w:t>d</w:t>
      </w:r>
      <w:r>
        <w:rPr>
          <w:lang w:eastAsia="fr-FR"/>
        </w:rPr>
        <w:t>e positionner la recherche empirique dans la continuité du questionnement théologique initial, et donc sur des questions proprement religieuses</w:t>
      </w:r>
      <w:r w:rsidR="003E64D3">
        <w:rPr>
          <w:rStyle w:val="Appelnotedebasdep"/>
          <w:lang w:eastAsia="fr-FR"/>
        </w:rPr>
        <w:footnoteReference w:id="38"/>
      </w:r>
      <w:r>
        <w:rPr>
          <w:lang w:eastAsia="fr-FR"/>
        </w:rPr>
        <w:t xml:space="preserve">. Étienne </w:t>
      </w:r>
      <w:proofErr w:type="spellStart"/>
      <w:r>
        <w:rPr>
          <w:lang w:eastAsia="fr-FR"/>
        </w:rPr>
        <w:t>Grieu</w:t>
      </w:r>
      <w:proofErr w:type="spellEnd"/>
      <w:r>
        <w:rPr>
          <w:lang w:eastAsia="fr-FR"/>
        </w:rPr>
        <w:t xml:space="preserve"> les présentent comme ‟</w:t>
      </w:r>
      <w:r w:rsidRPr="003F3853">
        <w:rPr>
          <w:rFonts w:eastAsia="MS Mincho"/>
        </w:rPr>
        <w:t>celles qui demandent une prise de position par rapport au tout de l’existence et par rapport au monde</w:t>
      </w:r>
      <w:r>
        <w:rPr>
          <w:rFonts w:eastAsia="MS Mincho"/>
        </w:rPr>
        <w:t>”</w:t>
      </w:r>
      <w:r>
        <w:rPr>
          <w:rStyle w:val="Appelnotedebasdep"/>
          <w:rFonts w:eastAsia="MS Mincho"/>
        </w:rPr>
        <w:footnoteReference w:id="39"/>
      </w:r>
      <w:r w:rsidRPr="003F3853">
        <w:rPr>
          <w:rFonts w:eastAsia="MS Mincho"/>
        </w:rPr>
        <w:t xml:space="preserve">. </w:t>
      </w:r>
      <w:r>
        <w:rPr>
          <w:lang w:eastAsia="fr-FR"/>
        </w:rPr>
        <w:t>On ne pose donc pas la question de recherche comme un sociologue ou un psychologue le ferait. Le piège de la ‟recherche à étage</w:t>
      </w:r>
      <w:r w:rsidR="00BA047D">
        <w:rPr>
          <w:lang w:eastAsia="fr-FR"/>
        </w:rPr>
        <w:t>s</w:t>
      </w:r>
      <w:r>
        <w:rPr>
          <w:lang w:eastAsia="fr-FR"/>
        </w:rPr>
        <w:t xml:space="preserve">” est </w:t>
      </w:r>
      <w:r w:rsidR="00422DF6">
        <w:rPr>
          <w:lang w:eastAsia="fr-FR"/>
        </w:rPr>
        <w:t>par conséquent</w:t>
      </w:r>
      <w:r>
        <w:rPr>
          <w:lang w:eastAsia="fr-FR"/>
        </w:rPr>
        <w:t xml:space="preserve"> évité.</w:t>
      </w:r>
    </w:p>
    <w:p w:rsidR="00935246" w:rsidRDefault="00935246" w:rsidP="004930E0">
      <w:pPr>
        <w:spacing w:line="240" w:lineRule="auto"/>
      </w:pPr>
      <w:r>
        <w:rPr>
          <w:lang w:eastAsia="fr-FR"/>
        </w:rPr>
        <w:t xml:space="preserve">Mais cela va plus loin, si l’on suit </w:t>
      </w:r>
      <w:proofErr w:type="spellStart"/>
      <w:r>
        <w:rPr>
          <w:lang w:eastAsia="fr-FR"/>
        </w:rPr>
        <w:t>Buitrago</w:t>
      </w:r>
      <w:proofErr w:type="spellEnd"/>
      <w:r>
        <w:rPr>
          <w:lang w:eastAsia="fr-FR"/>
        </w:rPr>
        <w:t xml:space="preserve"> Rojas. En effet, </w:t>
      </w:r>
      <w:r w:rsidR="00DC3531">
        <w:rPr>
          <w:lang w:eastAsia="fr-FR"/>
        </w:rPr>
        <w:t>“</w:t>
      </w:r>
      <w:r w:rsidRPr="000F5083">
        <w:rPr>
          <w:rFonts w:eastAsia="MS Mincho"/>
        </w:rPr>
        <w:t>pour</w:t>
      </w:r>
      <w:r w:rsidRPr="00994B10">
        <w:t xml:space="preserve"> ne pas lire la réalité à partir des cadres théoriques d’une autre science, </w:t>
      </w:r>
      <w:r w:rsidR="00DC3531">
        <w:t>[</w:t>
      </w:r>
      <w:r>
        <w:t>il faut éviter autant que possible</w:t>
      </w:r>
      <w:r w:rsidR="00DC3531">
        <w:t>]</w:t>
      </w:r>
      <w:r>
        <w:t xml:space="preserve"> de prendre une autre </w:t>
      </w:r>
      <w:r w:rsidRPr="00994B10">
        <w:t>science humaine comme référence spécifique ou comme cadre conceptuel qui puisse servir de grille pour la description de la réalité</w:t>
      </w:r>
      <w:r w:rsidR="00DC3531">
        <w:t>”</w:t>
      </w:r>
      <w:r w:rsidR="00DC3531">
        <w:rPr>
          <w:rStyle w:val="Appelnotedebasdep"/>
        </w:rPr>
        <w:footnoteReference w:id="40"/>
      </w:r>
      <w:r>
        <w:t xml:space="preserve">. L’emprunt aux sciences humaines se limitera ainsi aux techniques d’investigation. Lorsque c’est possible, on leur donnera une signification théologique. Ainsi pour les récits de vie ou les entretiens compréhensifs, le théologien ou la théologienne y lira comme fondement la relation que Dieu tisse avec toute l’humanité en général et chaque être humain en particulier. Cette composante essentielle de la révélation chrétienne </w:t>
      </w:r>
      <w:r w:rsidR="00124930">
        <w:t>colore</w:t>
      </w:r>
      <w:r>
        <w:t xml:space="preserve"> inévitablement l’épistémologie</w:t>
      </w:r>
      <w:r w:rsidR="00124930">
        <w:t>.</w:t>
      </w:r>
    </w:p>
    <w:p w:rsidR="00124930" w:rsidRDefault="00124930" w:rsidP="004930E0">
      <w:pPr>
        <w:spacing w:line="240" w:lineRule="auto"/>
      </w:pPr>
      <w:r>
        <w:t xml:space="preserve">La démarche empirique est alors aisément familière aux autres théologiens des disciplines systématiques, même s’il reste des difficultés, notamment le poids donné à des expériences de foi particulières. À l’inverse, l’épistémologie sous-jacente à cette structure risque de rendre la scientificité du travail plus difficilement accessible aux </w:t>
      </w:r>
      <w:r w:rsidR="00422DF6">
        <w:t xml:space="preserve">chercheurs et chercheuses des autres </w:t>
      </w:r>
      <w:r>
        <w:t xml:space="preserve">sciences humaines du religieux. Si </w:t>
      </w:r>
      <w:r w:rsidR="00422DF6">
        <w:t>nombre d’entre eux prônent un</w:t>
      </w:r>
      <w:r>
        <w:t xml:space="preserve"> ‟agnosticisme méthodologique”</w:t>
      </w:r>
      <w:r>
        <w:rPr>
          <w:rStyle w:val="Appelnotedebasdep"/>
        </w:rPr>
        <w:footnoteReference w:id="41"/>
      </w:r>
      <w:r w:rsidR="003B2091">
        <w:t xml:space="preserve">, ils et elles ne peuvent pas </w:t>
      </w:r>
      <w:r w:rsidR="00422DF6">
        <w:t>pré</w:t>
      </w:r>
      <w:r w:rsidR="003B2091">
        <w:t xml:space="preserve">supposer </w:t>
      </w:r>
      <w:r w:rsidR="007E25D8">
        <w:t xml:space="preserve">la révélation chrétienne au point de départ de leurs études. Le dialogue et l’interdisciplinarité n’iront pas de soi </w:t>
      </w:r>
      <w:r w:rsidR="00422DF6">
        <w:t xml:space="preserve">comme cela pouvait être le cas </w:t>
      </w:r>
      <w:r w:rsidR="007E25D8">
        <w:t>avec des théologiens et théologiennes pratiques plaçant l’étude de terrain au début de la recherche.</w:t>
      </w:r>
    </w:p>
    <w:p w:rsidR="002F7949" w:rsidRDefault="00804AD4" w:rsidP="004930E0">
      <w:pPr>
        <w:pStyle w:val="Titre2"/>
      </w:pPr>
      <w:bookmarkStart w:id="8" w:name="_Toc17027313"/>
      <w:r>
        <w:lastRenderedPageBreak/>
        <w:t>3. De l’empirique disséminé tout au long de la réflexion</w:t>
      </w:r>
      <w:bookmarkEnd w:id="8"/>
    </w:p>
    <w:p w:rsidR="000F5083" w:rsidRDefault="00B60DD0" w:rsidP="004930E0">
      <w:pPr>
        <w:spacing w:line="240" w:lineRule="auto"/>
      </w:pPr>
      <w:r>
        <w:t xml:space="preserve">Dans les deux structures de recherche et de publication présentées précédemment, il serait erroné de dire que la dimension empirique est strictement cantonnée dans une partie du travail. En effet, tant la corrélation inspirée de Tillich que celle </w:t>
      </w:r>
      <w:r w:rsidR="00D30002">
        <w:t xml:space="preserve">‟mutuellement critique” inspirée de </w:t>
      </w:r>
      <w:r>
        <w:t xml:space="preserve">Tracy incluent une circularité entre les pôles. Nous ne sommes pas dans un système linéaire de questions-réponses. En reprenant la citation du </w:t>
      </w:r>
      <w:r>
        <w:rPr>
          <w:i/>
        </w:rPr>
        <w:t>Compendium de la doctrine sociale de l’Église</w:t>
      </w:r>
      <w:r>
        <w:t>, nous retiendrons l</w:t>
      </w:r>
      <w:r w:rsidR="000F5083">
        <w:t xml:space="preserve">’expression </w:t>
      </w:r>
      <w:r>
        <w:t>‟</w:t>
      </w:r>
      <w:r w:rsidR="000F5083">
        <w:t>d’éclairage mutuel</w:t>
      </w:r>
      <w:r>
        <w:t xml:space="preserve">” pour exprimer cette circularité. </w:t>
      </w:r>
      <w:r w:rsidR="00A44203">
        <w:t>Fonctionnant autrement, i</w:t>
      </w:r>
      <w:r>
        <w:t xml:space="preserve">l existe </w:t>
      </w:r>
      <w:r w:rsidR="00A44203">
        <w:t xml:space="preserve">encore </w:t>
      </w:r>
      <w:r w:rsidR="00CB3404">
        <w:t>le</w:t>
      </w:r>
      <w:r>
        <w:t xml:space="preserve"> courant </w:t>
      </w:r>
      <w:r w:rsidR="00CB3404">
        <w:t xml:space="preserve">de </w:t>
      </w:r>
      <w:r w:rsidR="00CB3404" w:rsidRPr="00CB3404">
        <w:t>l’</w:t>
      </w:r>
      <w:proofErr w:type="spellStart"/>
      <w:r w:rsidR="00CB3404">
        <w:rPr>
          <w:i/>
        </w:rPr>
        <w:t>ordinary</w:t>
      </w:r>
      <w:proofErr w:type="spellEnd"/>
      <w:r w:rsidR="00CB3404">
        <w:rPr>
          <w:i/>
        </w:rPr>
        <w:t xml:space="preserve"> </w:t>
      </w:r>
      <w:proofErr w:type="spellStart"/>
      <w:r w:rsidR="00CB3404">
        <w:rPr>
          <w:i/>
        </w:rPr>
        <w:t>theology</w:t>
      </w:r>
      <w:proofErr w:type="spellEnd"/>
      <w:r>
        <w:t xml:space="preserve"> qui exploite les données du terrain tout au long de l’étude comme une source prioritaire sur les autres pôles.</w:t>
      </w:r>
    </w:p>
    <w:p w:rsidR="00B60DD0" w:rsidRPr="008F5EF4" w:rsidRDefault="00B60DD0" w:rsidP="004930E0">
      <w:pPr>
        <w:pStyle w:val="Titre3"/>
        <w:spacing w:line="240" w:lineRule="auto"/>
        <w:rPr>
          <w:lang w:val="fr-BE"/>
        </w:rPr>
      </w:pPr>
      <w:bookmarkStart w:id="9" w:name="_Toc17027314"/>
      <w:r w:rsidRPr="008F5EF4">
        <w:rPr>
          <w:lang w:val="fr-BE"/>
        </w:rPr>
        <w:t>3.1.</w:t>
      </w:r>
      <w:r w:rsidR="008F5EF4" w:rsidRPr="008F5EF4">
        <w:rPr>
          <w:lang w:val="fr-BE"/>
        </w:rPr>
        <w:t xml:space="preserve"> La dimension empirique dans la </w:t>
      </w:r>
      <w:r w:rsidR="00401CC1">
        <w:rPr>
          <w:lang w:val="fr-BE"/>
        </w:rPr>
        <w:t>‟</w:t>
      </w:r>
      <w:r w:rsidR="008F5EF4" w:rsidRPr="008F5EF4">
        <w:rPr>
          <w:lang w:val="fr-BE"/>
        </w:rPr>
        <w:t>théologie ordinaire</w:t>
      </w:r>
      <w:r w:rsidR="00401CC1">
        <w:rPr>
          <w:lang w:val="fr-BE"/>
        </w:rPr>
        <w:t>”</w:t>
      </w:r>
      <w:r w:rsidRPr="008F5EF4">
        <w:rPr>
          <w:lang w:val="fr-BE"/>
        </w:rPr>
        <w:t xml:space="preserve"> </w:t>
      </w:r>
      <w:r w:rsidR="00401CC1">
        <w:rPr>
          <w:lang w:val="fr-BE"/>
        </w:rPr>
        <w:t>et la ‟théologie polyphonique”</w:t>
      </w:r>
      <w:bookmarkEnd w:id="9"/>
    </w:p>
    <w:p w:rsidR="00401CC1" w:rsidRDefault="00211665" w:rsidP="004930E0">
      <w:pPr>
        <w:pStyle w:val="Titre4"/>
        <w:spacing w:line="240" w:lineRule="auto"/>
      </w:pPr>
      <w:r w:rsidRPr="00211665">
        <w:t>3.1.1. La dimension empirique d</w:t>
      </w:r>
      <w:r w:rsidR="00401CC1" w:rsidRPr="00211665">
        <w:t>ans</w:t>
      </w:r>
      <w:r w:rsidR="00401CC1">
        <w:t xml:space="preserve"> l’</w:t>
      </w:r>
      <w:proofErr w:type="spellStart"/>
      <w:r w:rsidR="00401CC1" w:rsidRPr="00732F3A">
        <w:rPr>
          <w:i w:val="0"/>
        </w:rPr>
        <w:t>ordinary</w:t>
      </w:r>
      <w:proofErr w:type="spellEnd"/>
      <w:r w:rsidR="00401CC1" w:rsidRPr="00732F3A">
        <w:rPr>
          <w:i w:val="0"/>
        </w:rPr>
        <w:t xml:space="preserve"> </w:t>
      </w:r>
      <w:proofErr w:type="spellStart"/>
      <w:r w:rsidR="00401CC1" w:rsidRPr="00732F3A">
        <w:rPr>
          <w:i w:val="0"/>
        </w:rPr>
        <w:t>theology</w:t>
      </w:r>
      <w:proofErr w:type="spellEnd"/>
    </w:p>
    <w:p w:rsidR="00CB3404" w:rsidRDefault="00CB3404" w:rsidP="004930E0">
      <w:pPr>
        <w:spacing w:line="240" w:lineRule="auto"/>
      </w:pPr>
      <w:r>
        <w:t xml:space="preserve">Née dans le </w:t>
      </w:r>
      <w:r w:rsidR="00B60DD0" w:rsidRPr="00E07ADA">
        <w:t>monde anglo-saxon</w:t>
      </w:r>
      <w:r>
        <w:t xml:space="preserve"> à l’initiative de Jeff </w:t>
      </w:r>
      <w:proofErr w:type="spellStart"/>
      <w:r>
        <w:t>Astley</w:t>
      </w:r>
      <w:proofErr w:type="spellEnd"/>
      <w:r w:rsidR="00B60DD0" w:rsidRPr="00E07ADA">
        <w:t xml:space="preserve">, la théologie ordinaire </w:t>
      </w:r>
      <w:r w:rsidR="009D2DDC">
        <w:t>est très peu connue et encore moins pratiquée dans le monde francophone</w:t>
      </w:r>
      <w:r>
        <w:rPr>
          <w:rStyle w:val="Appelnotedebasdep"/>
        </w:rPr>
        <w:footnoteReference w:id="42"/>
      </w:r>
      <w:r w:rsidR="009D2DDC">
        <w:t xml:space="preserve">. Elle a pourtant ses ‟adeptes” et a fait ses preuves de sa scientificité, reconnue quoiqu’encore discutée </w:t>
      </w:r>
      <w:r w:rsidR="00A44203">
        <w:t>au Royaume Uni</w:t>
      </w:r>
      <w:r w:rsidR="009D2DDC">
        <w:rPr>
          <w:rStyle w:val="Appelnotedebasdep"/>
        </w:rPr>
        <w:footnoteReference w:id="43"/>
      </w:r>
      <w:r w:rsidR="009D2DDC">
        <w:t>. La p</w:t>
      </w:r>
      <w:r w:rsidR="00732F3A">
        <w:t>articularité</w:t>
      </w:r>
      <w:r w:rsidR="009D2DDC">
        <w:t xml:space="preserve"> de ce courant est en prise directe avec son épistémologie.</w:t>
      </w:r>
      <w:r w:rsidR="00B60DD0">
        <w:t xml:space="preserve"> </w:t>
      </w:r>
    </w:p>
    <w:p w:rsidR="00CB3404" w:rsidRPr="00A939AF" w:rsidRDefault="00CB3404" w:rsidP="004930E0">
      <w:pPr>
        <w:spacing w:line="240" w:lineRule="auto"/>
        <w:rPr>
          <w:szCs w:val="24"/>
        </w:rPr>
      </w:pPr>
      <w:r>
        <w:t xml:space="preserve">Cette théologie implicite ou ordinaire est exprimée dans la foi des personnes sans formation théologique. Ce qu’elles en disent, de manière verbale et non-verbales, individuellement ou en groupes de croyants et </w:t>
      </w:r>
      <w:r w:rsidR="008A0464">
        <w:t xml:space="preserve">de </w:t>
      </w:r>
      <w:r>
        <w:t xml:space="preserve">croyantes, manifeste quelque chose de Dieu et de son projet créateur et salvifique pour l’humanité. Il n’y a rien de systématique, mais plutôt des éléments de foi, </w:t>
      </w:r>
      <w:r w:rsidR="00A85A2C">
        <w:t xml:space="preserve">avec </w:t>
      </w:r>
      <w:r>
        <w:t>des degrés de réflexion variables</w:t>
      </w:r>
      <w:r w:rsidR="00A85A2C">
        <w:rPr>
          <w:rStyle w:val="Appelnotedebasdep"/>
        </w:rPr>
        <w:footnoteReference w:id="44"/>
      </w:r>
      <w:r>
        <w:t xml:space="preserve">, </w:t>
      </w:r>
      <w:r w:rsidR="00A85A2C">
        <w:t xml:space="preserve">que le </w:t>
      </w:r>
      <w:r w:rsidR="00A85A2C" w:rsidRPr="00A939AF">
        <w:rPr>
          <w:szCs w:val="24"/>
        </w:rPr>
        <w:t xml:space="preserve">théologien collecte et organise en un discours </w:t>
      </w:r>
      <w:r w:rsidR="00F37148">
        <w:rPr>
          <w:szCs w:val="24"/>
        </w:rPr>
        <w:t xml:space="preserve">cohérent à partir </w:t>
      </w:r>
      <w:r w:rsidR="00A85A2C" w:rsidRPr="00A939AF">
        <w:rPr>
          <w:szCs w:val="24"/>
        </w:rPr>
        <w:t>d</w:t>
      </w:r>
      <w:r w:rsidR="00F37148">
        <w:rPr>
          <w:szCs w:val="24"/>
        </w:rPr>
        <w:t>’</w:t>
      </w:r>
      <w:r w:rsidR="00A85A2C" w:rsidRPr="00A939AF">
        <w:rPr>
          <w:szCs w:val="24"/>
        </w:rPr>
        <w:t xml:space="preserve">histoires personnelles. Cette théologie est marquée par un style narratif, personnel et très contextuel. </w:t>
      </w:r>
      <w:proofErr w:type="spellStart"/>
      <w:r w:rsidR="00A85A2C" w:rsidRPr="00A939AF">
        <w:rPr>
          <w:szCs w:val="24"/>
        </w:rPr>
        <w:t>Astley</w:t>
      </w:r>
      <w:proofErr w:type="spellEnd"/>
      <w:r w:rsidR="00A85A2C" w:rsidRPr="00A939AF">
        <w:rPr>
          <w:szCs w:val="24"/>
        </w:rPr>
        <w:t xml:space="preserve"> parle d’une ‟</w:t>
      </w:r>
      <w:r w:rsidR="00A85A2C" w:rsidRPr="00A939AF">
        <w:rPr>
          <w:rFonts w:cs="Times New Roman"/>
          <w:szCs w:val="24"/>
        </w:rPr>
        <w:t>langue maternelle”, caractérisée par sa dimension quotidienne</w:t>
      </w:r>
      <w:r w:rsidR="004B1E13">
        <w:rPr>
          <w:rFonts w:cs="Times New Roman"/>
          <w:szCs w:val="24"/>
        </w:rPr>
        <w:t xml:space="preserve"> (</w:t>
      </w:r>
      <w:r w:rsidR="004B1E13">
        <w:rPr>
          <w:rFonts w:cs="Times New Roman"/>
          <w:i/>
          <w:szCs w:val="24"/>
        </w:rPr>
        <w:t>“</w:t>
      </w:r>
      <w:proofErr w:type="spellStart"/>
      <w:r w:rsidR="004B1E13">
        <w:rPr>
          <w:rFonts w:cs="Times New Roman"/>
          <w:i/>
          <w:szCs w:val="24"/>
        </w:rPr>
        <w:t>mother-tongue</w:t>
      </w:r>
      <w:proofErr w:type="spellEnd"/>
      <w:r w:rsidR="004B1E13">
        <w:rPr>
          <w:rFonts w:cs="Times New Roman"/>
          <w:i/>
          <w:szCs w:val="24"/>
        </w:rPr>
        <w:t xml:space="preserve"> </w:t>
      </w:r>
      <w:proofErr w:type="spellStart"/>
      <w:r w:rsidR="004B1E13">
        <w:rPr>
          <w:rFonts w:cs="Times New Roman"/>
          <w:i/>
          <w:szCs w:val="24"/>
        </w:rPr>
        <w:t>theology</w:t>
      </w:r>
      <w:proofErr w:type="spellEnd"/>
      <w:r w:rsidR="004B1E13">
        <w:rPr>
          <w:rFonts w:cs="Times New Roman"/>
          <w:i/>
          <w:szCs w:val="24"/>
        </w:rPr>
        <w:t>”</w:t>
      </w:r>
      <w:r w:rsidR="004B1E13" w:rsidRPr="00A939AF">
        <w:rPr>
          <w:rStyle w:val="Appelnotedebasdep"/>
          <w:rFonts w:cs="Times New Roman"/>
          <w:szCs w:val="24"/>
        </w:rPr>
        <w:footnoteReference w:id="45"/>
      </w:r>
      <w:r w:rsidR="004B1E13">
        <w:rPr>
          <w:rFonts w:cs="Times New Roman"/>
          <w:szCs w:val="24"/>
        </w:rPr>
        <w:t>), sans les</w:t>
      </w:r>
      <w:r w:rsidR="00A85A2C" w:rsidRPr="00A939AF">
        <w:rPr>
          <w:rFonts w:cs="Times New Roman"/>
          <w:szCs w:val="24"/>
        </w:rPr>
        <w:t xml:space="preserve"> codes </w:t>
      </w:r>
      <w:r w:rsidR="00F37148">
        <w:rPr>
          <w:rFonts w:cs="Times New Roman"/>
          <w:szCs w:val="24"/>
        </w:rPr>
        <w:t>ni les</w:t>
      </w:r>
      <w:r w:rsidR="00A85A2C" w:rsidRPr="00A939AF">
        <w:rPr>
          <w:rFonts w:cs="Times New Roman"/>
          <w:szCs w:val="24"/>
        </w:rPr>
        <w:t xml:space="preserve"> langages</w:t>
      </w:r>
      <w:r w:rsidR="004B1E13">
        <w:rPr>
          <w:rFonts w:cs="Times New Roman"/>
          <w:szCs w:val="24"/>
        </w:rPr>
        <w:t xml:space="preserve"> académiques</w:t>
      </w:r>
      <w:r w:rsidR="00A85A2C" w:rsidRPr="00A939AF">
        <w:rPr>
          <w:rFonts w:cs="Times New Roman"/>
          <w:szCs w:val="24"/>
        </w:rPr>
        <w:t>.</w:t>
      </w:r>
    </w:p>
    <w:p w:rsidR="005C65F1" w:rsidRDefault="00A85A2C" w:rsidP="004930E0">
      <w:pPr>
        <w:spacing w:line="240" w:lineRule="auto"/>
      </w:pPr>
      <w:r>
        <w:t xml:space="preserve">Concrètement, c’est l’entièreté de la recherche qui est consacrée à </w:t>
      </w:r>
      <w:r w:rsidR="005C65F1">
        <w:t xml:space="preserve">cerner, analyser et comprendre cette théologie ordinaire, en étudiant une question précise dans un contexte bien délimité. Les éléments empiriques sont alors aussi importants dans la partie réflexive et/ou prospective du travail (dernière partie) que dans les parties précédentes. À ma connaissance, une seule recherche doctorale en français a été menée à bien suivant </w:t>
      </w:r>
      <w:r w:rsidR="00AE525C">
        <w:t xml:space="preserve">explicitement </w:t>
      </w:r>
      <w:r w:rsidR="005C65F1">
        <w:t xml:space="preserve">ce courant, celle de Jorge Fraile </w:t>
      </w:r>
      <w:proofErr w:type="spellStart"/>
      <w:r w:rsidR="005C65F1">
        <w:t>Fabero</w:t>
      </w:r>
      <w:proofErr w:type="spellEnd"/>
      <w:r w:rsidR="005C65F1">
        <w:t xml:space="preserve"> soutenue à Lille en 2019, qui la caractérise ainsi, justifiant le choix de ce courant méthodologique en raison de l’objet étudié : </w:t>
      </w:r>
    </w:p>
    <w:p w:rsidR="00CB3404" w:rsidRDefault="005C65F1" w:rsidP="004930E0">
      <w:pPr>
        <w:pStyle w:val="Citation"/>
        <w:spacing w:line="240" w:lineRule="auto"/>
      </w:pPr>
      <w:r>
        <w:t>‟</w:t>
      </w:r>
      <w:r w:rsidR="000E06D3">
        <w:rPr>
          <w:sz w:val="23"/>
          <w:szCs w:val="23"/>
        </w:rPr>
        <w:t xml:space="preserve">Dans la ligne de cette théologie empirique et ordinaire qui écoute le peuple de Dieu, nous utilisons une méthode qui n’est pas encore beaucoup employée. Il s’agit de donner la parole aux personnes qui ont cette expérience de foi intime, mais en réalité très intéressante pour le travail théologique. Cette expérience s’exprime d’une manière particulière dans les récits, qui laissent entrevoir tout ce que qu’il y </w:t>
      </w:r>
      <w:r w:rsidR="00D56067">
        <w:rPr>
          <w:sz w:val="23"/>
          <w:szCs w:val="23"/>
        </w:rPr>
        <w:t>a de personnel dans les paroles (…)</w:t>
      </w:r>
      <w:r w:rsidR="000E06D3">
        <w:rPr>
          <w:sz w:val="23"/>
          <w:szCs w:val="23"/>
        </w:rPr>
        <w:t xml:space="preserve"> C’est ainsi que les discours exp</w:t>
      </w:r>
      <w:r w:rsidR="00D56067">
        <w:rPr>
          <w:sz w:val="23"/>
          <w:szCs w:val="23"/>
        </w:rPr>
        <w:t>riment d’une manière très parti</w:t>
      </w:r>
      <w:r w:rsidR="000E06D3">
        <w:rPr>
          <w:sz w:val="23"/>
          <w:szCs w:val="23"/>
        </w:rPr>
        <w:t>culière l’expérience religieuse.</w:t>
      </w:r>
      <w:r>
        <w:t>”</w:t>
      </w:r>
      <w:r w:rsidR="00732F3A">
        <w:rPr>
          <w:rStyle w:val="Appelnotedebasdep"/>
        </w:rPr>
        <w:footnoteReference w:id="46"/>
      </w:r>
    </w:p>
    <w:p w:rsidR="00CB3404" w:rsidRDefault="0040493A" w:rsidP="004930E0">
      <w:pPr>
        <w:spacing w:line="240" w:lineRule="auto"/>
      </w:pPr>
      <w:r>
        <w:lastRenderedPageBreak/>
        <w:t>Dans le monde francophone, o</w:t>
      </w:r>
      <w:r w:rsidR="005C65F1">
        <w:t xml:space="preserve">n pourrait situer dans ce courant les travaux menés à Paris dans le groupe de recherche sur la parole des </w:t>
      </w:r>
      <w:r w:rsidR="00717EA9">
        <w:t>personnes les plus pauvres</w:t>
      </w:r>
      <w:r>
        <w:t>, qui a creusé son propre sillon</w:t>
      </w:r>
      <w:r w:rsidR="00717EA9">
        <w:rPr>
          <w:rStyle w:val="Appelnotedebasdep"/>
        </w:rPr>
        <w:footnoteReference w:id="47"/>
      </w:r>
      <w:r w:rsidR="00717EA9">
        <w:t>.</w:t>
      </w:r>
      <w:r>
        <w:t xml:space="preserve"> Étienne </w:t>
      </w:r>
      <w:proofErr w:type="spellStart"/>
      <w:r>
        <w:t>Grieu</w:t>
      </w:r>
      <w:proofErr w:type="spellEnd"/>
      <w:r>
        <w:t xml:space="preserve"> et Laure Blanchon posent le cadre méthodologique et épistémologique de manière convaincante, sans </w:t>
      </w:r>
      <w:r w:rsidR="00AE525C">
        <w:t>négliger</w:t>
      </w:r>
      <w:r>
        <w:t xml:space="preserve"> les difficultés</w:t>
      </w:r>
      <w:r w:rsidRPr="0040493A">
        <w:rPr>
          <w:rStyle w:val="Appelnotedebasdep"/>
        </w:rPr>
        <w:footnoteReference w:id="48"/>
      </w:r>
      <w:r>
        <w:t>. “Comment établir un rapport entre d’une part le registre de langage très élaboré de la théologie qui a recours à l’argumentation, aux raisonnements et cherche la précision du concept, et d’autre part des paroles qui parfois ressemblent surtout à des bredouillements, des fragments, des cris ?”</w:t>
      </w:r>
      <w:r>
        <w:rPr>
          <w:rStyle w:val="Appelnotedebasdep"/>
        </w:rPr>
        <w:footnoteReference w:id="49"/>
      </w:r>
      <w:r>
        <w:t xml:space="preserve"> </w:t>
      </w:r>
      <w:r w:rsidR="00C15FF2">
        <w:t>Or tout l’enjeu pour les chercheurs et chercheuses de ce groupe est de construire une réflexion cohérente et solide avec ces matériaux langagiers de nature très différente. Leur conviction est que “la théologie a toujours besoin de se laisser percuter par des expériences qu’elle a, jusqu’à présent, relativement peu prise en compte”</w:t>
      </w:r>
      <w:r w:rsidR="00C15FF2">
        <w:rPr>
          <w:rStyle w:val="Appelnotedebasdep"/>
        </w:rPr>
        <w:footnoteReference w:id="50"/>
      </w:r>
      <w:r w:rsidR="00C15FF2">
        <w:t>.</w:t>
      </w:r>
    </w:p>
    <w:p w:rsidR="00CB3404" w:rsidRDefault="0058048C" w:rsidP="004930E0">
      <w:pPr>
        <w:spacing w:line="240" w:lineRule="auto"/>
      </w:pPr>
      <w:r>
        <w:t>On le voit bien – et les auteurs évoqués en ont conscience – l</w:t>
      </w:r>
      <w:r w:rsidR="00CB3404">
        <w:t>a grande difficulté consiste à donner un statut à cette théologie ordinaire, qui est par définition ultra-subjective.</w:t>
      </w:r>
      <w:r w:rsidR="00717EA9">
        <w:t xml:space="preserve"> Si l’élaboration théologique est basée sur ces expressions croyantes ‟ordinaires”, elle doit être mise en relation avec d’autres discours, afin d’établir des liens et des influences réciproques</w:t>
      </w:r>
      <w:r w:rsidR="00717EA9">
        <w:rPr>
          <w:rStyle w:val="Appelnotedebasdep"/>
        </w:rPr>
        <w:footnoteReference w:id="51"/>
      </w:r>
      <w:r w:rsidR="00717EA9">
        <w:t>.</w:t>
      </w:r>
    </w:p>
    <w:p w:rsidR="00401CC1" w:rsidRDefault="00211665" w:rsidP="004930E0">
      <w:pPr>
        <w:pStyle w:val="Titre4"/>
        <w:spacing w:line="240" w:lineRule="auto"/>
      </w:pPr>
      <w:r>
        <w:t>3.1.2. La dimension empirique d</w:t>
      </w:r>
      <w:r w:rsidR="00401CC1">
        <w:t>ans la ‟théologie polyphonique”</w:t>
      </w:r>
    </w:p>
    <w:p w:rsidR="00B60DD0" w:rsidRDefault="00B60DD0" w:rsidP="004930E0">
      <w:pPr>
        <w:spacing w:line="240" w:lineRule="auto"/>
      </w:pPr>
      <w:r>
        <w:t xml:space="preserve">Dans </w:t>
      </w:r>
      <w:r w:rsidR="00F3235D">
        <w:t>cette ligne, d’autres théologiens et théologiennes</w:t>
      </w:r>
      <w:r>
        <w:t xml:space="preserve"> </w:t>
      </w:r>
      <w:r w:rsidR="00AE525C">
        <w:t>britanniques</w:t>
      </w:r>
      <w:r>
        <w:t xml:space="preserve"> ont élaborée une théologie des quatre voix</w:t>
      </w:r>
      <w:r w:rsidR="00F3235D">
        <w:rPr>
          <w:rStyle w:val="Appelnotedebasdep"/>
        </w:rPr>
        <w:footnoteReference w:id="52"/>
      </w:r>
      <w:r>
        <w:t xml:space="preserve">, ce que reprend </w:t>
      </w:r>
      <w:proofErr w:type="spellStart"/>
      <w:r>
        <w:t>Annemie</w:t>
      </w:r>
      <w:proofErr w:type="spellEnd"/>
      <w:r>
        <w:t xml:space="preserve"> </w:t>
      </w:r>
      <w:proofErr w:type="spellStart"/>
      <w:r>
        <w:t>Dillen</w:t>
      </w:r>
      <w:proofErr w:type="spellEnd"/>
      <w:r>
        <w:t xml:space="preserve"> sous le nom de théologie polyphonique</w:t>
      </w:r>
      <w:r w:rsidR="00F3235D">
        <w:rPr>
          <w:rStyle w:val="Appelnotedebasdep"/>
        </w:rPr>
        <w:footnoteReference w:id="53"/>
      </w:r>
      <w:r>
        <w:t xml:space="preserve">. </w:t>
      </w:r>
      <w:r w:rsidR="00F3235D">
        <w:t>Tous affinent la théologie ordinaire en apportant une distinction décisive pour la recherche en théologie pratique :</w:t>
      </w:r>
    </w:p>
    <w:p w:rsidR="00B60DD0" w:rsidRPr="000A269D" w:rsidRDefault="00F3235D" w:rsidP="004930E0">
      <w:pPr>
        <w:pStyle w:val="Citation"/>
        <w:spacing w:line="240" w:lineRule="auto"/>
      </w:pPr>
      <w:r>
        <w:t>‟</w:t>
      </w:r>
      <w:r w:rsidR="00B60DD0" w:rsidRPr="000A269D">
        <w:t>la ‘</w:t>
      </w:r>
      <w:r w:rsidR="00B60DD0" w:rsidRPr="000A269D">
        <w:rPr>
          <w:i/>
        </w:rPr>
        <w:t>théologie épousée</w:t>
      </w:r>
      <w:r w:rsidR="00B60DD0" w:rsidRPr="000A269D">
        <w:t>’ (</w:t>
      </w:r>
      <w:proofErr w:type="spellStart"/>
      <w:r w:rsidR="00B60DD0" w:rsidRPr="000A269D">
        <w:rPr>
          <w:i/>
        </w:rPr>
        <w:t>espoused</w:t>
      </w:r>
      <w:proofErr w:type="spellEnd"/>
      <w:r w:rsidR="00B60DD0" w:rsidRPr="000A269D">
        <w:rPr>
          <w:i/>
        </w:rPr>
        <w:t xml:space="preserve"> </w:t>
      </w:r>
      <w:proofErr w:type="spellStart"/>
      <w:r w:rsidR="00B60DD0" w:rsidRPr="000A269D">
        <w:rPr>
          <w:i/>
        </w:rPr>
        <w:t>theology</w:t>
      </w:r>
      <w:proofErr w:type="spellEnd"/>
      <w:r w:rsidR="00B60DD0" w:rsidRPr="000A269D">
        <w:t>), c’est-à-dire la théologie des gens qui ne sont pas des théologiens profes</w:t>
      </w:r>
      <w:r w:rsidR="00B60DD0" w:rsidRPr="000A269D">
        <w:softHyphen/>
        <w:t xml:space="preserve">sionnels, mais, dans beaucoup de cas, des laïcs qui développent une </w:t>
      </w:r>
      <w:r w:rsidR="00B60DD0" w:rsidRPr="000A269D">
        <w:rPr>
          <w:i/>
        </w:rPr>
        <w:t>‘théologie ordinaire’</w:t>
      </w:r>
      <w:r w:rsidR="00B60DD0" w:rsidRPr="000A269D">
        <w:t xml:space="preserve">, comme l’appelle Jeff </w:t>
      </w:r>
      <w:proofErr w:type="spellStart"/>
      <w:r w:rsidR="00B60DD0" w:rsidRPr="000A269D">
        <w:t>Astley</w:t>
      </w:r>
      <w:proofErr w:type="spellEnd"/>
      <w:r w:rsidR="00B60DD0" w:rsidRPr="000A269D">
        <w:t> ; et puis la</w:t>
      </w:r>
      <w:r w:rsidR="00B60DD0" w:rsidRPr="000A269D">
        <w:rPr>
          <w:i/>
        </w:rPr>
        <w:t xml:space="preserve"> ‘théologie opérante’</w:t>
      </w:r>
      <w:r w:rsidR="00B60DD0" w:rsidRPr="000A269D">
        <w:t>, ou la théologie qui s’exprime dans les actions des gens. Les deux dernières catégories indiquent aussi qu’il y a une différence entre ce que les gens disent croire et ce qu’ils font.</w:t>
      </w:r>
      <w:r>
        <w:t>”</w:t>
      </w:r>
      <w:r w:rsidR="00B60DD0">
        <w:rPr>
          <w:rStyle w:val="Appelnotedebasdep"/>
        </w:rPr>
        <w:footnoteReference w:id="54"/>
      </w:r>
      <w:r w:rsidR="00B60DD0" w:rsidRPr="000A269D">
        <w:t xml:space="preserve"> </w:t>
      </w:r>
    </w:p>
    <w:p w:rsidR="00F3235D" w:rsidRDefault="00F3235D" w:rsidP="004930E0">
      <w:pPr>
        <w:spacing w:line="240" w:lineRule="auto"/>
      </w:pPr>
      <w:r>
        <w:t xml:space="preserve">Ces deux ‟théologies” ou ‟voix théologiques” sont à interpréter en relation avec les deux autres ‟voix” que sont ‟la </w:t>
      </w:r>
      <w:r w:rsidRPr="000A269D">
        <w:rPr>
          <w:i/>
        </w:rPr>
        <w:t>théologie normative’</w:t>
      </w:r>
      <w:r w:rsidRPr="000A269D">
        <w:t>, c’est-à-dire les textes bibliques, la doctrine du ma</w:t>
      </w:r>
      <w:r>
        <w:t>gistère, les rituels officiels et</w:t>
      </w:r>
      <w:r w:rsidRPr="000A269D">
        <w:t xml:space="preserve"> la </w:t>
      </w:r>
      <w:r w:rsidRPr="000A269D">
        <w:rPr>
          <w:i/>
        </w:rPr>
        <w:t>‘théologie formelle’</w:t>
      </w:r>
      <w:r w:rsidRPr="000A269D">
        <w:t>, c’est-à-dire les discours actuels et passés des théologien</w:t>
      </w:r>
      <w:r>
        <w:t>s académiques ou professionnels”</w:t>
      </w:r>
      <w:r>
        <w:rPr>
          <w:rStyle w:val="Appelnotedebasdep"/>
        </w:rPr>
        <w:footnoteReference w:id="55"/>
      </w:r>
      <w:r>
        <w:t>.</w:t>
      </w:r>
    </w:p>
    <w:p w:rsidR="00B60DD0" w:rsidRDefault="00401CC1" w:rsidP="004930E0">
      <w:pPr>
        <w:spacing w:line="240" w:lineRule="auto"/>
      </w:pPr>
      <w:r>
        <w:t xml:space="preserve">Si la dimension empirique est présente tout au long de la recherche, il y a cependant une différence de taille. L’attention et la visée du chercheur ou de la chercheuse porte principalement sur la théologie ordinaire dans le premier cas. Alors que ce sont les ‟dissonances </w:t>
      </w:r>
      <w:r>
        <w:lastRenderedPageBreak/>
        <w:t>et la diversité”</w:t>
      </w:r>
      <w:r>
        <w:rPr>
          <w:rStyle w:val="Appelnotedebasdep"/>
        </w:rPr>
        <w:footnoteReference w:id="56"/>
      </w:r>
      <w:r>
        <w:t xml:space="preserve"> entre les quatre voix qui font l’objet principal du travail d’interprétation théologique dans le second cas. Ce qui intéresse les théologiens et théologiennes pratiques est alors l’‟abîme entre l’idéal et la réalité”, comme l’écrit </w:t>
      </w:r>
      <w:proofErr w:type="spellStart"/>
      <w:r>
        <w:t>Annemie</w:t>
      </w:r>
      <w:proofErr w:type="spellEnd"/>
      <w:r>
        <w:t xml:space="preserve"> </w:t>
      </w:r>
      <w:proofErr w:type="spellStart"/>
      <w:r>
        <w:t>Dillen</w:t>
      </w:r>
      <w:proofErr w:type="spellEnd"/>
      <w:r>
        <w:t xml:space="preserve"> dans le sous-titre de son étude.</w:t>
      </w:r>
      <w:r w:rsidR="00527B77">
        <w:t xml:space="preserve"> Notons la puissance évocatrice de l’abîme, là où </w:t>
      </w:r>
      <w:r w:rsidR="00E5164D">
        <w:t>l’</w:t>
      </w:r>
      <w:r w:rsidR="00527B77">
        <w:t xml:space="preserve">on parlait et </w:t>
      </w:r>
      <w:r w:rsidR="00ED1090">
        <w:t xml:space="preserve">d’autres </w:t>
      </w:r>
      <w:r w:rsidR="00527B77">
        <w:t>parle</w:t>
      </w:r>
      <w:r w:rsidR="00ED1090">
        <w:t>nt</w:t>
      </w:r>
      <w:r w:rsidR="00527B77">
        <w:t xml:space="preserve"> encore d’‟écart” depuis la caractérisation de cette notion par Isabelle Grellier en 2004</w:t>
      </w:r>
      <w:r w:rsidR="00527B77">
        <w:rPr>
          <w:rStyle w:val="Appelnotedebasdep"/>
        </w:rPr>
        <w:footnoteReference w:id="57"/>
      </w:r>
      <w:r w:rsidR="00527B77">
        <w:t>.</w:t>
      </w:r>
      <w:r w:rsidR="00E5164D">
        <w:t xml:space="preserve"> J’y vois une manifestation supplémentaire de la radicalité d</w:t>
      </w:r>
      <w:r w:rsidR="002970F3">
        <w:t>es changements affectant le christianisme en postmodernité.</w:t>
      </w:r>
    </w:p>
    <w:p w:rsidR="00B60DD0" w:rsidRPr="009D2DDC" w:rsidRDefault="00B60DD0" w:rsidP="004930E0">
      <w:pPr>
        <w:pStyle w:val="Titre3"/>
        <w:spacing w:line="240" w:lineRule="auto"/>
        <w:rPr>
          <w:lang w:val="fr-BE"/>
        </w:rPr>
      </w:pPr>
      <w:bookmarkStart w:id="10" w:name="_Toc17027315"/>
      <w:r w:rsidRPr="009D2DDC">
        <w:rPr>
          <w:lang w:val="fr-BE"/>
        </w:rPr>
        <w:t>3.2. Conséquences pour l’épistémologie</w:t>
      </w:r>
      <w:bookmarkEnd w:id="10"/>
    </w:p>
    <w:p w:rsidR="000249D1" w:rsidRDefault="00D55B59" w:rsidP="004930E0">
      <w:pPr>
        <w:spacing w:line="240" w:lineRule="auto"/>
      </w:pPr>
      <w:r>
        <w:t xml:space="preserve">La diffusion des éléments empiriques tout au long de la recherche et de la rédaction est selon nous liée à un autre ancrage épistémologique que les deux choix précédents. Les chercheurs se situent explicitement dans le cadre et les référentiels de la théologie, donc proches de la corrélation selon Tracy, mais avec une nuance importante. </w:t>
      </w:r>
    </w:p>
    <w:p w:rsidR="00D55B59" w:rsidRDefault="00D55B59" w:rsidP="004930E0">
      <w:pPr>
        <w:spacing w:line="240" w:lineRule="auto"/>
      </w:pPr>
      <w:r>
        <w:t xml:space="preserve">Pour la théologie ordinaire, la difficulté est de construire un savoir à partir principalement d’un ensemble d’expressions de foi subjectives. L’épistémologie </w:t>
      </w:r>
      <w:r w:rsidR="008454B1">
        <w:t xml:space="preserve">(au moins implicite) </w:t>
      </w:r>
      <w:r>
        <w:t xml:space="preserve">est ici proche </w:t>
      </w:r>
      <w:r w:rsidR="008454B1">
        <w:t>de celle d’un courant des sciences psychologiques (</w:t>
      </w:r>
      <w:r>
        <w:t>la psychologie concrète</w:t>
      </w:r>
      <w:r w:rsidR="008454B1">
        <w:t>)</w:t>
      </w:r>
      <w:r>
        <w:t xml:space="preserve">, courant </w:t>
      </w:r>
      <w:r w:rsidR="008454B1">
        <w:t>surtout constructiviste</w:t>
      </w:r>
      <w:r w:rsidR="00DB73B6">
        <w:t>,</w:t>
      </w:r>
      <w:r w:rsidR="008454B1">
        <w:t xml:space="preserve"> </w:t>
      </w:r>
      <w:r>
        <w:t xml:space="preserve">qui </w:t>
      </w:r>
      <w:r w:rsidR="008454B1">
        <w:t xml:space="preserve">fait le choix de </w:t>
      </w:r>
      <w:r>
        <w:t>s’inscri</w:t>
      </w:r>
      <w:r w:rsidR="008454B1">
        <w:t xml:space="preserve">re résolument </w:t>
      </w:r>
      <w:r>
        <w:t>dans une perspective postmoderne</w:t>
      </w:r>
      <w:r w:rsidR="008454B1">
        <w:t xml:space="preserve">. Je cite ici la psychologue Fabienne Vasseur, dont les lignes consonnent fortement avec ce qui se fait dans la théologie ordinaire : </w:t>
      </w:r>
      <w:r>
        <w:t xml:space="preserve"> </w:t>
      </w:r>
    </w:p>
    <w:p w:rsidR="000249D1" w:rsidRDefault="008454B1" w:rsidP="004930E0">
      <w:pPr>
        <w:pStyle w:val="Citation"/>
        <w:spacing w:line="240" w:lineRule="auto"/>
      </w:pPr>
      <w:r>
        <w:t>‟L’objectif de la recherche est de comprendre les mécanismes qui gouvernent les actions, les motivations qui amènent à développer des comportements. L’individu doit être observé dans sa singularité, son histoire personnelle et dans ses relations avec les autres. Parmi les approches qualitatives, le constructivisme est un paradigme qui décrit la manière dont les personnes cherchent à comprendre et à élaborer le monde dans lequel elles vivent au travers des interactions</w:t>
      </w:r>
      <w:r w:rsidR="00A64C54">
        <w:t xml:space="preserve"> et des normes sociales. Elles développent les significations subjectives de leurs expériences variées et multiples. En les explorant, il est possible d’accéder à la complexité des comportements négociés socialement qui sont inscrits dans une perspective historico-développementale.”</w:t>
      </w:r>
      <w:r w:rsidR="00A64C54">
        <w:rPr>
          <w:rStyle w:val="Appelnotedebasdep"/>
        </w:rPr>
        <w:footnoteReference w:id="58"/>
      </w:r>
    </w:p>
    <w:p w:rsidR="008454B1" w:rsidRDefault="00E015F6" w:rsidP="004930E0">
      <w:pPr>
        <w:spacing w:line="240" w:lineRule="auto"/>
      </w:pPr>
      <w:r>
        <w:t>En appliquant ces propos à la théologie o</w:t>
      </w:r>
      <w:r w:rsidR="000D56BD">
        <w:t xml:space="preserve">rdinaire, on perçoit combien la difficulté </w:t>
      </w:r>
      <w:r>
        <w:t xml:space="preserve">d’une telle épistémologie est d’aller au-delà </w:t>
      </w:r>
      <w:r w:rsidR="00DB73B6">
        <w:t>de la description. C’est alors l</w:t>
      </w:r>
      <w:r>
        <w:t>e défi de l’interprétation qui se présente avec force aux chercheurs</w:t>
      </w:r>
      <w:r w:rsidR="000D56BD">
        <w:t xml:space="preserve"> et chercheuses</w:t>
      </w:r>
      <w:r>
        <w:t>, tout comme dans les études plaçant la recherche de terrain au début.</w:t>
      </w:r>
    </w:p>
    <w:p w:rsidR="00E015F6" w:rsidRDefault="00E015F6" w:rsidP="004930E0">
      <w:pPr>
        <w:spacing w:line="240" w:lineRule="auto"/>
      </w:pPr>
      <w:r>
        <w:t>Ce qui nous semble une limite importante de la théologie ordinaire est résolue dans la démarche d’une théologie polyphonique.</w:t>
      </w:r>
      <w:r w:rsidR="00F652B3">
        <w:t xml:space="preserve"> Même si une place majeure est donnée à la foi vécue (comme voix d’une théologie épousée et d’une théologie opérante) comme porte d’entrée et tout au long de la réflexion, c’est la mise en dialogue qui est l’objet du travail proprement théologique. On est alors plutôt situé dans une épistémologie telle que caractérisée dans la corrélation </w:t>
      </w:r>
      <w:r w:rsidR="000D56BD">
        <w:t xml:space="preserve">mutuellement critique </w:t>
      </w:r>
      <w:r w:rsidR="00A939AF">
        <w:t>inspirée de</w:t>
      </w:r>
      <w:r w:rsidR="00F652B3">
        <w:t xml:space="preserve"> Tracy</w:t>
      </w:r>
      <w:r w:rsidR="00A939AF">
        <w:t xml:space="preserve"> et développée par </w:t>
      </w:r>
      <w:proofErr w:type="spellStart"/>
      <w:r w:rsidR="00A939AF">
        <w:t>Buitrago</w:t>
      </w:r>
      <w:proofErr w:type="spellEnd"/>
      <w:r w:rsidR="00A939AF">
        <w:t xml:space="preserve"> Rojas</w:t>
      </w:r>
      <w:r w:rsidR="00F652B3">
        <w:t>.</w:t>
      </w:r>
    </w:p>
    <w:p w:rsidR="00804AD4" w:rsidRDefault="00804AD4" w:rsidP="004930E0">
      <w:pPr>
        <w:pStyle w:val="Titre2"/>
      </w:pPr>
      <w:bookmarkStart w:id="11" w:name="_Toc17027316"/>
      <w:r>
        <w:t>4. Le statut de l’expérience de foi dans la recherche en théologie pratique</w:t>
      </w:r>
      <w:bookmarkEnd w:id="11"/>
    </w:p>
    <w:p w:rsidR="00235FFE" w:rsidRPr="00235FFE" w:rsidRDefault="00235FFE" w:rsidP="004930E0">
      <w:pPr>
        <w:spacing w:line="240" w:lineRule="auto"/>
        <w:rPr>
          <w:lang w:val="fr-FR" w:eastAsia="fr-FR"/>
        </w:rPr>
      </w:pPr>
      <w:r>
        <w:rPr>
          <w:lang w:val="fr-FR" w:eastAsia="fr-FR"/>
        </w:rPr>
        <w:t xml:space="preserve">À ce stade de notre réflexion à partir des structures des travaux en théologie pratique, nous avons dégagé trois grands ancrages épistémologiques. En forçant le trait pour bien comprendre </w:t>
      </w:r>
      <w:r>
        <w:rPr>
          <w:lang w:val="fr-FR" w:eastAsia="fr-FR"/>
        </w:rPr>
        <w:lastRenderedPageBreak/>
        <w:t xml:space="preserve">les enjeux et sans apporter les nuances nécessaires que la prudence devrait imposer, les chercheurs et chercheuses sont dans une démarche plutôt positiviste, plutôt théologique, plutôt constructiviste. </w:t>
      </w:r>
      <w:r w:rsidR="006B10F5">
        <w:rPr>
          <w:lang w:val="fr-FR" w:eastAsia="fr-FR"/>
        </w:rPr>
        <w:t>Ces accents qui se manifestent dans la structure me semblent étroitement liés au statut de l’expérience de foi dans la recherche en théologie pratique.</w:t>
      </w:r>
    </w:p>
    <w:p w:rsidR="00804AD4" w:rsidRPr="009D2DDC" w:rsidRDefault="008F5EF4" w:rsidP="004930E0">
      <w:pPr>
        <w:pStyle w:val="Titre3"/>
        <w:spacing w:line="240" w:lineRule="auto"/>
        <w:rPr>
          <w:lang w:val="fr-BE"/>
        </w:rPr>
      </w:pPr>
      <w:bookmarkStart w:id="12" w:name="_Toc17027317"/>
      <w:r w:rsidRPr="009D2DDC">
        <w:rPr>
          <w:lang w:val="fr-BE"/>
        </w:rPr>
        <w:t xml:space="preserve">4.1. </w:t>
      </w:r>
      <w:r w:rsidR="009E45F5">
        <w:rPr>
          <w:lang w:val="fr-BE"/>
        </w:rPr>
        <w:t>L’expérience de foi comme</w:t>
      </w:r>
      <w:r w:rsidRPr="009D2DDC">
        <w:rPr>
          <w:lang w:val="fr-BE"/>
        </w:rPr>
        <w:t xml:space="preserve"> fondement</w:t>
      </w:r>
      <w:bookmarkEnd w:id="12"/>
    </w:p>
    <w:p w:rsidR="008F5EF4" w:rsidRDefault="00A56356" w:rsidP="004930E0">
      <w:pPr>
        <w:spacing w:line="240" w:lineRule="auto"/>
        <w:rPr>
          <w:rStyle w:val="Accentuation"/>
          <w:i w:val="0"/>
        </w:rPr>
      </w:pPr>
      <w:r>
        <w:t>La théologie est une science associant foi et intelligence dans une relation de réciprocité</w:t>
      </w:r>
      <w:r w:rsidR="00ED1090">
        <w:t>,</w:t>
      </w:r>
      <w:r>
        <w:t xml:space="preserve"> comme le dit l’expression bien connue de saint Anselme </w:t>
      </w:r>
      <w:proofErr w:type="spellStart"/>
      <w:r>
        <w:rPr>
          <w:rStyle w:val="Accentuation"/>
        </w:rPr>
        <w:t>Fides</w:t>
      </w:r>
      <w:proofErr w:type="spellEnd"/>
      <w:r>
        <w:rPr>
          <w:rStyle w:val="st"/>
        </w:rPr>
        <w:t xml:space="preserve"> </w:t>
      </w:r>
      <w:r w:rsidRPr="00A56356">
        <w:rPr>
          <w:rStyle w:val="st"/>
          <w:i/>
        </w:rPr>
        <w:t>quaerens</w:t>
      </w:r>
      <w:r>
        <w:rPr>
          <w:rStyle w:val="st"/>
        </w:rPr>
        <w:t xml:space="preserve"> </w:t>
      </w:r>
      <w:proofErr w:type="spellStart"/>
      <w:r>
        <w:rPr>
          <w:rStyle w:val="Accentuation"/>
        </w:rPr>
        <w:t>intellectum</w:t>
      </w:r>
      <w:proofErr w:type="spellEnd"/>
      <w:r>
        <w:rPr>
          <w:rStyle w:val="Accentuation"/>
        </w:rPr>
        <w:t xml:space="preserve">. </w:t>
      </w:r>
      <w:r>
        <w:rPr>
          <w:rStyle w:val="Accentuation"/>
          <w:i w:val="0"/>
        </w:rPr>
        <w:t>La théologie pratique est à situer dans ce lien, avec son génie propre qui est d’étudier l’expérience de foi et la foi vécue</w:t>
      </w:r>
      <w:r w:rsidR="00DB73B6">
        <w:rPr>
          <w:rStyle w:val="Accentuation"/>
          <w:i w:val="0"/>
        </w:rPr>
        <w:t xml:space="preserve"> dans des pratiques</w:t>
      </w:r>
      <w:r>
        <w:rPr>
          <w:rStyle w:val="Accentuation"/>
          <w:i w:val="0"/>
        </w:rPr>
        <w:t>. Les théologiens et théologiennes pratique</w:t>
      </w:r>
      <w:r w:rsidR="00ED1090">
        <w:rPr>
          <w:rStyle w:val="Accentuation"/>
          <w:i w:val="0"/>
        </w:rPr>
        <w:t>s</w:t>
      </w:r>
      <w:r>
        <w:rPr>
          <w:rStyle w:val="Accentuation"/>
          <w:i w:val="0"/>
        </w:rPr>
        <w:t xml:space="preserve"> tentent alors de comprendre</w:t>
      </w:r>
      <w:r w:rsidR="00431767">
        <w:rPr>
          <w:rStyle w:val="Accentuation"/>
          <w:i w:val="0"/>
        </w:rPr>
        <w:t xml:space="preserve"> ce que les théologiens systématiciens nomment</w:t>
      </w:r>
      <w:r>
        <w:rPr>
          <w:rStyle w:val="Accentuation"/>
          <w:i w:val="0"/>
        </w:rPr>
        <w:t xml:space="preserve"> le ‟savoir expérientiel” acquis par l’expérience de foi (</w:t>
      </w:r>
      <w:r w:rsidR="00263C0A">
        <w:rPr>
          <w:rStyle w:val="Accentuation"/>
          <w:i w:val="0"/>
        </w:rPr>
        <w:t xml:space="preserve">expression de </w:t>
      </w:r>
      <w:r>
        <w:rPr>
          <w:rStyle w:val="Accentuation"/>
          <w:i w:val="0"/>
        </w:rPr>
        <w:t xml:space="preserve">Jean </w:t>
      </w:r>
      <w:proofErr w:type="spellStart"/>
      <w:r>
        <w:rPr>
          <w:rStyle w:val="Accentuation"/>
          <w:i w:val="0"/>
        </w:rPr>
        <w:t>Mouroux</w:t>
      </w:r>
      <w:proofErr w:type="spellEnd"/>
      <w:r w:rsidR="002425AB">
        <w:rPr>
          <w:rStyle w:val="Appelnotedebasdep"/>
          <w:iCs/>
        </w:rPr>
        <w:footnoteReference w:id="59"/>
      </w:r>
      <w:r w:rsidR="001851EA">
        <w:rPr>
          <w:rStyle w:val="Accentuation"/>
          <w:i w:val="0"/>
        </w:rPr>
        <w:t>), ‟l’évidence subjective de la foi” (</w:t>
      </w:r>
      <w:r w:rsidR="00263C0A">
        <w:rPr>
          <w:rStyle w:val="Accentuation"/>
          <w:i w:val="0"/>
        </w:rPr>
        <w:t xml:space="preserve">expression de </w:t>
      </w:r>
      <w:r w:rsidR="001851EA">
        <w:rPr>
          <w:rStyle w:val="Accentuation"/>
          <w:i w:val="0"/>
        </w:rPr>
        <w:t xml:space="preserve">Hans </w:t>
      </w:r>
      <w:proofErr w:type="spellStart"/>
      <w:r w:rsidR="001851EA">
        <w:rPr>
          <w:rStyle w:val="Accentuation"/>
          <w:i w:val="0"/>
        </w:rPr>
        <w:t>Urs</w:t>
      </w:r>
      <w:proofErr w:type="spellEnd"/>
      <w:r w:rsidR="001851EA">
        <w:rPr>
          <w:rStyle w:val="Accentuation"/>
          <w:i w:val="0"/>
        </w:rPr>
        <w:t xml:space="preserve"> </w:t>
      </w:r>
      <w:proofErr w:type="spellStart"/>
      <w:r w:rsidR="001851EA">
        <w:rPr>
          <w:rStyle w:val="Accentuation"/>
          <w:i w:val="0"/>
        </w:rPr>
        <w:t>von</w:t>
      </w:r>
      <w:proofErr w:type="spellEnd"/>
      <w:r w:rsidR="001851EA">
        <w:rPr>
          <w:rStyle w:val="Accentuation"/>
          <w:i w:val="0"/>
        </w:rPr>
        <w:t xml:space="preserve"> Balthasar</w:t>
      </w:r>
      <w:r w:rsidR="002425AB">
        <w:rPr>
          <w:rStyle w:val="Appelnotedebasdep"/>
          <w:iCs/>
        </w:rPr>
        <w:footnoteReference w:id="60"/>
      </w:r>
      <w:r w:rsidR="001851EA">
        <w:rPr>
          <w:rStyle w:val="Accentuation"/>
          <w:i w:val="0"/>
        </w:rPr>
        <w:t>) ou ‟la certitude de l’expérience de foi” (</w:t>
      </w:r>
      <w:r w:rsidR="00263C0A">
        <w:rPr>
          <w:rStyle w:val="Accentuation"/>
          <w:i w:val="0"/>
        </w:rPr>
        <w:t xml:space="preserve">expression </w:t>
      </w:r>
      <w:r w:rsidR="001851EA">
        <w:rPr>
          <w:rStyle w:val="Accentuation"/>
          <w:i w:val="0"/>
        </w:rPr>
        <w:t xml:space="preserve">Jean </w:t>
      </w:r>
      <w:proofErr w:type="spellStart"/>
      <w:r w:rsidR="001851EA">
        <w:rPr>
          <w:rStyle w:val="Accentuation"/>
          <w:i w:val="0"/>
        </w:rPr>
        <w:t>Ansaldi</w:t>
      </w:r>
      <w:proofErr w:type="spellEnd"/>
      <w:r w:rsidR="002425AB">
        <w:rPr>
          <w:rStyle w:val="Appelnotedebasdep"/>
          <w:iCs/>
        </w:rPr>
        <w:footnoteReference w:id="61"/>
      </w:r>
      <w:r w:rsidR="001851EA">
        <w:rPr>
          <w:rStyle w:val="Accentuation"/>
          <w:i w:val="0"/>
        </w:rPr>
        <w:t>).</w:t>
      </w:r>
      <w:r w:rsidR="00A66BAC">
        <w:rPr>
          <w:rStyle w:val="Accentuation"/>
          <w:i w:val="0"/>
        </w:rPr>
        <w:t xml:space="preserve"> Or ce “savoir” – dont les expressions sont recueillies par les chercheurs et chercheuses en théologie pratique – s’acquiert et surtout se développe par l’agir et donc les pratiques</w:t>
      </w:r>
      <w:r w:rsidR="00A66BAC">
        <w:rPr>
          <w:rStyle w:val="Appelnotedebasdep"/>
          <w:iCs/>
        </w:rPr>
        <w:footnoteReference w:id="62"/>
      </w:r>
      <w:r w:rsidR="00A66BAC">
        <w:rPr>
          <w:rStyle w:val="Accentuation"/>
          <w:i w:val="0"/>
        </w:rPr>
        <w:t>.</w:t>
      </w:r>
    </w:p>
    <w:p w:rsidR="00286103" w:rsidRPr="00A56356" w:rsidRDefault="00286103" w:rsidP="004930E0">
      <w:pPr>
        <w:spacing w:line="240" w:lineRule="auto"/>
      </w:pPr>
      <w:r>
        <w:rPr>
          <w:rStyle w:val="Accentuation"/>
          <w:i w:val="0"/>
        </w:rPr>
        <w:t xml:space="preserve">Il </w:t>
      </w:r>
      <w:r w:rsidR="00ED1090">
        <w:rPr>
          <w:rStyle w:val="Accentuation"/>
          <w:i w:val="0"/>
        </w:rPr>
        <w:t xml:space="preserve">est au </w:t>
      </w:r>
      <w:r w:rsidR="00A939AF">
        <w:rPr>
          <w:rStyle w:val="Accentuation"/>
          <w:i w:val="0"/>
        </w:rPr>
        <w:t>minimum</w:t>
      </w:r>
      <w:r w:rsidR="00ED1090">
        <w:rPr>
          <w:rStyle w:val="Accentuation"/>
          <w:i w:val="0"/>
        </w:rPr>
        <w:t xml:space="preserve"> prudent </w:t>
      </w:r>
      <w:r>
        <w:rPr>
          <w:rStyle w:val="Accentuation"/>
          <w:i w:val="0"/>
        </w:rPr>
        <w:t xml:space="preserve">que l’épistémologie soit résolument </w:t>
      </w:r>
      <w:r w:rsidR="00ED1090">
        <w:rPr>
          <w:rStyle w:val="Accentuation"/>
          <w:i w:val="0"/>
        </w:rPr>
        <w:t xml:space="preserve">et intégralement </w:t>
      </w:r>
      <w:r>
        <w:rPr>
          <w:rStyle w:val="Accentuation"/>
          <w:i w:val="0"/>
        </w:rPr>
        <w:t>théologique. Les mises en garde de David Tracy évoquées précédemment sont à retenir. Le risque de juxtaposer plusieurs épistémologies n’est vraiment pas à négliger. Il nous parait nécessaire de produire un discours théologique cohérent, facilitant la compréhension par des théologiens et théologiennes de la systématique, même si le prix à payer pour cela est une difficulté accrue d’interdisciplinarité avec les collègues des autres sciences humaines du religieux.</w:t>
      </w:r>
    </w:p>
    <w:p w:rsidR="008F5EF4" w:rsidRPr="008F5EF4" w:rsidRDefault="008F5EF4" w:rsidP="004930E0">
      <w:pPr>
        <w:pStyle w:val="Titre3"/>
        <w:spacing w:line="240" w:lineRule="auto"/>
        <w:rPr>
          <w:lang w:val="fr-BE"/>
        </w:rPr>
      </w:pPr>
      <w:bookmarkStart w:id="13" w:name="_Toc17027318"/>
      <w:r w:rsidRPr="008F5EF4">
        <w:rPr>
          <w:lang w:val="fr-BE"/>
        </w:rPr>
        <w:t xml:space="preserve">4.2. </w:t>
      </w:r>
      <w:r w:rsidR="009E45F5">
        <w:rPr>
          <w:lang w:val="fr-BE"/>
        </w:rPr>
        <w:t xml:space="preserve">L’expérience de foi comme </w:t>
      </w:r>
      <w:r w:rsidRPr="008F5EF4">
        <w:rPr>
          <w:lang w:val="fr-BE"/>
        </w:rPr>
        <w:t>finalité</w:t>
      </w:r>
      <w:bookmarkEnd w:id="13"/>
    </w:p>
    <w:p w:rsidR="004825B8" w:rsidRDefault="00286103" w:rsidP="004930E0">
      <w:pPr>
        <w:spacing w:line="240" w:lineRule="auto"/>
      </w:pPr>
      <w:r>
        <w:t>Le risque de mécompréhension par les autres disciplines pourrait pourtant être diminué en recourant à la finalité des études de théologie pratique</w:t>
      </w:r>
      <w:r w:rsidR="004825B8">
        <w:t>. Ceci permettrait même de dépasser</w:t>
      </w:r>
      <w:r w:rsidR="009E45F5">
        <w:t xml:space="preserve"> d’éventuelles</w:t>
      </w:r>
      <w:r w:rsidR="00D50BDE">
        <w:t xml:space="preserve"> différences d’épistémologie</w:t>
      </w:r>
      <w:r w:rsidR="004825B8">
        <w:t xml:space="preserve">, tant avec les autres sciences humaines </w:t>
      </w:r>
      <w:r w:rsidR="009E45F5">
        <w:t xml:space="preserve">et les autres disciplines théologiques, </w:t>
      </w:r>
      <w:r w:rsidR="004825B8">
        <w:t xml:space="preserve">qu’entre les </w:t>
      </w:r>
      <w:r w:rsidR="009E45F5">
        <w:t>théologiens et théologiennes pratiques</w:t>
      </w:r>
      <w:r>
        <w:t>.</w:t>
      </w:r>
      <w:r w:rsidR="00D50BDE">
        <w:t xml:space="preserve"> </w:t>
      </w:r>
    </w:p>
    <w:p w:rsidR="00286103" w:rsidRDefault="009E45F5" w:rsidP="004930E0">
      <w:pPr>
        <w:spacing w:line="240" w:lineRule="auto"/>
      </w:pPr>
      <w:r>
        <w:t xml:space="preserve">Pour clarifier les </w:t>
      </w:r>
      <w:r w:rsidR="00C311A5">
        <w:t>rapports avec les autres sciences humaines, il parait nécessaire de placer au cœur des recherches non seulement les personnes mais aussi les contenus de foi. Les théologiens et théologiennes pratiques auront alors un apport spécifique et original, susceptible d’être accueilli comme tel et considéré comme utile par leurs collègues de sciences humaines. La</w:t>
      </w:r>
      <w:r w:rsidR="00D50BDE">
        <w:t xml:space="preserve"> théologie pratique </w:t>
      </w:r>
      <w:r w:rsidR="00C311A5">
        <w:t xml:space="preserve">pourrait alors être reconnue comme </w:t>
      </w:r>
      <w:r w:rsidR="00D50BDE">
        <w:t xml:space="preserve">‟indispensable aux sciences humaines, puisqu’elle est aux prises avec des contingences humaines peu considérées : le sens de la vie, l’espérance, la relation à autrui… De plus, elle se veut </w:t>
      </w:r>
      <w:proofErr w:type="spellStart"/>
      <w:r w:rsidR="00D50BDE">
        <w:t>liée</w:t>
      </w:r>
      <w:proofErr w:type="spellEnd"/>
      <w:r w:rsidR="00D50BDE">
        <w:t xml:space="preserve"> aux questions existentielles, puisque le lieu épistémologique de la théologie pratique est celui des </w:t>
      </w:r>
      <w:r w:rsidR="00D50BDE" w:rsidRPr="00D50BDE">
        <w:rPr>
          <w:i/>
        </w:rPr>
        <w:t>pratiques</w:t>
      </w:r>
      <w:r w:rsidR="00D50BDE">
        <w:t> : croyantes, ecclésiales, sociales, existentielles, culturelles, etc.”</w:t>
      </w:r>
      <w:r w:rsidR="00D50BDE">
        <w:rPr>
          <w:rStyle w:val="Appelnotedebasdep"/>
        </w:rPr>
        <w:footnoteReference w:id="63"/>
      </w:r>
      <w:r w:rsidR="00286103">
        <w:t xml:space="preserve"> </w:t>
      </w:r>
    </w:p>
    <w:p w:rsidR="008F5EF4" w:rsidRDefault="0058398A" w:rsidP="004930E0">
      <w:pPr>
        <w:spacing w:line="240" w:lineRule="auto"/>
      </w:pPr>
      <w:r>
        <w:t xml:space="preserve">Lorsque le choix est fait de placer dans un deuxième moment la recherche empirique, la finalité est souvent plus claire. Il s’agit de contribuer à l’annonce de la foi. Ceci est dans la continuité des écrits de </w:t>
      </w:r>
      <w:r w:rsidR="008F5EF4">
        <w:t xml:space="preserve">David Tracy </w:t>
      </w:r>
      <w:r>
        <w:t xml:space="preserve">déjà évoqué plus haut. </w:t>
      </w:r>
      <w:r w:rsidR="00E4320D">
        <w:t xml:space="preserve">Ainsi </w:t>
      </w:r>
      <w:r>
        <w:t xml:space="preserve">Franklin </w:t>
      </w:r>
      <w:proofErr w:type="spellStart"/>
      <w:r>
        <w:t>Buitrago</w:t>
      </w:r>
      <w:proofErr w:type="spellEnd"/>
      <w:r>
        <w:t xml:space="preserve"> Rojas, après avoir souligné l’exigence</w:t>
      </w:r>
      <w:r w:rsidR="008F5EF4">
        <w:t xml:space="preserve"> de poser une que</w:t>
      </w:r>
      <w:r>
        <w:t xml:space="preserve">stion proprement théologique et puis </w:t>
      </w:r>
      <w:r w:rsidR="008F5EF4">
        <w:t xml:space="preserve">de lire la réalité </w:t>
      </w:r>
      <w:r w:rsidR="008F5EF4">
        <w:lastRenderedPageBreak/>
        <w:t>à partir des cadres théoriques de la théologie, plaide pour que la recherche soit orientée vers un but, celui d’annoncer la foi. Il ne s’agit pas d’une démarche évangélisatrice</w:t>
      </w:r>
      <w:r w:rsidR="00286103">
        <w:t xml:space="preserve">, qui serait alors pratico-pratique ou pragmatique. L’enjeu est </w:t>
      </w:r>
      <w:r w:rsidR="008F5EF4">
        <w:t xml:space="preserve">de formuler dans un contexte particulier ce que la foi chrétienne est et comment elle se déploie dans un agir, donc de rendre compte de manière rationnelle de la Révélation </w:t>
      </w:r>
      <w:r w:rsidR="00ED1090">
        <w:t xml:space="preserve">chrétienne </w:t>
      </w:r>
      <w:r w:rsidR="008F5EF4">
        <w:t>aujourd’hui</w:t>
      </w:r>
      <w:r w:rsidR="00ED1090">
        <w:t>, celle d’un</w:t>
      </w:r>
      <w:r w:rsidR="008F5EF4">
        <w:t xml:space="preserve"> Dieu Trinité, créateur et sauveur de l’humanité.</w:t>
      </w:r>
    </w:p>
    <w:p w:rsidR="008F5EF4" w:rsidRDefault="008F5EF4" w:rsidP="004930E0">
      <w:pPr>
        <w:pStyle w:val="Titre3"/>
        <w:spacing w:line="240" w:lineRule="auto"/>
        <w:rPr>
          <w:lang w:val="fr-BE"/>
        </w:rPr>
      </w:pPr>
      <w:bookmarkStart w:id="14" w:name="_Toc17027319"/>
      <w:r w:rsidRPr="009D2DDC">
        <w:rPr>
          <w:lang w:val="fr-BE"/>
        </w:rPr>
        <w:t xml:space="preserve">4.3. </w:t>
      </w:r>
      <w:r w:rsidR="009E45F5">
        <w:rPr>
          <w:lang w:val="fr-BE"/>
        </w:rPr>
        <w:t>L’expérience de foi comme</w:t>
      </w:r>
      <w:r w:rsidRPr="009D2DDC">
        <w:rPr>
          <w:lang w:val="fr-BE"/>
        </w:rPr>
        <w:t xml:space="preserve"> question pour le chercheur ou la chercheuse</w:t>
      </w:r>
      <w:bookmarkEnd w:id="14"/>
    </w:p>
    <w:p w:rsidR="00194FBE" w:rsidRPr="00194FBE" w:rsidRDefault="00211665" w:rsidP="004930E0">
      <w:pPr>
        <w:pStyle w:val="Titre4"/>
        <w:spacing w:line="240" w:lineRule="auto"/>
      </w:pPr>
      <w:r>
        <w:t xml:space="preserve">4.3.1. </w:t>
      </w:r>
      <w:r w:rsidR="00194FBE">
        <w:t>Se situer : une question théologique</w:t>
      </w:r>
    </w:p>
    <w:p w:rsidR="00986F0F" w:rsidRDefault="00E4320D" w:rsidP="004930E0">
      <w:pPr>
        <w:spacing w:line="240" w:lineRule="auto"/>
      </w:pPr>
      <w:r>
        <w:t>Parmi les</w:t>
      </w:r>
      <w:r w:rsidR="00BE2F74" w:rsidRPr="00E4320D">
        <w:t xml:space="preserve"> théologiens et théologiennes pratiques</w:t>
      </w:r>
      <w:r w:rsidRPr="00E4320D">
        <w:t xml:space="preserve"> des années 1980</w:t>
      </w:r>
      <w:r w:rsidR="009C0145" w:rsidRPr="00E4320D">
        <w:t xml:space="preserve">, on </w:t>
      </w:r>
      <w:r w:rsidRPr="00E4320D">
        <w:t>répétait</w:t>
      </w:r>
      <w:r w:rsidR="009C0145" w:rsidRPr="00E4320D">
        <w:t xml:space="preserve"> volontiers que la discipline est une théologie </w:t>
      </w:r>
      <w:r w:rsidR="00BE2F74" w:rsidRPr="00E4320D">
        <w:t xml:space="preserve">engagée. </w:t>
      </w:r>
      <w:r w:rsidR="00762F6A">
        <w:t>On peut ainsi par exemple caractériser la recherche-action, selon</w:t>
      </w:r>
      <w:r w:rsidR="00EF6837">
        <w:t xml:space="preserve"> </w:t>
      </w:r>
      <w:r w:rsidR="00BE2F74" w:rsidRPr="00E4320D">
        <w:t xml:space="preserve">Marcel Viau </w:t>
      </w:r>
      <w:r w:rsidR="00762F6A">
        <w:t xml:space="preserve">dans son </w:t>
      </w:r>
      <w:r w:rsidR="00762F6A">
        <w:rPr>
          <w:i/>
        </w:rPr>
        <w:t>Introduction aux études pastorales</w:t>
      </w:r>
      <w:r w:rsidR="00762F6A">
        <w:t>,</w:t>
      </w:r>
      <w:r w:rsidR="00762F6A">
        <w:rPr>
          <w:i/>
        </w:rPr>
        <w:t xml:space="preserve"> </w:t>
      </w:r>
      <w:r w:rsidR="00762F6A">
        <w:t>par les termes</w:t>
      </w:r>
      <w:r w:rsidR="00DB73B6">
        <w:t xml:space="preserve"> suivants :</w:t>
      </w:r>
      <w:r w:rsidR="00762F6A">
        <w:t xml:space="preserve"> </w:t>
      </w:r>
      <w:r w:rsidR="00986F0F" w:rsidRPr="00E4320D">
        <w:t xml:space="preserve">appliquée, </w:t>
      </w:r>
      <w:r w:rsidR="009C0145" w:rsidRPr="00E4320D">
        <w:t>impliquée</w:t>
      </w:r>
      <w:r w:rsidR="00762F6A">
        <w:t xml:space="preserve">, </w:t>
      </w:r>
      <w:r w:rsidR="009C0145" w:rsidRPr="00E4320D">
        <w:t>imbriquée</w:t>
      </w:r>
      <w:r w:rsidR="00762F6A">
        <w:t xml:space="preserve"> et engagée</w:t>
      </w:r>
      <w:r w:rsidR="009C0145" w:rsidRPr="00E4320D">
        <w:rPr>
          <w:rStyle w:val="Appelnotedebasdep"/>
        </w:rPr>
        <w:footnoteReference w:id="64"/>
      </w:r>
      <w:r w:rsidR="00BE2F74" w:rsidRPr="00E4320D">
        <w:t xml:space="preserve">. </w:t>
      </w:r>
      <w:r w:rsidR="0090483C" w:rsidRPr="00E4320D">
        <w:t>C’est d’ailleurs une caractéristique du programme de doctorat en théologie pratique à l’Université Laval à Québec, le chercheur ou la chercheuse travaillant sur une pratique qui est déjà la sienne. La réflexion sur le lien à l’objet de recherche y a été approfondie depuis plusieurs années</w:t>
      </w:r>
      <w:r w:rsidR="00463155" w:rsidRPr="00E4320D">
        <w:rPr>
          <w:rStyle w:val="Appelnotedebasdep"/>
        </w:rPr>
        <w:footnoteReference w:id="65"/>
      </w:r>
      <w:r w:rsidR="0090483C" w:rsidRPr="00E4320D">
        <w:t>. Ailleurs, c</w:t>
      </w:r>
      <w:r w:rsidR="00BE2F74" w:rsidRPr="00E4320D">
        <w:t>eci est parfois répété</w:t>
      </w:r>
      <w:r w:rsidR="00986F0F" w:rsidRPr="00E4320D">
        <w:t xml:space="preserve"> sans pour autant toujours préciser ce qu’on entend par ces adjectifs. </w:t>
      </w:r>
      <w:r w:rsidR="00EC5480" w:rsidRPr="00E4320D">
        <w:t>Si le statut de l’expérience de foi est variable dans les différentes manières de conduire les recherches, il l’est aussi pour le chercheur ou la chercheuse.</w:t>
      </w:r>
      <w:r>
        <w:t xml:space="preserve"> Au sein de la théologie en général, </w:t>
      </w:r>
      <w:r w:rsidR="009C0145" w:rsidRPr="00E4320D">
        <w:t xml:space="preserve">le statut du théologien </w:t>
      </w:r>
      <w:r w:rsidR="00986F0F" w:rsidRPr="00E4320D">
        <w:t xml:space="preserve">ou de la théologienne </w:t>
      </w:r>
      <w:r w:rsidR="009C0145" w:rsidRPr="00E4320D">
        <w:t>pratique est régulièrement questionné, en raison de son lien plus ou moins développé avec les Églises.</w:t>
      </w:r>
      <w:r w:rsidR="009C0145">
        <w:t xml:space="preserve"> </w:t>
      </w:r>
    </w:p>
    <w:p w:rsidR="00FE7DD0" w:rsidRDefault="009C0145" w:rsidP="004930E0">
      <w:pPr>
        <w:spacing w:line="240" w:lineRule="auto"/>
      </w:pPr>
      <w:r>
        <w:t xml:space="preserve">Récemment, Christophe Singer s’est focalisé sur la posture du chercheur et en a fait une question proprement théologique, et non pas seulement déontologique et méthodologique. Dans son article bien utile dans les débats académiques actuels sur la place et la fonction de la théologie pratique, il lie l’engagement théologique à ‟l’engagement passif de la foi”, belle expression qui met au cœur de la discipline une théologie de la croix. Il </w:t>
      </w:r>
      <w:r w:rsidR="00E4320D">
        <w:t xml:space="preserve">fait de la </w:t>
      </w:r>
      <w:r>
        <w:t>prise de distance un acte théologique : ‟Il ne s’agit pas tant d’évaluation critique des pratiques à l’aune d’objectifs d’action, que d’un regard qui essaye de ne pas rester à la surface de ce qui se fait et se dit. C’est donc bien de lecture distanciée qu’il s’</w:t>
      </w:r>
      <w:r w:rsidR="00194FBE">
        <w:t xml:space="preserve">agit. Mais ce travail critique </w:t>
      </w:r>
      <w:r>
        <w:t>n</w:t>
      </w:r>
      <w:r w:rsidR="00194FBE">
        <w:t>e</w:t>
      </w:r>
      <w:r>
        <w:t xml:space="preserve"> s’effectue pas en tension avec l’engagement théologique : </w:t>
      </w:r>
      <w:r>
        <w:rPr>
          <w:i/>
        </w:rPr>
        <w:t>il en est partie intégrante.</w:t>
      </w:r>
      <w:r w:rsidRPr="00412844">
        <w:t>”</w:t>
      </w:r>
      <w:r>
        <w:rPr>
          <w:rStyle w:val="Appelnotedebasdep"/>
        </w:rPr>
        <w:footnoteReference w:id="66"/>
      </w:r>
      <w:r w:rsidR="00FE7DD0">
        <w:t>. Proximité et distance crée</w:t>
      </w:r>
      <w:r w:rsidR="00986F0F">
        <w:t>nt</w:t>
      </w:r>
      <w:r w:rsidR="00FE7DD0">
        <w:t xml:space="preserve"> parfois de l’instabilité dans les rapports aux partenaires académiques ou ecclésiaux selon les contextes. </w:t>
      </w:r>
    </w:p>
    <w:p w:rsidR="008F5EF4" w:rsidRDefault="00FE7DD0" w:rsidP="004930E0">
      <w:pPr>
        <w:spacing w:line="240" w:lineRule="auto"/>
      </w:pPr>
      <w:r>
        <w:t>Rappelons en tout cas l’exigence méthodologique pour tout chercheur ou chercheuse en théologie pratique de se situer explicitement par rapport à la pratique étudiée</w:t>
      </w:r>
      <w:r w:rsidR="00D84D1A">
        <w:rPr>
          <w:rStyle w:val="Appelnotedebasdep"/>
        </w:rPr>
        <w:footnoteReference w:id="67"/>
      </w:r>
      <w:r>
        <w:t>.</w:t>
      </w:r>
      <w:r w:rsidR="00486CF2">
        <w:t xml:space="preserve"> Ce passage selon nous obligatoire permet souvent de mieux comprendre les choix de l’auteur, que ce soit pour le domaine étudié, le contenu de la recherche, la structuration du texte et </w:t>
      </w:r>
      <w:r w:rsidR="000866C5">
        <w:t>l’épistémologie explicite ou implicite. Ce qui est valable pour les chercheurs expérimentés l’est aussi pour des ‟débutants”.</w:t>
      </w:r>
    </w:p>
    <w:p w:rsidR="00194FBE" w:rsidRDefault="00211665" w:rsidP="004930E0">
      <w:pPr>
        <w:pStyle w:val="Titre4"/>
        <w:spacing w:line="240" w:lineRule="auto"/>
      </w:pPr>
      <w:r>
        <w:lastRenderedPageBreak/>
        <w:t xml:space="preserve">4.3.2. </w:t>
      </w:r>
      <w:r w:rsidR="00194FBE">
        <w:t>Le statut de l’expérience de foi dans la formation théologique initiale</w:t>
      </w:r>
    </w:p>
    <w:p w:rsidR="002F7949" w:rsidRDefault="000866C5" w:rsidP="004930E0">
      <w:pPr>
        <w:spacing w:line="240" w:lineRule="auto"/>
      </w:pPr>
      <w:r>
        <w:t>Je voudrai</w:t>
      </w:r>
      <w:r w:rsidR="00F66557">
        <w:t xml:space="preserve"> nourrir</w:t>
      </w:r>
      <w:r w:rsidR="00E33BDF">
        <w:t xml:space="preserve"> </w:t>
      </w:r>
      <w:r w:rsidR="009834E7">
        <w:t xml:space="preserve">cette </w:t>
      </w:r>
      <w:r>
        <w:t xml:space="preserve">réflexion par </w:t>
      </w:r>
      <w:r w:rsidR="00194FBE">
        <w:t xml:space="preserve">un </w:t>
      </w:r>
      <w:r w:rsidR="00AA66E1">
        <w:t xml:space="preserve">apport de terrain, celui </w:t>
      </w:r>
      <w:r>
        <w:t xml:space="preserve">de </w:t>
      </w:r>
      <w:r w:rsidR="00AA66E1">
        <w:t xml:space="preserve">la </w:t>
      </w:r>
      <w:r>
        <w:t>formation initiale en théologie pratique</w:t>
      </w:r>
      <w:r w:rsidR="00AA66E1" w:rsidRPr="00AA66E1">
        <w:t xml:space="preserve"> </w:t>
      </w:r>
      <w:r w:rsidR="00AA66E1">
        <w:t>à l’Université catholique de Louvain</w:t>
      </w:r>
      <w:r>
        <w:rPr>
          <w:rStyle w:val="Appelnotedebasdep"/>
        </w:rPr>
        <w:footnoteReference w:id="68"/>
      </w:r>
      <w:r>
        <w:t>. Les matériaux sont les travaux d’</w:t>
      </w:r>
      <w:r w:rsidR="00E86CC0">
        <w:t>examens d’étudiants de 1</w:t>
      </w:r>
      <w:r w:rsidR="00E86CC0" w:rsidRPr="00063498">
        <w:rPr>
          <w:vertAlign w:val="superscript"/>
        </w:rPr>
        <w:t>er</w:t>
      </w:r>
      <w:r w:rsidR="00E86CC0">
        <w:t xml:space="preserve"> cycle </w:t>
      </w:r>
      <w:r>
        <w:t xml:space="preserve">pour le cours d’introduction à la théologie pratique, </w:t>
      </w:r>
      <w:r w:rsidR="00986F0F">
        <w:t>depuis 2007</w:t>
      </w:r>
      <w:r w:rsidR="00E86CC0">
        <w:t>.</w:t>
      </w:r>
    </w:p>
    <w:p w:rsidR="00194FBE" w:rsidRDefault="00194FBE" w:rsidP="004930E0">
      <w:pPr>
        <w:spacing w:line="240" w:lineRule="auto"/>
      </w:pPr>
      <w:r>
        <w:t>Après deux premiers petits devoirs d’analyse de données empiriques, les étudiants et étudiantes doivent sortir de la classe</w:t>
      </w:r>
      <w:r w:rsidRPr="00C416F7">
        <w:t xml:space="preserve"> et aller sur le terrain à la rencontre de la </w:t>
      </w:r>
      <w:r w:rsidR="00063CE7">
        <w:t>foi vécue</w:t>
      </w:r>
      <w:r w:rsidRPr="00C416F7">
        <w:t>.</w:t>
      </w:r>
      <w:r w:rsidR="00063CE7">
        <w:t xml:space="preserve"> Le but est qu’ils et elles comprennent qu’il y a dans ces expériences une source pour mener une véritable réflexion théologique. L’insistance porte sur l’étude de terrain, suivant cinq étapes : c</w:t>
      </w:r>
      <w:r w:rsidRPr="00C416F7">
        <w:t>hoisir un domaine pastoral précis</w:t>
      </w:r>
      <w:r w:rsidR="00063CE7">
        <w:t> ; formuler</w:t>
      </w:r>
      <w:r w:rsidR="00063CE7" w:rsidRPr="00063CE7">
        <w:t xml:space="preserve"> une question théologique</w:t>
      </w:r>
      <w:r w:rsidR="00063CE7">
        <w:t xml:space="preserve"> ; faire valider cette question et la problématique ; récolter des données (un </w:t>
      </w:r>
      <w:r w:rsidR="00063CE7" w:rsidRPr="00C416F7">
        <w:t>seul type de source</w:t>
      </w:r>
      <w:r w:rsidR="00063CE7">
        <w:t> : entretien, récit, enquête, observation) ; esquisser une analyse en tentant</w:t>
      </w:r>
      <w:r w:rsidR="00063CE7" w:rsidRPr="00063CE7">
        <w:t xml:space="preserve"> de caractériser théologiquement les pratiques étudiées en fonction de la question de recherche initiale</w:t>
      </w:r>
      <w:r w:rsidR="00063CE7">
        <w:t>.</w:t>
      </w:r>
    </w:p>
    <w:p w:rsidR="00063CE7" w:rsidRDefault="00063CE7" w:rsidP="004930E0">
      <w:pPr>
        <w:spacing w:line="240" w:lineRule="auto"/>
      </w:pPr>
      <w:r>
        <w:t xml:space="preserve">Les étudiants et étudiants ont entière carte blanche pour choisir le domaine et la pratique. J’insiste seulement sur leur motivation et leur engagement. Ce choix est particulièrement révélateur du statut de l’expérience de foi : souvent </w:t>
      </w:r>
      <w:proofErr w:type="gramStart"/>
      <w:r>
        <w:t>la</w:t>
      </w:r>
      <w:proofErr w:type="gramEnd"/>
      <w:r>
        <w:t xml:space="preserve"> leur</w:t>
      </w:r>
      <w:r w:rsidR="0058784F">
        <w:t> ;</w:t>
      </w:r>
      <w:r>
        <w:t xml:space="preserve"> toujours la manière dont ils et elles perçoivent ce qu’est la foi chrétienne dans notre société. Par rapport à ce qui est étudié dans cet article – le lien entre structure de la recherche et épistémologie – on voit aussi très bien que certains étudiants et étudiants développent fortement le questionnement initial avant d’aborder l’étude de terrain alors que d’autres </w:t>
      </w:r>
      <w:r w:rsidR="0058784F">
        <w:t>“</w:t>
      </w:r>
      <w:r>
        <w:t>foncent</w:t>
      </w:r>
      <w:r w:rsidR="0058784F">
        <w:t>”</w:t>
      </w:r>
      <w:r>
        <w:t xml:space="preserve"> directement sur le terrain.</w:t>
      </w:r>
      <w:r w:rsidR="007C3FC3">
        <w:t xml:space="preserve"> Ils et elles n’ont bien entendu pas les ressources pour rendre compte de ce choix en fait spontané, et d’autant plus révélateur de ce double statut de l’expérience de foi (la leur et la perception du phénomène).</w:t>
      </w:r>
    </w:p>
    <w:p w:rsidR="00AD00F7" w:rsidRDefault="00CC01B6" w:rsidP="004930E0">
      <w:pPr>
        <w:spacing w:line="240" w:lineRule="auto"/>
      </w:pPr>
      <w:r>
        <w:t xml:space="preserve">J’ai classé les 79 travaux en cinq </w:t>
      </w:r>
      <w:r w:rsidR="00AD00F7">
        <w:t>types</w:t>
      </w:r>
      <w:r>
        <w:t xml:space="preserve"> : A. un choix significatif pour comprendre son passé et présent existentiel (identité) ; B. un choix marqué par une question du moment (primat du présent ponctuel) ; C. un choix significatif d’une option </w:t>
      </w:r>
      <w:proofErr w:type="spellStart"/>
      <w:r>
        <w:t>professionnalisante</w:t>
      </w:r>
      <w:proofErr w:type="spellEnd"/>
      <w:r>
        <w:t xml:space="preserve"> (futur possible) ; </w:t>
      </w:r>
      <w:r w:rsidR="00AD00F7">
        <w:t>D. u</w:t>
      </w:r>
      <w:r>
        <w:t>n choix significatif d’une approche cognitive de la théologie pratique ; E. le choix de la facilité (une question en fait formelle et un non-engagement dans le travail</w:t>
      </w:r>
      <w:r w:rsidR="007B6B80">
        <w:t>, pas intéressant pour nous ici</w:t>
      </w:r>
      <w:r>
        <w:t>).</w:t>
      </w:r>
      <w:r w:rsidR="00AD00F7">
        <w:t xml:space="preserve"> </w:t>
      </w:r>
    </w:p>
    <w:p w:rsidR="00CC01B6" w:rsidRDefault="00AD00F7" w:rsidP="004930E0">
      <w:pPr>
        <w:spacing w:line="240" w:lineRule="auto"/>
      </w:pPr>
      <w:r>
        <w:t xml:space="preserve">Les 23 travaux du type A font place fortement à l’expérience de foi des étudiants confrontés à des situations concrètes qui les touchent directement et depuis un certain temps. Le terrain étudié est alors déjà problématisé mais non formellement. On trouve là surtout des questions à forte dimension spirituelle explicite (pratiques de pèlerinage, de retraite, de liturgies, de communautés religieuses). </w:t>
      </w:r>
      <w:r w:rsidR="00F55090">
        <w:t>L’expérience de foi est un fondement et une question pour le chercheur ou la chercheuse.</w:t>
      </w:r>
    </w:p>
    <w:p w:rsidR="00AD00F7" w:rsidRDefault="00AD00F7" w:rsidP="004930E0">
      <w:pPr>
        <w:spacing w:line="240" w:lineRule="auto"/>
      </w:pPr>
      <w:r>
        <w:t xml:space="preserve">Les </w:t>
      </w:r>
      <w:r w:rsidR="007B6B80">
        <w:t>17</w:t>
      </w:r>
      <w:r>
        <w:t xml:space="preserve"> travaux du type B sont des questions nouvelles dans les itinéraires de vie des étudiants, </w:t>
      </w:r>
      <w:r w:rsidR="006E5D2B">
        <w:t>non envisagées avant d</w:t>
      </w:r>
      <w:r w:rsidR="00853A24">
        <w:t>’entreprendre la formation</w:t>
      </w:r>
      <w:r w:rsidR="006E5D2B">
        <w:t xml:space="preserve">. Le terrain précède donc </w:t>
      </w:r>
      <w:r w:rsidR="00853A24">
        <w:t xml:space="preserve">l’étude, </w:t>
      </w:r>
      <w:r w:rsidR="006E5D2B">
        <w:t xml:space="preserve">comme pour le type A, mais dans un rapport d’extériorité. </w:t>
      </w:r>
      <w:r w:rsidR="0058784F">
        <w:t>Certaines</w:t>
      </w:r>
      <w:r w:rsidR="006E5D2B">
        <w:t xml:space="preserve"> questions sont similaires au type A, mais elles intègrent </w:t>
      </w:r>
      <w:r w:rsidR="00986F0F">
        <w:t>en général</w:t>
      </w:r>
      <w:r w:rsidR="006E5D2B">
        <w:t xml:space="preserve"> plus la dimension institutionnelle (paroisse, mouvement, communauté).</w:t>
      </w:r>
      <w:r w:rsidR="00F55090">
        <w:t xml:space="preserve"> L’expérience de foi est un fondement, une finalité et une question pour le chercheur ou la chercheuse.</w:t>
      </w:r>
    </w:p>
    <w:p w:rsidR="006E5D2B" w:rsidRDefault="006E5D2B" w:rsidP="004930E0">
      <w:pPr>
        <w:spacing w:line="240" w:lineRule="auto"/>
      </w:pPr>
      <w:r>
        <w:t xml:space="preserve">Les </w:t>
      </w:r>
      <w:r w:rsidR="007B6B80">
        <w:t>19</w:t>
      </w:r>
      <w:r w:rsidR="00853A24">
        <w:t xml:space="preserve"> travaux du type C</w:t>
      </w:r>
      <w:r w:rsidR="00853A24" w:rsidRPr="00853A24">
        <w:t xml:space="preserve"> </w:t>
      </w:r>
      <w:r w:rsidR="00853A24">
        <w:t>sont clairement situés dans le contexte d’un cours qui s’inscrit dans un parcours de formation habilitant à exercer une responsabilité pastorale ou une profession (</w:t>
      </w:r>
      <w:r w:rsidR="0058784F">
        <w:t xml:space="preserve">par exemple </w:t>
      </w:r>
      <w:r w:rsidR="00853A24">
        <w:t>enseignant de religion catholique</w:t>
      </w:r>
      <w:r w:rsidR="0058784F">
        <w:t xml:space="preserve"> ou agent pastoral</w:t>
      </w:r>
      <w:r w:rsidR="00853A24">
        <w:t xml:space="preserve">). Les questions sont en général nouvelles, comme pour le type B, mais elles sont colorées par une projection dans un avenir professionnel. Comment travailler </w:t>
      </w:r>
      <w:r w:rsidR="00986F0F">
        <w:t>dans une mission d’Église (pastorale de la santé, pastorale carcérale, pastorale de jeunes) </w:t>
      </w:r>
      <w:r w:rsidR="00853A24">
        <w:t>comme laïc (3 travaux) ou plus précisément comme femme (2 travaux) ou encore en équipe (2 travaux)</w:t>
      </w:r>
      <w:r w:rsidR="00986F0F">
        <w:t xml:space="preserve"> </w:t>
      </w:r>
      <w:r w:rsidR="00853A24">
        <w:t>? Les étudiants n</w:t>
      </w:r>
      <w:r w:rsidR="007B6B80">
        <w:t xml:space="preserve">’avaient pas encore appréhendé </w:t>
      </w:r>
      <w:r w:rsidR="00986F0F">
        <w:lastRenderedPageBreak/>
        <w:t xml:space="preserve">auparavant </w:t>
      </w:r>
      <w:r w:rsidR="007B6B80">
        <w:t>la complexité de ces questions</w:t>
      </w:r>
      <w:r w:rsidR="00853A24">
        <w:t>.</w:t>
      </w:r>
      <w:r w:rsidR="00F55090">
        <w:t xml:space="preserve"> L’expérience de foi est une finalité et une question pour le chercheur ou la chercheuse.</w:t>
      </w:r>
    </w:p>
    <w:p w:rsidR="00097BD1" w:rsidRDefault="007B6B80" w:rsidP="004930E0">
      <w:pPr>
        <w:spacing w:line="240" w:lineRule="auto"/>
      </w:pPr>
      <w:r>
        <w:t>Les 14 travaux de type D portent sur des questions d’abord théologiques relevant plutôt de la fondamentale ou de la dogmatique. Les étudiants sont d</w:t>
      </w:r>
      <w:r w:rsidR="00986F0F">
        <w:t>ans une démarche très cognitive</w:t>
      </w:r>
      <w:r>
        <w:t xml:space="preserve"> de comprendre le terrain et de chercher comment la pratique observée déplace les catégories préalablement établies. Ils et elles travaillent sur la foi</w:t>
      </w:r>
      <w:r w:rsidR="00097BD1">
        <w:t>, dans une posture assez analytique où leur propre foi n’est pas exprimée.</w:t>
      </w:r>
      <w:r w:rsidR="00F55090">
        <w:t xml:space="preserve"> L’expérience de foi est un fondement et une finalité.</w:t>
      </w:r>
    </w:p>
    <w:p w:rsidR="007B6B80" w:rsidRDefault="00097BD1" w:rsidP="004930E0">
      <w:pPr>
        <w:spacing w:line="240" w:lineRule="auto"/>
      </w:pPr>
      <w:r>
        <w:t>Même si cette présentation d’étudiants en formation initiale est très contextuelle et trop rapide, elle est révélatrice de différents statuts de l’expérience de foi personnel</w:t>
      </w:r>
      <w:r w:rsidR="006C2E61">
        <w:t>le</w:t>
      </w:r>
      <w:r>
        <w:t xml:space="preserve"> et</w:t>
      </w:r>
      <w:r w:rsidR="006C2E61">
        <w:t>/ou</w:t>
      </w:r>
      <w:r>
        <w:t xml:space="preserve"> étudiée.</w:t>
      </w:r>
      <w:r w:rsidR="006C2E61">
        <w:t xml:space="preserve"> Pour les chercheurs et chercheuses confirmés, les différences sont sans doute moins marquées, mais le choix de structur</w:t>
      </w:r>
      <w:r w:rsidR="00986F0F">
        <w:t>ation</w:t>
      </w:r>
      <w:r w:rsidR="006C2E61">
        <w:t xml:space="preserve"> du travail me parait être en quelque sorte la continuation de ces postures in</w:t>
      </w:r>
      <w:r w:rsidR="00D675EC">
        <w:t>itiales des étudiants débutant en théologie pratique.</w:t>
      </w:r>
      <w:r w:rsidR="007B6B80">
        <w:t xml:space="preserve"> </w:t>
      </w:r>
    </w:p>
    <w:p w:rsidR="00E86CC0" w:rsidRDefault="00CF076B" w:rsidP="004930E0">
      <w:pPr>
        <w:pStyle w:val="Titre2"/>
      </w:pPr>
      <w:bookmarkStart w:id="15" w:name="_Toc17027320"/>
      <w:r>
        <w:t>C</w:t>
      </w:r>
      <w:r w:rsidR="00E86CC0">
        <w:t>onclusion</w:t>
      </w:r>
      <w:bookmarkEnd w:id="15"/>
    </w:p>
    <w:p w:rsidR="00834402" w:rsidRPr="00602413" w:rsidRDefault="00F474A0" w:rsidP="004930E0">
      <w:pPr>
        <w:spacing w:line="240" w:lineRule="auto"/>
        <w:rPr>
          <w:lang w:val="fr-FR" w:eastAsia="fr-FR"/>
        </w:rPr>
      </w:pPr>
      <w:r>
        <w:rPr>
          <w:lang w:val="fr-FR" w:eastAsia="fr-FR"/>
        </w:rPr>
        <w:t xml:space="preserve">Au terme de ce parcours </w:t>
      </w:r>
      <w:r w:rsidR="00FC268C">
        <w:rPr>
          <w:lang w:val="fr-FR" w:eastAsia="fr-FR"/>
        </w:rPr>
        <w:t>alimenté par la structuration</w:t>
      </w:r>
      <w:r>
        <w:rPr>
          <w:lang w:val="fr-FR" w:eastAsia="fr-FR"/>
        </w:rPr>
        <w:t xml:space="preserve"> des travaux en théologie pratique, il </w:t>
      </w:r>
      <w:r w:rsidR="00AF0C56">
        <w:rPr>
          <w:lang w:val="fr-FR" w:eastAsia="fr-FR"/>
        </w:rPr>
        <w:t>ap</w:t>
      </w:r>
      <w:r>
        <w:rPr>
          <w:lang w:val="fr-FR" w:eastAsia="fr-FR"/>
        </w:rPr>
        <w:t xml:space="preserve">parait </w:t>
      </w:r>
      <w:r w:rsidR="00AF0C56">
        <w:rPr>
          <w:lang w:val="fr-FR" w:eastAsia="fr-FR"/>
        </w:rPr>
        <w:t>clairement</w:t>
      </w:r>
      <w:r>
        <w:rPr>
          <w:lang w:val="fr-FR" w:eastAsia="fr-FR"/>
        </w:rPr>
        <w:t xml:space="preserve"> que les choix opérés ont des incidences sur l’épistémologie le plus souvent implicite. </w:t>
      </w:r>
      <w:r w:rsidR="00834402">
        <w:rPr>
          <w:lang w:val="fr-FR" w:eastAsia="fr-FR"/>
        </w:rPr>
        <w:t xml:space="preserve">Ce que nous n’avons pas </w:t>
      </w:r>
      <w:r w:rsidR="00F70996">
        <w:rPr>
          <w:lang w:val="fr-FR" w:eastAsia="fr-FR"/>
        </w:rPr>
        <w:t>observé</w:t>
      </w:r>
      <w:r w:rsidR="00834402">
        <w:rPr>
          <w:lang w:val="fr-FR" w:eastAsia="fr-FR"/>
        </w:rPr>
        <w:t xml:space="preserve"> ici serait un ancrage plutôt catholique ou plutôt protestant de</w:t>
      </w:r>
      <w:r w:rsidR="00F70996">
        <w:rPr>
          <w:lang w:val="fr-FR" w:eastAsia="fr-FR"/>
        </w:rPr>
        <w:t>s divers</w:t>
      </w:r>
      <w:r w:rsidR="00834402">
        <w:rPr>
          <w:lang w:val="fr-FR" w:eastAsia="fr-FR"/>
        </w:rPr>
        <w:t xml:space="preserve"> choix conscients ou non pour une épistémologie</w:t>
      </w:r>
      <w:r w:rsidR="00F70996">
        <w:rPr>
          <w:lang w:val="fr-FR" w:eastAsia="fr-FR"/>
        </w:rPr>
        <w:t xml:space="preserve"> ou une autre</w:t>
      </w:r>
      <w:r w:rsidR="00834402">
        <w:rPr>
          <w:lang w:val="fr-FR" w:eastAsia="fr-FR"/>
        </w:rPr>
        <w:t xml:space="preserve">. </w:t>
      </w:r>
      <w:r w:rsidR="00602413">
        <w:rPr>
          <w:lang w:val="fr-FR" w:eastAsia="fr-FR"/>
        </w:rPr>
        <w:t xml:space="preserve">Ce fut le point de départ de la réflexion d’un </w:t>
      </w:r>
      <w:r w:rsidR="00834402">
        <w:rPr>
          <w:lang w:val="fr-FR" w:eastAsia="fr-FR"/>
        </w:rPr>
        <w:t>groupe de théologiens et théologiennes pratiques catholiques membres de l’</w:t>
      </w:r>
      <w:r w:rsidR="00834402">
        <w:rPr>
          <w:i/>
          <w:lang w:val="fr-FR" w:eastAsia="fr-FR"/>
        </w:rPr>
        <w:t xml:space="preserve">International Association of </w:t>
      </w:r>
      <w:proofErr w:type="spellStart"/>
      <w:r w:rsidR="00834402">
        <w:rPr>
          <w:i/>
          <w:lang w:val="fr-FR" w:eastAsia="fr-FR"/>
        </w:rPr>
        <w:t>Practical</w:t>
      </w:r>
      <w:proofErr w:type="spellEnd"/>
      <w:r w:rsidR="00834402">
        <w:rPr>
          <w:i/>
          <w:lang w:val="fr-FR" w:eastAsia="fr-FR"/>
        </w:rPr>
        <w:t xml:space="preserve"> </w:t>
      </w:r>
      <w:proofErr w:type="spellStart"/>
      <w:r w:rsidR="00834402">
        <w:rPr>
          <w:i/>
          <w:lang w:val="fr-FR" w:eastAsia="fr-FR"/>
        </w:rPr>
        <w:t>Theology</w:t>
      </w:r>
      <w:proofErr w:type="spellEnd"/>
      <w:r w:rsidR="00602413">
        <w:rPr>
          <w:lang w:val="fr-FR" w:eastAsia="fr-FR"/>
        </w:rPr>
        <w:t>, forts de la conviction : “</w:t>
      </w:r>
      <w:proofErr w:type="spellStart"/>
      <w:r w:rsidR="00602413" w:rsidRPr="00602413">
        <w:rPr>
          <w:i/>
          <w:lang w:val="fr-FR" w:eastAsia="fr-FR"/>
        </w:rPr>
        <w:t>Practical</w:t>
      </w:r>
      <w:proofErr w:type="spellEnd"/>
      <w:r w:rsidR="00602413">
        <w:rPr>
          <w:i/>
          <w:lang w:val="fr-FR" w:eastAsia="fr-FR"/>
        </w:rPr>
        <w:t xml:space="preserve"> </w:t>
      </w:r>
      <w:proofErr w:type="spellStart"/>
      <w:r w:rsidR="00602413">
        <w:rPr>
          <w:i/>
          <w:lang w:val="fr-FR" w:eastAsia="fr-FR"/>
        </w:rPr>
        <w:t>Theology</w:t>
      </w:r>
      <w:proofErr w:type="spellEnd"/>
      <w:r w:rsidR="00602413">
        <w:rPr>
          <w:i/>
          <w:lang w:val="fr-FR" w:eastAsia="fr-FR"/>
        </w:rPr>
        <w:t xml:space="preserve"> as a </w:t>
      </w:r>
      <w:proofErr w:type="spellStart"/>
      <w:r w:rsidR="00602413">
        <w:rPr>
          <w:i/>
          <w:lang w:val="fr-FR" w:eastAsia="fr-FR"/>
        </w:rPr>
        <w:t>field</w:t>
      </w:r>
      <w:proofErr w:type="spellEnd"/>
      <w:r w:rsidR="00602413">
        <w:rPr>
          <w:i/>
          <w:lang w:val="fr-FR" w:eastAsia="fr-FR"/>
        </w:rPr>
        <w:t xml:space="preserve"> has been </w:t>
      </w:r>
      <w:proofErr w:type="spellStart"/>
      <w:r w:rsidR="00602413">
        <w:rPr>
          <w:i/>
          <w:lang w:val="fr-FR" w:eastAsia="fr-FR"/>
        </w:rPr>
        <w:t>dominated</w:t>
      </w:r>
      <w:proofErr w:type="spellEnd"/>
      <w:r w:rsidR="00602413">
        <w:rPr>
          <w:i/>
          <w:lang w:val="fr-FR" w:eastAsia="fr-FR"/>
        </w:rPr>
        <w:t xml:space="preserve"> by </w:t>
      </w:r>
      <w:proofErr w:type="spellStart"/>
      <w:r w:rsidR="00602413">
        <w:rPr>
          <w:i/>
          <w:lang w:val="fr-FR" w:eastAsia="fr-FR"/>
        </w:rPr>
        <w:t>often</w:t>
      </w:r>
      <w:proofErr w:type="spellEnd"/>
      <w:r w:rsidR="00602413">
        <w:rPr>
          <w:i/>
          <w:lang w:val="fr-FR" w:eastAsia="fr-FR"/>
        </w:rPr>
        <w:t xml:space="preserve"> </w:t>
      </w:r>
      <w:proofErr w:type="spellStart"/>
      <w:r w:rsidR="00602413">
        <w:rPr>
          <w:i/>
          <w:lang w:val="fr-FR" w:eastAsia="fr-FR"/>
        </w:rPr>
        <w:t>unacknowedged</w:t>
      </w:r>
      <w:proofErr w:type="spellEnd"/>
      <w:r w:rsidR="00602413">
        <w:rPr>
          <w:i/>
          <w:lang w:val="fr-FR" w:eastAsia="fr-FR"/>
        </w:rPr>
        <w:t xml:space="preserve"> </w:t>
      </w:r>
      <w:proofErr w:type="spellStart"/>
      <w:r w:rsidR="00602413">
        <w:rPr>
          <w:i/>
          <w:lang w:val="fr-FR" w:eastAsia="fr-FR"/>
        </w:rPr>
        <w:t>liberal</w:t>
      </w:r>
      <w:proofErr w:type="spellEnd"/>
      <w:r w:rsidR="00602413">
        <w:rPr>
          <w:i/>
          <w:lang w:val="fr-FR" w:eastAsia="fr-FR"/>
        </w:rPr>
        <w:t xml:space="preserve"> Protestant </w:t>
      </w:r>
      <w:proofErr w:type="spellStart"/>
      <w:r w:rsidR="00602413">
        <w:rPr>
          <w:i/>
          <w:lang w:val="fr-FR" w:eastAsia="fr-FR"/>
        </w:rPr>
        <w:t>presuppositions</w:t>
      </w:r>
      <w:proofErr w:type="spellEnd"/>
      <w:r w:rsidR="00602413">
        <w:rPr>
          <w:i/>
          <w:lang w:val="fr-FR" w:eastAsia="fr-FR"/>
        </w:rPr>
        <w:t>.</w:t>
      </w:r>
      <w:r w:rsidR="00602413">
        <w:rPr>
          <w:lang w:val="fr-FR" w:eastAsia="fr-FR"/>
        </w:rPr>
        <w:t>”</w:t>
      </w:r>
      <w:r w:rsidR="00602413">
        <w:rPr>
          <w:rStyle w:val="Appelnotedebasdep"/>
          <w:lang w:val="fr-FR" w:eastAsia="fr-FR"/>
        </w:rPr>
        <w:footnoteReference w:id="69"/>
      </w:r>
      <w:r w:rsidR="00602413">
        <w:rPr>
          <w:lang w:val="fr-FR" w:eastAsia="fr-FR"/>
        </w:rPr>
        <w:t xml:space="preserve"> Mais c’est une autre question qui une étude en soi. Revenons à nos trois structurations différentes.</w:t>
      </w:r>
    </w:p>
    <w:p w:rsidR="001E5D82" w:rsidRDefault="00F474A0" w:rsidP="004930E0">
      <w:pPr>
        <w:spacing w:line="240" w:lineRule="auto"/>
        <w:rPr>
          <w:lang w:val="fr-FR" w:eastAsia="fr-FR"/>
        </w:rPr>
      </w:pPr>
      <w:r>
        <w:rPr>
          <w:lang w:val="fr-FR" w:eastAsia="fr-FR"/>
        </w:rPr>
        <w:t>Fonder la réflexion théologique sur une objectivité la plus poussée possible des données du terrain relève d’un paradigme en partie ‟positiviste”, dans le sens d’une tentative de caractériser toutes les composantes d’une pratique, à la manière des sciences sociales du religieux.</w:t>
      </w:r>
      <w:r w:rsidR="001E5D82">
        <w:rPr>
          <w:lang w:val="fr-FR" w:eastAsia="fr-FR"/>
        </w:rPr>
        <w:t xml:space="preserve"> Il y a </w:t>
      </w:r>
      <w:r w:rsidR="00FC268C">
        <w:rPr>
          <w:lang w:val="fr-FR" w:eastAsia="fr-FR"/>
        </w:rPr>
        <w:t xml:space="preserve">certainement </w:t>
      </w:r>
      <w:r w:rsidR="001E5D82">
        <w:rPr>
          <w:lang w:val="fr-FR" w:eastAsia="fr-FR"/>
        </w:rPr>
        <w:t xml:space="preserve">une cohérence à entrer dans la </w:t>
      </w:r>
      <w:r w:rsidR="00FC268C">
        <w:rPr>
          <w:lang w:val="fr-FR" w:eastAsia="fr-FR"/>
        </w:rPr>
        <w:t>recherche par le terrain. Mais l</w:t>
      </w:r>
      <w:r w:rsidR="001E5D82">
        <w:rPr>
          <w:lang w:val="fr-FR" w:eastAsia="fr-FR"/>
        </w:rPr>
        <w:t>e contexte généralisé de postchrétienté rend désormais plus ardu que par le passé le ‟saut” dans l’interprétation théologique.</w:t>
      </w:r>
    </w:p>
    <w:p w:rsidR="00F474A0" w:rsidRDefault="001E5D82" w:rsidP="004930E0">
      <w:pPr>
        <w:spacing w:line="240" w:lineRule="auto"/>
        <w:rPr>
          <w:lang w:val="fr-FR" w:eastAsia="fr-FR"/>
        </w:rPr>
      </w:pPr>
      <w:r>
        <w:rPr>
          <w:lang w:val="fr-FR" w:eastAsia="fr-FR"/>
        </w:rPr>
        <w:t>Tout aussi cohérent est de poser et de délimiter d’abord le questionnement théologique. Les interpellations approfondies d</w:t>
      </w:r>
      <w:r w:rsidR="009155C7">
        <w:rPr>
          <w:lang w:val="fr-FR" w:eastAsia="fr-FR"/>
        </w:rPr>
        <w:t>u systématicien</w:t>
      </w:r>
      <w:r>
        <w:rPr>
          <w:lang w:val="fr-FR" w:eastAsia="fr-FR"/>
        </w:rPr>
        <w:t xml:space="preserve"> David Tracy ont montré leur fécondité pour la recherche</w:t>
      </w:r>
      <w:r w:rsidR="009155C7">
        <w:rPr>
          <w:lang w:val="fr-FR" w:eastAsia="fr-FR"/>
        </w:rPr>
        <w:t xml:space="preserve"> en théologie pratique</w:t>
      </w:r>
      <w:r>
        <w:rPr>
          <w:lang w:val="fr-FR" w:eastAsia="fr-FR"/>
        </w:rPr>
        <w:t xml:space="preserve">. En navigant dans les eaux de </w:t>
      </w:r>
      <w:r w:rsidR="00955B22">
        <w:rPr>
          <w:lang w:val="fr-FR" w:eastAsia="fr-FR"/>
        </w:rPr>
        <w:t xml:space="preserve">la foi et de </w:t>
      </w:r>
      <w:r>
        <w:rPr>
          <w:lang w:val="fr-FR" w:eastAsia="fr-FR"/>
        </w:rPr>
        <w:t xml:space="preserve">l’expérience de foi, du début à la fin du travail, les chercheurs </w:t>
      </w:r>
      <w:r w:rsidR="00FC268C">
        <w:rPr>
          <w:lang w:val="fr-FR" w:eastAsia="fr-FR"/>
        </w:rPr>
        <w:t xml:space="preserve">et chercheuses </w:t>
      </w:r>
      <w:r>
        <w:rPr>
          <w:lang w:val="fr-FR" w:eastAsia="fr-FR"/>
        </w:rPr>
        <w:t>sécurisent en quelque sorte la scientificité de leurs propos par une grande homogénéité épistémologique. Un risque émerge par contr</w:t>
      </w:r>
      <w:r w:rsidR="000A4F3B">
        <w:rPr>
          <w:lang w:val="fr-FR" w:eastAsia="fr-FR"/>
        </w:rPr>
        <w:t>e et sera toujours plus présent :</w:t>
      </w:r>
      <w:r>
        <w:rPr>
          <w:lang w:val="fr-FR" w:eastAsia="fr-FR"/>
        </w:rPr>
        <w:t xml:space="preserve"> la simple coexistence, voire l’incompréhension réciproque, avec les autres sciences humaines du religieux.</w:t>
      </w:r>
      <w:r w:rsidR="00595C63">
        <w:rPr>
          <w:lang w:val="fr-FR" w:eastAsia="fr-FR"/>
        </w:rPr>
        <w:t xml:space="preserve"> Il y a là un</w:t>
      </w:r>
      <w:r w:rsidR="00FC268C">
        <w:rPr>
          <w:lang w:val="fr-FR" w:eastAsia="fr-FR"/>
        </w:rPr>
        <w:t xml:space="preserve"> défi de taille</w:t>
      </w:r>
      <w:r w:rsidR="00595C63">
        <w:rPr>
          <w:lang w:val="fr-FR" w:eastAsia="fr-FR"/>
        </w:rPr>
        <w:t xml:space="preserve"> </w:t>
      </w:r>
      <w:r>
        <w:rPr>
          <w:lang w:val="fr-FR" w:eastAsia="fr-FR"/>
        </w:rPr>
        <w:t>pour la pérennité de la théologie à l’université.</w:t>
      </w:r>
    </w:p>
    <w:p w:rsidR="001E5D82" w:rsidRDefault="00595C63" w:rsidP="004930E0">
      <w:pPr>
        <w:spacing w:line="240" w:lineRule="auto"/>
        <w:rPr>
          <w:lang w:val="fr-FR" w:eastAsia="fr-FR"/>
        </w:rPr>
      </w:pPr>
      <w:r>
        <w:rPr>
          <w:lang w:val="fr-FR" w:eastAsia="fr-FR"/>
        </w:rPr>
        <w:t>Quant à vouloir disséminer l</w:t>
      </w:r>
      <w:r w:rsidR="006E7DA2">
        <w:rPr>
          <w:lang w:val="fr-FR" w:eastAsia="fr-FR"/>
        </w:rPr>
        <w:t>a dimension empirique</w:t>
      </w:r>
      <w:r w:rsidR="001E5D82">
        <w:rPr>
          <w:lang w:val="fr-FR" w:eastAsia="fr-FR"/>
        </w:rPr>
        <w:t xml:space="preserve"> tout au long de la recherche, </w:t>
      </w:r>
      <w:r w:rsidR="00FC268C">
        <w:rPr>
          <w:lang w:val="fr-FR" w:eastAsia="fr-FR"/>
        </w:rPr>
        <w:t>cette approche est intéressante et</w:t>
      </w:r>
      <w:r w:rsidR="001E5D82">
        <w:rPr>
          <w:lang w:val="fr-FR" w:eastAsia="fr-FR"/>
        </w:rPr>
        <w:t xml:space="preserve"> peut porter du fruit pour la compréhension de la foi vécue. Les chercheurs </w:t>
      </w:r>
      <w:r w:rsidR="00FC268C">
        <w:rPr>
          <w:lang w:val="fr-FR" w:eastAsia="fr-FR"/>
        </w:rPr>
        <w:t xml:space="preserve">et chercheuses </w:t>
      </w:r>
      <w:r w:rsidR="001E5D82">
        <w:rPr>
          <w:lang w:val="fr-FR" w:eastAsia="fr-FR"/>
        </w:rPr>
        <w:t>doivent cependant prendre garde à ce que l’épistémologie sous-jacente ne soit pas ancrée dans un constructivisme radical. La foi chrétienne a ceci de spécif</w:t>
      </w:r>
      <w:r w:rsidR="00FC268C">
        <w:rPr>
          <w:lang w:val="fr-FR" w:eastAsia="fr-FR"/>
        </w:rPr>
        <w:t>ique qu’elle se reçoit d’autrui :</w:t>
      </w:r>
      <w:r w:rsidR="001E5D82">
        <w:rPr>
          <w:lang w:val="fr-FR" w:eastAsia="fr-FR"/>
        </w:rPr>
        <w:t xml:space="preserve"> de Dieu par la médiation d’une Église composée de personnes bien concrètes hier et aujourd’hui.</w:t>
      </w:r>
      <w:r w:rsidR="00B40E27">
        <w:rPr>
          <w:lang w:val="fr-FR" w:eastAsia="fr-FR"/>
        </w:rPr>
        <w:t xml:space="preserve"> Une théologie ordinaire n’est pas autosuffisante et doit prendre place dans le concert d’une théologie polyphonique.</w:t>
      </w:r>
    </w:p>
    <w:p w:rsidR="00E86CC0" w:rsidRDefault="00CF076B" w:rsidP="004930E0">
      <w:pPr>
        <w:spacing w:line="240" w:lineRule="auto"/>
        <w:rPr>
          <w:lang w:eastAsia="fr-FR"/>
        </w:rPr>
      </w:pPr>
      <w:r w:rsidRPr="00645A74">
        <w:rPr>
          <w:lang w:eastAsia="fr-FR"/>
        </w:rPr>
        <w:t>‟</w:t>
      </w:r>
      <w:r w:rsidRPr="00645A74">
        <w:rPr>
          <w:i/>
        </w:rPr>
        <w:t xml:space="preserve">Vera </w:t>
      </w:r>
      <w:proofErr w:type="spellStart"/>
      <w:r w:rsidRPr="00645A74">
        <w:rPr>
          <w:i/>
        </w:rPr>
        <w:t>theologia</w:t>
      </w:r>
      <w:proofErr w:type="spellEnd"/>
      <w:r w:rsidRPr="00645A74">
        <w:rPr>
          <w:i/>
        </w:rPr>
        <w:t xml:space="preserve"> </w:t>
      </w:r>
      <w:proofErr w:type="spellStart"/>
      <w:r w:rsidRPr="00645A74">
        <w:rPr>
          <w:i/>
        </w:rPr>
        <w:t>practica</w:t>
      </w:r>
      <w:proofErr w:type="spellEnd"/>
      <w:r w:rsidRPr="00645A74">
        <w:rPr>
          <w:i/>
        </w:rPr>
        <w:t xml:space="preserve"> est.</w:t>
      </w:r>
      <w:r w:rsidRPr="00645A74">
        <w:rPr>
          <w:rStyle w:val="Appelnotedebasdep"/>
          <w:vertAlign w:val="baseline"/>
        </w:rPr>
        <w:t xml:space="preserve">” </w:t>
      </w:r>
      <w:r w:rsidRPr="00CF076B">
        <w:t xml:space="preserve">En étant </w:t>
      </w:r>
      <w:r w:rsidR="00492F82">
        <w:t xml:space="preserve">ici </w:t>
      </w:r>
      <w:r w:rsidRPr="00CF076B">
        <w:t>volontairement détournée de son sens</w:t>
      </w:r>
      <w:r>
        <w:rPr>
          <w:rStyle w:val="Appelnotedebasdep"/>
        </w:rPr>
        <w:footnoteReference w:id="70"/>
      </w:r>
      <w:r w:rsidRPr="00CF076B">
        <w:t>, c</w:t>
      </w:r>
      <w:r w:rsidRPr="00CF076B">
        <w:rPr>
          <w:rStyle w:val="Appelnotedebasdep"/>
          <w:vertAlign w:val="baseline"/>
        </w:rPr>
        <w:t>ette sentence régulièrement cité</w:t>
      </w:r>
      <w:r>
        <w:t>e</w:t>
      </w:r>
      <w:r w:rsidRPr="00CF076B">
        <w:rPr>
          <w:rStyle w:val="Appelnotedebasdep"/>
          <w:vertAlign w:val="baseline"/>
        </w:rPr>
        <w:t xml:space="preserve"> de Martin Luther peut résonner comme une question</w:t>
      </w:r>
      <w:r w:rsidRPr="00CF076B">
        <w:t xml:space="preserve"> posée aux </w:t>
      </w:r>
      <w:r w:rsidRPr="00CF076B">
        <w:lastRenderedPageBreak/>
        <w:t xml:space="preserve">théologiens et théologiennes pratiques. </w:t>
      </w:r>
      <w:r>
        <w:t xml:space="preserve">Leur tâche est </w:t>
      </w:r>
      <w:r w:rsidRPr="00CF076B">
        <w:t xml:space="preserve">bien de faire de la théologie, mais pas n’importe comment. </w:t>
      </w:r>
      <w:r>
        <w:t xml:space="preserve">Qu’il y ait une dimension empirique dans une recherche ne suffit pas à faire de la </w:t>
      </w:r>
      <w:proofErr w:type="spellStart"/>
      <w:r>
        <w:rPr>
          <w:i/>
        </w:rPr>
        <w:t>vera</w:t>
      </w:r>
      <w:proofErr w:type="spellEnd"/>
      <w:r>
        <w:rPr>
          <w:i/>
        </w:rPr>
        <w:t xml:space="preserve"> </w:t>
      </w:r>
      <w:proofErr w:type="spellStart"/>
      <w:r>
        <w:rPr>
          <w:i/>
        </w:rPr>
        <w:t>theologia</w:t>
      </w:r>
      <w:proofErr w:type="spellEnd"/>
      <w:r>
        <w:rPr>
          <w:i/>
        </w:rPr>
        <w:t>.</w:t>
      </w:r>
      <w:r>
        <w:t xml:space="preserve"> Il faut encore que les données du terrain soient situées con</w:t>
      </w:r>
      <w:r w:rsidR="00FC268C">
        <w:t>sciemment et de manière cohérent</w:t>
      </w:r>
      <w:r>
        <w:t xml:space="preserve">e dans le </w:t>
      </w:r>
      <w:r w:rsidR="00492F82">
        <w:t>processus du travail</w:t>
      </w:r>
      <w:r>
        <w:t>. Tel est sans doute le défi majeur</w:t>
      </w:r>
      <w:r w:rsidR="00D84697">
        <w:t xml:space="preserve"> d</w:t>
      </w:r>
      <w:r w:rsidR="00FC268C">
        <w:t xml:space="preserve">e la ou des </w:t>
      </w:r>
      <w:r w:rsidR="00D84697">
        <w:t>épistémologies de la théologie pratique.</w:t>
      </w:r>
      <w:r>
        <w:t xml:space="preserve"> </w:t>
      </w:r>
    </w:p>
    <w:p w:rsidR="00DB2679" w:rsidRPr="007F2F8D" w:rsidRDefault="00DB2679" w:rsidP="004930E0">
      <w:pPr>
        <w:spacing w:line="240" w:lineRule="auto"/>
      </w:pPr>
    </w:p>
    <w:p w:rsidR="000B4D53" w:rsidRPr="00875B93" w:rsidRDefault="000B4D53" w:rsidP="004930E0">
      <w:pPr>
        <w:spacing w:line="240" w:lineRule="auto"/>
      </w:pPr>
    </w:p>
    <w:sectPr w:rsidR="000B4D53" w:rsidRPr="00875B93">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320D" w:rsidRDefault="00E4320D" w:rsidP="00A95E70">
      <w:r>
        <w:separator/>
      </w:r>
    </w:p>
  </w:endnote>
  <w:endnote w:type="continuationSeparator" w:id="0">
    <w:p w:rsidR="00E4320D" w:rsidRDefault="00E4320D" w:rsidP="00A95E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Arial Unicode MS">
    <w:panose1 w:val="020B0604020202020204"/>
    <w:charset w:val="80"/>
    <w:family w:val="swiss"/>
    <w:pitch w:val="variable"/>
    <w:sig w:usb0="00000000" w:usb1="E9DFFFFF" w:usb2="0000003F" w:usb3="00000000" w:csb0="003F01FF" w:csb1="00000000"/>
  </w:font>
  <w:font w:name="MS Mincho">
    <w:altName w:val="Yu Gothic UI"/>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0118067"/>
      <w:docPartObj>
        <w:docPartGallery w:val="Page Numbers (Bottom of Page)"/>
        <w:docPartUnique/>
      </w:docPartObj>
    </w:sdtPr>
    <w:sdtEndPr/>
    <w:sdtContent>
      <w:p w:rsidR="00E4320D" w:rsidRDefault="00E4320D">
        <w:pPr>
          <w:pStyle w:val="Pieddepage"/>
          <w:jc w:val="right"/>
        </w:pPr>
        <w:r>
          <w:fldChar w:fldCharType="begin"/>
        </w:r>
        <w:r>
          <w:instrText>PAGE   \* MERGEFORMAT</w:instrText>
        </w:r>
        <w:r>
          <w:fldChar w:fldCharType="separate"/>
        </w:r>
        <w:r w:rsidR="00DA2BDB" w:rsidRPr="00DA2BDB">
          <w:rPr>
            <w:noProof/>
            <w:lang w:val="fr-FR"/>
          </w:rPr>
          <w:t>16</w:t>
        </w:r>
        <w:r>
          <w:fldChar w:fldCharType="end"/>
        </w:r>
      </w:p>
    </w:sdtContent>
  </w:sdt>
  <w:p w:rsidR="00E4320D" w:rsidRDefault="00E4320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320D" w:rsidRDefault="00E4320D" w:rsidP="00A95E70">
      <w:r>
        <w:separator/>
      </w:r>
    </w:p>
  </w:footnote>
  <w:footnote w:type="continuationSeparator" w:id="0">
    <w:p w:rsidR="00E4320D" w:rsidRDefault="00E4320D" w:rsidP="00A95E70">
      <w:r>
        <w:continuationSeparator/>
      </w:r>
    </w:p>
  </w:footnote>
  <w:footnote w:id="1">
    <w:p w:rsidR="00E4320D" w:rsidRPr="004930E0" w:rsidRDefault="00E4320D" w:rsidP="004930E0">
      <w:pPr>
        <w:pStyle w:val="Notedebasdepage"/>
      </w:pPr>
      <w:r w:rsidRPr="004930E0">
        <w:rPr>
          <w:rStyle w:val="Appelnotedebasdep"/>
        </w:rPr>
        <w:footnoteRef/>
      </w:r>
      <w:r w:rsidRPr="004930E0">
        <w:t xml:space="preserve"> Une dizaine de doctorants, doctorantes, chercheurs et chercheuses avec les professeurs François-Xavier Amherdt (Université de Fribourg), Yves Guérette et Robert </w:t>
      </w:r>
      <w:proofErr w:type="spellStart"/>
      <w:r w:rsidRPr="004930E0">
        <w:t>Mager</w:t>
      </w:r>
      <w:proofErr w:type="spellEnd"/>
      <w:r w:rsidRPr="004930E0">
        <w:t xml:space="preserve"> (Université Laval de Québec), et moi-même. </w:t>
      </w:r>
    </w:p>
  </w:footnote>
  <w:footnote w:id="2">
    <w:p w:rsidR="008E2530" w:rsidRPr="004930E0" w:rsidRDefault="008E2530" w:rsidP="004930E0">
      <w:pPr>
        <w:pStyle w:val="Notedebasdepage"/>
      </w:pPr>
      <w:r w:rsidRPr="004930E0">
        <w:rPr>
          <w:rStyle w:val="Appelnotedebasdep"/>
        </w:rPr>
        <w:footnoteRef/>
      </w:r>
      <w:r w:rsidRPr="004930E0">
        <w:t xml:space="preserve"> Je prends ici comme point de départ seulement le tournant contemporain de la théologie pratique, et non ses figures historiques tutélaires que sont l’oublié Stephan </w:t>
      </w:r>
      <w:proofErr w:type="spellStart"/>
      <w:r w:rsidRPr="004930E0">
        <w:t>Rautenstrauch</w:t>
      </w:r>
      <w:proofErr w:type="spellEnd"/>
      <w:r w:rsidRPr="004930E0">
        <w:t xml:space="preserve"> et surtout Friedrich Schleiermacher. On peut suivre en cela Gilles </w:t>
      </w:r>
      <w:proofErr w:type="spellStart"/>
      <w:r w:rsidRPr="004930E0">
        <w:rPr>
          <w:smallCaps/>
        </w:rPr>
        <w:t>Routhier</w:t>
      </w:r>
      <w:proofErr w:type="spellEnd"/>
      <w:r w:rsidRPr="004930E0">
        <w:t xml:space="preserve">, </w:t>
      </w:r>
      <w:r w:rsidRPr="004930E0">
        <w:rPr>
          <w:lang w:val="fr-FR" w:eastAsia="fr-FR"/>
        </w:rPr>
        <w:t xml:space="preserve">“La naissance d’une théologie pratique et pastorale. Dans le sillon du concile Vatican II et l’interrogation actuelle sur les « sujets » de la théologie”, </w:t>
      </w:r>
      <w:r w:rsidRPr="004930E0">
        <w:rPr>
          <w:i/>
          <w:lang w:val="fr-FR" w:eastAsia="fr-FR"/>
        </w:rPr>
        <w:t xml:space="preserve">Recherches de Science Religieuse </w:t>
      </w:r>
      <w:r w:rsidRPr="004930E0">
        <w:rPr>
          <w:lang w:val="fr-FR" w:eastAsia="fr-FR"/>
        </w:rPr>
        <w:t>107, 2019, p. 463-478.</w:t>
      </w:r>
    </w:p>
  </w:footnote>
  <w:footnote w:id="3">
    <w:p w:rsidR="00E4320D" w:rsidRPr="004930E0" w:rsidRDefault="00E4320D" w:rsidP="004930E0">
      <w:pPr>
        <w:pStyle w:val="Notedebasdepage"/>
      </w:pPr>
      <w:r w:rsidRPr="004930E0">
        <w:rPr>
          <w:rStyle w:val="Appelnotedebasdep"/>
        </w:rPr>
        <w:footnoteRef/>
      </w:r>
      <w:r w:rsidRPr="004930E0">
        <w:t xml:space="preserve"> Comme le montre le récent dossier dirigé par Félix </w:t>
      </w:r>
      <w:r w:rsidRPr="004930E0">
        <w:rPr>
          <w:smallCaps/>
        </w:rPr>
        <w:t>Moser</w:t>
      </w:r>
      <w:r w:rsidRPr="004930E0">
        <w:t xml:space="preserve">, </w:t>
      </w:r>
      <w:r w:rsidRPr="004930E0">
        <w:rPr>
          <w:i/>
        </w:rPr>
        <w:t xml:space="preserve">La théologie pratique. Un guide méthodologique, </w:t>
      </w:r>
      <w:r w:rsidRPr="004930E0">
        <w:t xml:space="preserve">dans </w:t>
      </w:r>
      <w:r w:rsidRPr="004930E0">
        <w:rPr>
          <w:i/>
        </w:rPr>
        <w:t xml:space="preserve">Études théologiques et religieuses </w:t>
      </w:r>
      <w:r w:rsidRPr="004930E0">
        <w:t xml:space="preserve">93, 2018, p. 521-700. Les contributions ont beaucoup inspiré ma propre réflexion présentée ici. Voir ma recension dans la </w:t>
      </w:r>
      <w:r w:rsidRPr="004930E0">
        <w:rPr>
          <w:i/>
        </w:rPr>
        <w:t xml:space="preserve">Revue théologique de Louvain </w:t>
      </w:r>
      <w:r w:rsidRPr="004930E0">
        <w:t xml:space="preserve">49, 2019, à paraitre. </w:t>
      </w:r>
      <w:proofErr w:type="spellStart"/>
      <w:r w:rsidR="00602413" w:rsidRPr="004930E0">
        <w:rPr>
          <w:lang w:val="en-US"/>
        </w:rPr>
        <w:t>Voir</w:t>
      </w:r>
      <w:proofErr w:type="spellEnd"/>
      <w:r w:rsidR="00602413" w:rsidRPr="004930E0">
        <w:rPr>
          <w:lang w:val="en-US"/>
        </w:rPr>
        <w:t xml:space="preserve"> </w:t>
      </w:r>
      <w:proofErr w:type="spellStart"/>
      <w:r w:rsidR="00602413" w:rsidRPr="004930E0">
        <w:rPr>
          <w:lang w:val="en-US"/>
        </w:rPr>
        <w:t>aussi</w:t>
      </w:r>
      <w:proofErr w:type="spellEnd"/>
      <w:r w:rsidR="00602413" w:rsidRPr="004930E0">
        <w:rPr>
          <w:lang w:val="en-US"/>
        </w:rPr>
        <w:t xml:space="preserve"> Claire E</w:t>
      </w:r>
      <w:r w:rsidR="00834402" w:rsidRPr="004930E0">
        <w:rPr>
          <w:lang w:val="en-US"/>
        </w:rPr>
        <w:t xml:space="preserve">. </w:t>
      </w:r>
      <w:proofErr w:type="spellStart"/>
      <w:r w:rsidR="00834402" w:rsidRPr="004930E0">
        <w:rPr>
          <w:smallCaps/>
          <w:lang w:val="en-US"/>
        </w:rPr>
        <w:t>Wolfteich</w:t>
      </w:r>
      <w:proofErr w:type="spellEnd"/>
      <w:r w:rsidR="00834402" w:rsidRPr="004930E0">
        <w:rPr>
          <w:lang w:val="en-US"/>
        </w:rPr>
        <w:t xml:space="preserve">, </w:t>
      </w:r>
      <w:proofErr w:type="spellStart"/>
      <w:r w:rsidR="00834402" w:rsidRPr="004930E0">
        <w:rPr>
          <w:lang w:val="en-US"/>
        </w:rPr>
        <w:t>Annemie</w:t>
      </w:r>
      <w:proofErr w:type="spellEnd"/>
      <w:r w:rsidR="00834402" w:rsidRPr="004930E0">
        <w:rPr>
          <w:lang w:val="en-US"/>
        </w:rPr>
        <w:t xml:space="preserve"> </w:t>
      </w:r>
      <w:proofErr w:type="spellStart"/>
      <w:r w:rsidR="00834402" w:rsidRPr="004930E0">
        <w:rPr>
          <w:smallCaps/>
          <w:lang w:val="en-US"/>
        </w:rPr>
        <w:t>Dillen</w:t>
      </w:r>
      <w:proofErr w:type="spellEnd"/>
      <w:r w:rsidR="00A939AF" w:rsidRPr="004930E0">
        <w:rPr>
          <w:smallCaps/>
          <w:lang w:val="en-US"/>
        </w:rPr>
        <w:t xml:space="preserve"> (</w:t>
      </w:r>
      <w:r w:rsidR="00A939AF" w:rsidRPr="004930E0">
        <w:rPr>
          <w:lang w:val="en-US"/>
        </w:rPr>
        <w:t>dir</w:t>
      </w:r>
      <w:r w:rsidR="00A939AF" w:rsidRPr="004930E0">
        <w:rPr>
          <w:smallCaps/>
          <w:lang w:val="en-US"/>
        </w:rPr>
        <w:t>.)</w:t>
      </w:r>
      <w:r w:rsidR="00834402" w:rsidRPr="004930E0">
        <w:rPr>
          <w:lang w:val="en-US"/>
        </w:rPr>
        <w:t xml:space="preserve">, </w:t>
      </w:r>
      <w:r w:rsidR="00834402" w:rsidRPr="004930E0">
        <w:rPr>
          <w:i/>
          <w:lang w:val="en-US"/>
        </w:rPr>
        <w:t xml:space="preserve">Catholic Approaches in Practical Theology. </w:t>
      </w:r>
      <w:r w:rsidR="00834402" w:rsidRPr="004930E0">
        <w:rPr>
          <w:i/>
        </w:rPr>
        <w:t xml:space="preserve">International and </w:t>
      </w:r>
      <w:proofErr w:type="spellStart"/>
      <w:r w:rsidR="00834402" w:rsidRPr="004930E0">
        <w:rPr>
          <w:i/>
        </w:rPr>
        <w:t>interdisciplinary</w:t>
      </w:r>
      <w:proofErr w:type="spellEnd"/>
      <w:r w:rsidR="00834402" w:rsidRPr="004930E0">
        <w:rPr>
          <w:i/>
        </w:rPr>
        <w:t xml:space="preserve"> Perspectives </w:t>
      </w:r>
      <w:r w:rsidR="00834402" w:rsidRPr="004930E0">
        <w:t>(</w:t>
      </w:r>
      <w:proofErr w:type="spellStart"/>
      <w:r w:rsidR="00834402" w:rsidRPr="004930E0">
        <w:t>Bibliotheca</w:t>
      </w:r>
      <w:proofErr w:type="spellEnd"/>
      <w:r w:rsidR="00834402" w:rsidRPr="004930E0">
        <w:t xml:space="preserve"> </w:t>
      </w:r>
      <w:proofErr w:type="spellStart"/>
      <w:r w:rsidR="00834402" w:rsidRPr="004930E0">
        <w:t>Ephemeridum</w:t>
      </w:r>
      <w:proofErr w:type="spellEnd"/>
      <w:r w:rsidR="00834402" w:rsidRPr="004930E0">
        <w:t xml:space="preserve"> </w:t>
      </w:r>
      <w:proofErr w:type="spellStart"/>
      <w:r w:rsidR="00834402" w:rsidRPr="004930E0">
        <w:t>Theologicarum</w:t>
      </w:r>
      <w:proofErr w:type="spellEnd"/>
      <w:r w:rsidR="00834402" w:rsidRPr="004930E0">
        <w:t xml:space="preserve"> </w:t>
      </w:r>
      <w:proofErr w:type="spellStart"/>
      <w:r w:rsidR="00834402" w:rsidRPr="004930E0">
        <w:t>Lovaniensum</w:t>
      </w:r>
      <w:proofErr w:type="spellEnd"/>
      <w:r w:rsidR="00834402" w:rsidRPr="004930E0">
        <w:t xml:space="preserve"> 286), Leuven, Peeters, 2016 ; </w:t>
      </w:r>
      <w:proofErr w:type="spellStart"/>
      <w:r w:rsidR="00834402" w:rsidRPr="004930E0">
        <w:rPr>
          <w:lang w:eastAsia="fr-FR"/>
        </w:rPr>
        <w:t>Karlijn</w:t>
      </w:r>
      <w:proofErr w:type="spellEnd"/>
      <w:r w:rsidR="00834402" w:rsidRPr="004930E0">
        <w:rPr>
          <w:lang w:eastAsia="fr-FR"/>
        </w:rPr>
        <w:t xml:space="preserve"> </w:t>
      </w:r>
      <w:proofErr w:type="spellStart"/>
      <w:r w:rsidR="00834402" w:rsidRPr="004930E0">
        <w:rPr>
          <w:smallCaps/>
          <w:lang w:eastAsia="fr-FR"/>
        </w:rPr>
        <w:t>Demasure</w:t>
      </w:r>
      <w:proofErr w:type="spellEnd"/>
      <w:r w:rsidR="00834402" w:rsidRPr="004930E0">
        <w:rPr>
          <w:lang w:eastAsia="fr-FR"/>
        </w:rPr>
        <w:t xml:space="preserve">, Luc </w:t>
      </w:r>
      <w:r w:rsidR="00834402" w:rsidRPr="004930E0">
        <w:rPr>
          <w:smallCaps/>
          <w:lang w:eastAsia="fr-FR"/>
        </w:rPr>
        <w:t>Tardif</w:t>
      </w:r>
      <w:r w:rsidR="00834402" w:rsidRPr="004930E0">
        <w:rPr>
          <w:lang w:eastAsia="fr-FR"/>
        </w:rPr>
        <w:t xml:space="preserve"> (</w:t>
      </w:r>
      <w:proofErr w:type="spellStart"/>
      <w:r w:rsidR="00834402" w:rsidRPr="004930E0">
        <w:rPr>
          <w:lang w:eastAsia="fr-FR"/>
        </w:rPr>
        <w:t>dir</w:t>
      </w:r>
      <w:proofErr w:type="spellEnd"/>
      <w:r w:rsidR="00834402" w:rsidRPr="004930E0">
        <w:rPr>
          <w:lang w:eastAsia="fr-FR"/>
        </w:rPr>
        <w:t xml:space="preserve">.), </w:t>
      </w:r>
      <w:r w:rsidR="00834402" w:rsidRPr="004930E0">
        <w:rPr>
          <w:i/>
          <w:lang w:eastAsia="fr-FR"/>
        </w:rPr>
        <w:t>Théologie pratique. Pratiques de théologie</w:t>
      </w:r>
      <w:r w:rsidR="00834402" w:rsidRPr="004930E0">
        <w:rPr>
          <w:lang w:eastAsia="fr-FR"/>
        </w:rPr>
        <w:t xml:space="preserve"> (Brèches théologiques 48), </w:t>
      </w:r>
      <w:r w:rsidR="0071692C" w:rsidRPr="004930E0">
        <w:rPr>
          <w:lang w:eastAsia="fr-FR"/>
        </w:rPr>
        <w:t xml:space="preserve">avec la coll. de Marie-Rose </w:t>
      </w:r>
      <w:proofErr w:type="spellStart"/>
      <w:r w:rsidR="0071692C" w:rsidRPr="004930E0">
        <w:rPr>
          <w:smallCaps/>
          <w:lang w:eastAsia="fr-FR"/>
        </w:rPr>
        <w:t>Tannous</w:t>
      </w:r>
      <w:proofErr w:type="spellEnd"/>
      <w:r w:rsidR="0071692C" w:rsidRPr="004930E0">
        <w:rPr>
          <w:lang w:eastAsia="fr-FR"/>
        </w:rPr>
        <w:t xml:space="preserve">, </w:t>
      </w:r>
      <w:r w:rsidR="00834402" w:rsidRPr="004930E0">
        <w:rPr>
          <w:lang w:eastAsia="fr-FR"/>
        </w:rPr>
        <w:t xml:space="preserve">Montréal, </w:t>
      </w:r>
      <w:proofErr w:type="spellStart"/>
      <w:r w:rsidR="00834402" w:rsidRPr="004930E0">
        <w:rPr>
          <w:lang w:eastAsia="fr-FR"/>
        </w:rPr>
        <w:t>Médiaspaul</w:t>
      </w:r>
      <w:proofErr w:type="spellEnd"/>
      <w:r w:rsidR="00834402" w:rsidRPr="004930E0">
        <w:rPr>
          <w:lang w:eastAsia="fr-FR"/>
        </w:rPr>
        <w:t>, 2014.</w:t>
      </w:r>
    </w:p>
  </w:footnote>
  <w:footnote w:id="4">
    <w:p w:rsidR="0038188C" w:rsidRPr="004930E0" w:rsidRDefault="0038188C" w:rsidP="004930E0">
      <w:pPr>
        <w:pStyle w:val="Notedebasdepage"/>
      </w:pPr>
      <w:r w:rsidRPr="004930E0">
        <w:rPr>
          <w:rStyle w:val="Appelnotedebasdep"/>
        </w:rPr>
        <w:footnoteRef/>
      </w:r>
      <w:r w:rsidRPr="004930E0">
        <w:t xml:space="preserve"> Voir le constat du théologien systématique Henri-Jérôme </w:t>
      </w:r>
      <w:proofErr w:type="spellStart"/>
      <w:r w:rsidRPr="004930E0">
        <w:rPr>
          <w:smallCaps/>
        </w:rPr>
        <w:t>Gagey</w:t>
      </w:r>
      <w:proofErr w:type="spellEnd"/>
      <w:r w:rsidRPr="004930E0">
        <w:t xml:space="preserve"> en 2005 : “Il est remarquable que la célébration des promesses contenue dans ce réveil [la théologie pratique des années 1960-1970] s’accompagne d’une grande incertitude sur son statut épistémologique de la part de ceux qui se font les promoteurs de la théologie pratique ou pastorale.” </w:t>
      </w:r>
      <w:r w:rsidRPr="004930E0">
        <w:rPr>
          <w:lang w:val="fr-FR" w:eastAsia="fr-FR"/>
        </w:rPr>
        <w:t xml:space="preserve">“La théologie pratique, quelle rationalité ?”, dans François </w:t>
      </w:r>
      <w:r w:rsidRPr="004930E0">
        <w:rPr>
          <w:smallCaps/>
          <w:lang w:val="fr-FR" w:eastAsia="fr-FR"/>
        </w:rPr>
        <w:t>Bousquet</w:t>
      </w:r>
      <w:r w:rsidR="00EE5EF2" w:rsidRPr="004930E0">
        <w:rPr>
          <w:smallCaps/>
          <w:lang w:val="fr-FR" w:eastAsia="fr-FR"/>
        </w:rPr>
        <w:t>,</w:t>
      </w:r>
      <w:r w:rsidRPr="004930E0">
        <w:rPr>
          <w:lang w:val="fr-FR" w:eastAsia="fr-FR"/>
        </w:rPr>
        <w:t xml:space="preserve"> Philippe </w:t>
      </w:r>
      <w:r w:rsidRPr="004930E0">
        <w:rPr>
          <w:smallCaps/>
          <w:lang w:val="fr-FR" w:eastAsia="fr-FR"/>
        </w:rPr>
        <w:t>Capelle</w:t>
      </w:r>
      <w:r w:rsidRPr="004930E0">
        <w:rPr>
          <w:lang w:val="fr-FR" w:eastAsia="fr-FR"/>
        </w:rPr>
        <w:t xml:space="preserve"> (</w:t>
      </w:r>
      <w:proofErr w:type="spellStart"/>
      <w:r w:rsidRPr="004930E0">
        <w:rPr>
          <w:lang w:val="fr-FR" w:eastAsia="fr-FR"/>
        </w:rPr>
        <w:t>dir</w:t>
      </w:r>
      <w:proofErr w:type="spellEnd"/>
      <w:r w:rsidRPr="004930E0">
        <w:rPr>
          <w:lang w:val="fr-FR" w:eastAsia="fr-FR"/>
        </w:rPr>
        <w:t xml:space="preserve">.), </w:t>
      </w:r>
      <w:r w:rsidRPr="004930E0">
        <w:rPr>
          <w:i/>
          <w:lang w:val="fr-FR" w:eastAsia="fr-FR"/>
        </w:rPr>
        <w:t>Dieu et la raison. L’intelligence de la foi parmi les rationalités contemporaines</w:t>
      </w:r>
      <w:r w:rsidRPr="004930E0">
        <w:rPr>
          <w:lang w:val="fr-FR" w:eastAsia="fr-FR"/>
        </w:rPr>
        <w:t>, Paris, Bayard, 2005, p. 225-243, ici p. 226.</w:t>
      </w:r>
      <w:r w:rsidRPr="004930E0">
        <w:t xml:space="preserve"> </w:t>
      </w:r>
    </w:p>
  </w:footnote>
  <w:footnote w:id="5">
    <w:p w:rsidR="00AD4EFE" w:rsidRPr="004930E0" w:rsidRDefault="00AD4EFE" w:rsidP="004930E0">
      <w:pPr>
        <w:pStyle w:val="Notedebasdepage"/>
      </w:pPr>
      <w:r w:rsidRPr="004930E0">
        <w:rPr>
          <w:rStyle w:val="Appelnotedebasdep"/>
        </w:rPr>
        <w:footnoteRef/>
      </w:r>
      <w:r w:rsidRPr="004930E0">
        <w:t xml:space="preserve"> Je remercie ici mes collègues Catherine Chevalier</w:t>
      </w:r>
      <w:r w:rsidR="00D84D1A" w:rsidRPr="004930E0">
        <w:t>,</w:t>
      </w:r>
      <w:r w:rsidRPr="004930E0">
        <w:t xml:space="preserve"> </w:t>
      </w:r>
      <w:r w:rsidR="000945FD" w:rsidRPr="004930E0">
        <w:t xml:space="preserve">François </w:t>
      </w:r>
      <w:proofErr w:type="spellStart"/>
      <w:r w:rsidR="000945FD" w:rsidRPr="004930E0">
        <w:t>Moog</w:t>
      </w:r>
      <w:proofErr w:type="spellEnd"/>
      <w:r w:rsidR="00D84D1A" w:rsidRPr="004930E0">
        <w:t xml:space="preserve"> et Félix Moser </w:t>
      </w:r>
      <w:r w:rsidR="00EE5EF2" w:rsidRPr="004930E0">
        <w:t>pour</w:t>
      </w:r>
      <w:r w:rsidR="00D84D1A" w:rsidRPr="004930E0">
        <w:t xml:space="preserve"> leurs</w:t>
      </w:r>
      <w:r w:rsidR="000945FD" w:rsidRPr="004930E0">
        <w:t xml:space="preserve"> précieux commentaires sur ce texte</w:t>
      </w:r>
      <w:r w:rsidR="00D84D1A" w:rsidRPr="004930E0">
        <w:t>.</w:t>
      </w:r>
    </w:p>
  </w:footnote>
  <w:footnote w:id="6">
    <w:p w:rsidR="00E4320D" w:rsidRPr="004930E0" w:rsidRDefault="00E4320D" w:rsidP="004930E0">
      <w:pPr>
        <w:pStyle w:val="Notedebasdepage"/>
      </w:pPr>
      <w:r w:rsidRPr="004930E0">
        <w:rPr>
          <w:rStyle w:val="Appelnotedebasdep"/>
        </w:rPr>
        <w:footnoteRef/>
      </w:r>
      <w:r w:rsidRPr="004930E0">
        <w:t xml:space="preserve"> Dans la suite des travaux du Groupe de Santiago en 2014: </w:t>
      </w:r>
      <w:proofErr w:type="spellStart"/>
      <w:r w:rsidRPr="004930E0">
        <w:t>Marcela</w:t>
      </w:r>
      <w:proofErr w:type="spellEnd"/>
      <w:r w:rsidRPr="004930E0">
        <w:t xml:space="preserve"> </w:t>
      </w:r>
      <w:r w:rsidRPr="004930E0">
        <w:rPr>
          <w:smallCaps/>
        </w:rPr>
        <w:t>Mazzini</w:t>
      </w:r>
      <w:r w:rsidRPr="004930E0">
        <w:t xml:space="preserve">, François </w:t>
      </w:r>
      <w:proofErr w:type="spellStart"/>
      <w:r w:rsidRPr="004930E0">
        <w:rPr>
          <w:smallCaps/>
        </w:rPr>
        <w:t>Moog</w:t>
      </w:r>
      <w:proofErr w:type="spellEnd"/>
      <w:r w:rsidRPr="004930E0">
        <w:t xml:space="preserve"> (</w:t>
      </w:r>
      <w:proofErr w:type="spellStart"/>
      <w:r w:rsidRPr="004930E0">
        <w:t>dir</w:t>
      </w:r>
      <w:proofErr w:type="spellEnd"/>
      <w:r w:rsidRPr="004930E0">
        <w:t xml:space="preserve">.), </w:t>
      </w:r>
      <w:r w:rsidRPr="004930E0">
        <w:rPr>
          <w:i/>
        </w:rPr>
        <w:t>Groupe de Santiago – Recherches en théologie des pratiques pastorales I</w:t>
      </w:r>
      <w:r w:rsidRPr="004930E0">
        <w:t xml:space="preserve">, Louvain-la-Neuve-Québec-Paris, Cahiers Internationaux de Théologie Pratique, série Actes n° 8, en ligne : www.pastoralis.org, mars 2016.  </w:t>
      </w:r>
    </w:p>
  </w:footnote>
  <w:footnote w:id="7">
    <w:p w:rsidR="00D84D1A" w:rsidRPr="004930E0" w:rsidRDefault="00D84D1A" w:rsidP="004930E0">
      <w:pPr>
        <w:pStyle w:val="Notedebasdepage"/>
      </w:pPr>
      <w:r w:rsidRPr="004930E0">
        <w:rPr>
          <w:rStyle w:val="Appelnotedebasdep"/>
        </w:rPr>
        <w:footnoteRef/>
      </w:r>
      <w:r w:rsidRPr="004930E0">
        <w:t xml:space="preserve"> Au plus bref, l’épistémologie peut être définie comme ‟le nom de la discipline qui étudie la façon dont on connaît”. Gérard </w:t>
      </w:r>
      <w:proofErr w:type="spellStart"/>
      <w:r w:rsidRPr="004930E0">
        <w:rPr>
          <w:smallCaps/>
        </w:rPr>
        <w:t>Fourez</w:t>
      </w:r>
      <w:proofErr w:type="spellEnd"/>
      <w:r w:rsidRPr="004930E0">
        <w:t xml:space="preserve">, avec la coll. de Marie </w:t>
      </w:r>
      <w:proofErr w:type="spellStart"/>
      <w:r w:rsidRPr="004930E0">
        <w:rPr>
          <w:smallCaps/>
        </w:rPr>
        <w:t>Larochelle</w:t>
      </w:r>
      <w:proofErr w:type="spellEnd"/>
      <w:r w:rsidRPr="004930E0">
        <w:t xml:space="preserve">, ‟Avant-propos. L'épistémologie, qu'est-ce ?”, dans </w:t>
      </w:r>
      <w:r w:rsidRPr="004930E0">
        <w:rPr>
          <w:smallCaps/>
        </w:rPr>
        <w:t>Id</w:t>
      </w:r>
      <w:r w:rsidRPr="004930E0">
        <w:t xml:space="preserve">., </w:t>
      </w:r>
      <w:r w:rsidRPr="004930E0">
        <w:rPr>
          <w:i/>
        </w:rPr>
        <w:t>Apprivoiser l’épistémologie</w:t>
      </w:r>
      <w:r w:rsidRPr="004930E0">
        <w:t xml:space="preserve"> (Démarches de pensée), Bruxelles, De Boeck, 2004, 2</w:t>
      </w:r>
      <w:r w:rsidRPr="004930E0">
        <w:rPr>
          <w:vertAlign w:val="superscript"/>
        </w:rPr>
        <w:t>e</w:t>
      </w:r>
      <w:r w:rsidRPr="004930E0">
        <w:t xml:space="preserve"> éd., p. 9-22, ici p. 9. </w:t>
      </w:r>
    </w:p>
  </w:footnote>
  <w:footnote w:id="8">
    <w:p w:rsidR="00E4320D" w:rsidRPr="004930E0" w:rsidRDefault="00E4320D" w:rsidP="004930E0">
      <w:pPr>
        <w:pStyle w:val="Notedebasdepage"/>
      </w:pPr>
      <w:r w:rsidRPr="004930E0">
        <w:rPr>
          <w:rStyle w:val="Appelnotedebasdep"/>
        </w:rPr>
        <w:footnoteRef/>
      </w:r>
      <w:r w:rsidRPr="004930E0">
        <w:t xml:space="preserve"> J’ai développé plusieurs des éléments mentionnés ici dans </w:t>
      </w:r>
      <w:r w:rsidRPr="004930E0">
        <w:rPr>
          <w:i/>
        </w:rPr>
        <w:t>Entrer en théologie pratique</w:t>
      </w:r>
      <w:r w:rsidRPr="004930E0">
        <w:t xml:space="preserve">, Louvain-la-Neuve, Presses Universitaires de Louvain, </w:t>
      </w:r>
      <w:r w:rsidR="000B1604" w:rsidRPr="004930E0">
        <w:t>2019</w:t>
      </w:r>
      <w:r w:rsidR="00E55C19" w:rsidRPr="004930E0">
        <w:t>,</w:t>
      </w:r>
      <w:r w:rsidR="000B1604" w:rsidRPr="004930E0">
        <w:t xml:space="preserve"> </w:t>
      </w:r>
      <w:r w:rsidR="00E55C19" w:rsidRPr="004930E0">
        <w:t>2</w:t>
      </w:r>
      <w:r w:rsidR="00E55C19" w:rsidRPr="004930E0">
        <w:rPr>
          <w:vertAlign w:val="superscript"/>
        </w:rPr>
        <w:t>e</w:t>
      </w:r>
      <w:r w:rsidR="00E55C19" w:rsidRPr="004930E0">
        <w:t xml:space="preserve"> éd. </w:t>
      </w:r>
      <w:proofErr w:type="gramStart"/>
      <w:r w:rsidR="00E55C19" w:rsidRPr="004930E0">
        <w:t>révisée</w:t>
      </w:r>
      <w:proofErr w:type="gramEnd"/>
      <w:r w:rsidR="00E55C19" w:rsidRPr="004930E0">
        <w:t xml:space="preserve"> </w:t>
      </w:r>
      <w:r w:rsidR="000B1604" w:rsidRPr="004930E0">
        <w:t>[2018]</w:t>
      </w:r>
      <w:r w:rsidRPr="004930E0">
        <w:t>. Dans cet ouvrage, j’abordais très peu la question de l’épistémologie.</w:t>
      </w:r>
    </w:p>
  </w:footnote>
  <w:footnote w:id="9">
    <w:p w:rsidR="00E4320D" w:rsidRPr="004930E0" w:rsidRDefault="00E4320D" w:rsidP="004930E0">
      <w:pPr>
        <w:pStyle w:val="Notedebasdepage"/>
      </w:pPr>
      <w:r w:rsidRPr="004930E0">
        <w:rPr>
          <w:rStyle w:val="Appelnotedebasdep"/>
        </w:rPr>
        <w:footnoteRef/>
      </w:r>
      <w:r w:rsidRPr="004930E0">
        <w:t xml:space="preserve"> </w:t>
      </w:r>
      <w:r w:rsidR="00690E89" w:rsidRPr="004930E0">
        <w:t xml:space="preserve">Pour le milieu mettant en œuvre ces trois moments, voir par exemple </w:t>
      </w:r>
      <w:r w:rsidRPr="004930E0">
        <w:t xml:space="preserve">Aurélien </w:t>
      </w:r>
      <w:proofErr w:type="spellStart"/>
      <w:r w:rsidRPr="004930E0">
        <w:rPr>
          <w:smallCaps/>
        </w:rPr>
        <w:t>Zaragori</w:t>
      </w:r>
      <w:proofErr w:type="spellEnd"/>
      <w:r w:rsidRPr="004930E0">
        <w:t xml:space="preserve">, ‟Voir, juger, agir. Les mouvements de jeunesse d’Action catholique spécialisée et l’Organisation Internationale du Travail”, </w:t>
      </w:r>
      <w:r w:rsidRPr="004930E0">
        <w:rPr>
          <w:i/>
        </w:rPr>
        <w:t xml:space="preserve">Revue d’Histoire Ecclésiastique </w:t>
      </w:r>
      <w:r w:rsidRPr="004930E0">
        <w:t>110, 2015, p. 188-214.</w:t>
      </w:r>
    </w:p>
  </w:footnote>
  <w:footnote w:id="10">
    <w:p w:rsidR="00E4320D" w:rsidRPr="004930E0" w:rsidRDefault="00E4320D" w:rsidP="004930E0">
      <w:pPr>
        <w:pStyle w:val="Notedebasdepage"/>
      </w:pPr>
      <w:r w:rsidRPr="004930E0">
        <w:rPr>
          <w:rStyle w:val="Appelnotedebasdep"/>
        </w:rPr>
        <w:footnoteRef/>
      </w:r>
      <w:r w:rsidRPr="004930E0">
        <w:t xml:space="preserve"> La bibliographie de recherche est étonnement réduite, voir Robert </w:t>
      </w:r>
      <w:proofErr w:type="spellStart"/>
      <w:r w:rsidRPr="004930E0">
        <w:rPr>
          <w:smallCaps/>
        </w:rPr>
        <w:t>Guelluy</w:t>
      </w:r>
      <w:proofErr w:type="spellEnd"/>
      <w:r w:rsidRPr="004930E0">
        <w:t xml:space="preserve">, ‟Les exigences méthodologiques d’une théologie des signes des temps”, </w:t>
      </w:r>
      <w:r w:rsidRPr="004930E0">
        <w:rPr>
          <w:i/>
        </w:rPr>
        <w:t xml:space="preserve">Revue théologique de Louvain </w:t>
      </w:r>
      <w:r w:rsidRPr="004930E0">
        <w:t xml:space="preserve">12, 1981, p. 415-428 ; Michel </w:t>
      </w:r>
      <w:r w:rsidRPr="004930E0">
        <w:rPr>
          <w:smallCaps/>
        </w:rPr>
        <w:t>Beaudin</w:t>
      </w:r>
      <w:r w:rsidRPr="004930E0">
        <w:t xml:space="preserve">, ‟Les mouvements d’action catholique comme pratique et théologie critiques”, </w:t>
      </w:r>
      <w:r w:rsidRPr="004930E0">
        <w:rPr>
          <w:i/>
        </w:rPr>
        <w:t xml:space="preserve">Laval théologique et philosophique </w:t>
      </w:r>
      <w:r w:rsidRPr="004930E0">
        <w:t xml:space="preserve">52, 1996, p. 67-84 ; </w:t>
      </w:r>
      <w:proofErr w:type="spellStart"/>
      <w:r w:rsidRPr="004930E0">
        <w:t>Marcela</w:t>
      </w:r>
      <w:proofErr w:type="spellEnd"/>
      <w:r w:rsidRPr="004930E0">
        <w:t xml:space="preserve"> </w:t>
      </w:r>
      <w:proofErr w:type="spellStart"/>
      <w:r w:rsidRPr="004930E0">
        <w:rPr>
          <w:smallCaps/>
        </w:rPr>
        <w:t>Sepúlveda</w:t>
      </w:r>
      <w:proofErr w:type="spellEnd"/>
      <w:r w:rsidRPr="004930E0">
        <w:t>, ‟</w:t>
      </w:r>
      <w:proofErr w:type="spellStart"/>
      <w:r w:rsidRPr="004930E0">
        <w:t>Reivindicación</w:t>
      </w:r>
      <w:proofErr w:type="spellEnd"/>
      <w:r w:rsidRPr="004930E0">
        <w:t xml:space="preserve"> </w:t>
      </w:r>
      <w:proofErr w:type="spellStart"/>
      <w:r w:rsidRPr="004930E0">
        <w:t>del</w:t>
      </w:r>
      <w:proofErr w:type="spellEnd"/>
      <w:r w:rsidRPr="004930E0">
        <w:t xml:space="preserve"> </w:t>
      </w:r>
      <w:proofErr w:type="spellStart"/>
      <w:r w:rsidRPr="004930E0">
        <w:t>método</w:t>
      </w:r>
      <w:proofErr w:type="spellEnd"/>
      <w:r w:rsidRPr="004930E0">
        <w:t xml:space="preserve"> Ver </w:t>
      </w:r>
      <w:r w:rsidR="00EE5EF2" w:rsidRPr="004930E0">
        <w:t>–</w:t>
      </w:r>
      <w:r w:rsidRPr="004930E0">
        <w:t xml:space="preserve"> </w:t>
      </w:r>
      <w:proofErr w:type="spellStart"/>
      <w:r w:rsidRPr="004930E0">
        <w:t>Juzgar</w:t>
      </w:r>
      <w:proofErr w:type="spellEnd"/>
      <w:r w:rsidR="00EE5EF2" w:rsidRPr="004930E0">
        <w:t xml:space="preserve"> </w:t>
      </w:r>
      <w:r w:rsidRPr="004930E0">
        <w:t xml:space="preserve">– </w:t>
      </w:r>
      <w:proofErr w:type="spellStart"/>
      <w:r w:rsidRPr="004930E0">
        <w:t>Actuar</w:t>
      </w:r>
      <w:proofErr w:type="spellEnd"/>
      <w:r w:rsidRPr="004930E0">
        <w:t xml:space="preserve">”, dans </w:t>
      </w:r>
      <w:r w:rsidRPr="004930E0">
        <w:rPr>
          <w:i/>
        </w:rPr>
        <w:t>Groupe de Santiago. Recherches I</w:t>
      </w:r>
      <w:r w:rsidRPr="004930E0">
        <w:t>, p. 205-212.</w:t>
      </w:r>
    </w:p>
  </w:footnote>
  <w:footnote w:id="11">
    <w:p w:rsidR="00E4320D" w:rsidRPr="004930E0" w:rsidRDefault="00E4320D" w:rsidP="004930E0">
      <w:pPr>
        <w:pStyle w:val="Notedebasdepage"/>
      </w:pPr>
      <w:r w:rsidRPr="004930E0">
        <w:rPr>
          <w:rStyle w:val="Appelnotedebasdep"/>
        </w:rPr>
        <w:footnoteRef/>
      </w:r>
      <w:r w:rsidRPr="004930E0">
        <w:t xml:space="preserve"> Aussi au Canada avec l’Institut de pastorale des Dominicains à Montréal et en Suisse avec l’École de la Foi à Fribourg.</w:t>
      </w:r>
    </w:p>
  </w:footnote>
  <w:footnote w:id="12">
    <w:p w:rsidR="00E4320D" w:rsidRPr="004930E0" w:rsidRDefault="00E4320D" w:rsidP="004930E0">
      <w:pPr>
        <w:pStyle w:val="Notedebasdepage"/>
      </w:pPr>
      <w:r w:rsidRPr="004930E0">
        <w:rPr>
          <w:rStyle w:val="Appelnotedebasdep"/>
        </w:rPr>
        <w:footnoteRef/>
      </w:r>
      <w:r w:rsidRPr="004930E0">
        <w:t xml:space="preserve"> </w:t>
      </w:r>
      <w:r w:rsidR="00077A16" w:rsidRPr="004930E0">
        <w:t>V</w:t>
      </w:r>
      <w:r w:rsidRPr="004930E0">
        <w:t xml:space="preserve">oir </w:t>
      </w:r>
      <w:proofErr w:type="spellStart"/>
      <w:r w:rsidRPr="004930E0">
        <w:t>Clodovis</w:t>
      </w:r>
      <w:proofErr w:type="spellEnd"/>
      <w:r w:rsidRPr="004930E0">
        <w:t xml:space="preserve"> M. </w:t>
      </w:r>
      <w:r w:rsidRPr="004930E0">
        <w:rPr>
          <w:smallCaps/>
        </w:rPr>
        <w:t>Boff</w:t>
      </w:r>
      <w:r w:rsidRPr="004930E0">
        <w:t xml:space="preserve">, </w:t>
      </w:r>
      <w:proofErr w:type="spellStart"/>
      <w:r w:rsidRPr="004930E0">
        <w:rPr>
          <w:i/>
        </w:rPr>
        <w:t>Théorie</w:t>
      </w:r>
      <w:proofErr w:type="spellEnd"/>
      <w:r w:rsidRPr="004930E0">
        <w:rPr>
          <w:i/>
        </w:rPr>
        <w:t xml:space="preserve"> et pratique : la </w:t>
      </w:r>
      <w:proofErr w:type="spellStart"/>
      <w:r w:rsidRPr="004930E0">
        <w:rPr>
          <w:i/>
        </w:rPr>
        <w:t>méthode</w:t>
      </w:r>
      <w:proofErr w:type="spellEnd"/>
      <w:r w:rsidRPr="004930E0">
        <w:rPr>
          <w:i/>
        </w:rPr>
        <w:t xml:space="preserve"> des </w:t>
      </w:r>
      <w:proofErr w:type="spellStart"/>
      <w:r w:rsidRPr="004930E0">
        <w:rPr>
          <w:i/>
        </w:rPr>
        <w:t>théologies</w:t>
      </w:r>
      <w:proofErr w:type="spellEnd"/>
      <w:r w:rsidRPr="004930E0">
        <w:rPr>
          <w:i/>
        </w:rPr>
        <w:t xml:space="preserve"> de la </w:t>
      </w:r>
      <w:proofErr w:type="spellStart"/>
      <w:r w:rsidRPr="004930E0">
        <w:rPr>
          <w:i/>
        </w:rPr>
        <w:t>libération</w:t>
      </w:r>
      <w:proofErr w:type="spellEnd"/>
      <w:r w:rsidRPr="004930E0">
        <w:t xml:space="preserve"> (</w:t>
      </w:r>
      <w:proofErr w:type="spellStart"/>
      <w:r w:rsidRPr="004930E0">
        <w:t>Cogitatio</w:t>
      </w:r>
      <w:proofErr w:type="spellEnd"/>
      <w:r w:rsidRPr="004930E0">
        <w:t xml:space="preserve"> </w:t>
      </w:r>
      <w:proofErr w:type="spellStart"/>
      <w:r w:rsidRPr="004930E0">
        <w:t>fidei</w:t>
      </w:r>
      <w:proofErr w:type="spellEnd"/>
      <w:r w:rsidRPr="004930E0">
        <w:t xml:space="preserve"> 157), Paris, Cerf, 1990, texte </w:t>
      </w:r>
      <w:proofErr w:type="spellStart"/>
      <w:r w:rsidRPr="004930E0">
        <w:t>révise</w:t>
      </w:r>
      <w:proofErr w:type="spellEnd"/>
      <w:r w:rsidRPr="004930E0">
        <w:t xml:space="preserve">́ par </w:t>
      </w:r>
      <w:proofErr w:type="spellStart"/>
      <w:r w:rsidRPr="004930E0">
        <w:t>Noël</w:t>
      </w:r>
      <w:proofErr w:type="spellEnd"/>
      <w:r w:rsidRPr="004930E0">
        <w:t xml:space="preserve"> M. </w:t>
      </w:r>
      <w:proofErr w:type="spellStart"/>
      <w:r w:rsidRPr="004930E0">
        <w:rPr>
          <w:smallCaps/>
        </w:rPr>
        <w:t>Rath</w:t>
      </w:r>
      <w:proofErr w:type="spellEnd"/>
      <w:r w:rsidR="00077A16" w:rsidRPr="004930E0">
        <w:t xml:space="preserve"> [édition remaniée de sa thèse de doctorat]</w:t>
      </w:r>
      <w:r w:rsidRPr="004930E0">
        <w:t>. Pour le CELAM, la méthode est particulièrement présente à Medellin et à Puebla.</w:t>
      </w:r>
      <w:r w:rsidR="000E40A3" w:rsidRPr="004930E0">
        <w:t xml:space="preserve"> Voir Jacques </w:t>
      </w:r>
      <w:proofErr w:type="spellStart"/>
      <w:r w:rsidR="000E40A3" w:rsidRPr="004930E0">
        <w:rPr>
          <w:smallCaps/>
        </w:rPr>
        <w:t>Haers</w:t>
      </w:r>
      <w:proofErr w:type="spellEnd"/>
      <w:r w:rsidR="000E40A3" w:rsidRPr="004930E0">
        <w:t xml:space="preserve">, “Les conditions d’émergence de nouvelles théologies pratiques. La perspective des théologies de la libération”, dans Jean-Yves </w:t>
      </w:r>
      <w:proofErr w:type="spellStart"/>
      <w:r w:rsidR="000E40A3" w:rsidRPr="004930E0">
        <w:rPr>
          <w:smallCaps/>
        </w:rPr>
        <w:t>Baziou</w:t>
      </w:r>
      <w:proofErr w:type="spellEnd"/>
      <w:r w:rsidR="000E40A3" w:rsidRPr="004930E0">
        <w:t xml:space="preserve">, Marie-Hélène </w:t>
      </w:r>
      <w:proofErr w:type="spellStart"/>
      <w:r w:rsidR="000E40A3" w:rsidRPr="004930E0">
        <w:rPr>
          <w:smallCaps/>
        </w:rPr>
        <w:t>Lavianne</w:t>
      </w:r>
      <w:proofErr w:type="spellEnd"/>
      <w:r w:rsidR="000E40A3" w:rsidRPr="004930E0">
        <w:t xml:space="preserve"> (</w:t>
      </w:r>
      <w:proofErr w:type="spellStart"/>
      <w:r w:rsidR="000E40A3" w:rsidRPr="004930E0">
        <w:t>dir</w:t>
      </w:r>
      <w:proofErr w:type="spellEnd"/>
      <w:r w:rsidR="000E40A3" w:rsidRPr="004930E0">
        <w:t xml:space="preserve">.), </w:t>
      </w:r>
      <w:r w:rsidR="000E40A3" w:rsidRPr="004930E0">
        <w:rPr>
          <w:i/>
        </w:rPr>
        <w:t xml:space="preserve">Entre mémoire et action. L’émergence de théologies pratiques </w:t>
      </w:r>
      <w:r w:rsidR="000E40A3" w:rsidRPr="004930E0">
        <w:t>(Théologies pratiques), Montréal-Bruxelles, Novalis-Lumen Vitae, 2004, p. 115-132.</w:t>
      </w:r>
      <w:r w:rsidR="000B1604" w:rsidRPr="004930E0">
        <w:t xml:space="preserve"> On connait aussi les liens entre ces théologies de la libération et les recherches de Jacques </w:t>
      </w:r>
      <w:proofErr w:type="spellStart"/>
      <w:r w:rsidR="000B1604" w:rsidRPr="004930E0">
        <w:t>Audinet</w:t>
      </w:r>
      <w:proofErr w:type="spellEnd"/>
      <w:r w:rsidR="000B1604" w:rsidRPr="004930E0">
        <w:t xml:space="preserve"> à Paris.</w:t>
      </w:r>
    </w:p>
  </w:footnote>
  <w:footnote w:id="13">
    <w:p w:rsidR="00E4320D" w:rsidRPr="004930E0" w:rsidRDefault="00E4320D" w:rsidP="004930E0">
      <w:pPr>
        <w:pStyle w:val="Notedebasdepage"/>
      </w:pPr>
      <w:r w:rsidRPr="004930E0">
        <w:rPr>
          <w:rStyle w:val="Appelnotedebasdep"/>
        </w:rPr>
        <w:footnoteRef/>
      </w:r>
      <w:r w:rsidRPr="004930E0">
        <w:t xml:space="preserve"> </w:t>
      </w:r>
      <w:r w:rsidRPr="004930E0">
        <w:rPr>
          <w:lang w:val="fr-CH"/>
        </w:rPr>
        <w:t xml:space="preserve">Marc </w:t>
      </w:r>
      <w:r w:rsidRPr="004930E0">
        <w:rPr>
          <w:smallCaps/>
          <w:lang w:val="fr-CH"/>
        </w:rPr>
        <w:t>Dumas</w:t>
      </w:r>
      <w:r w:rsidRPr="004930E0">
        <w:rPr>
          <w:lang w:val="fr-CH"/>
        </w:rPr>
        <w:t xml:space="preserve">, ‟Corrélation – Tillich et </w:t>
      </w:r>
      <w:r w:rsidRPr="004930E0">
        <w:rPr>
          <w:spacing w:val="2"/>
          <w:lang w:val="fr-CH"/>
        </w:rPr>
        <w:t>Schillebeeckx”, dans</w:t>
      </w:r>
      <w:r w:rsidRPr="004930E0">
        <w:rPr>
          <w:i/>
          <w:lang w:val="fr-CH"/>
        </w:rPr>
        <w:t xml:space="preserve"> </w:t>
      </w:r>
      <w:r w:rsidRPr="004930E0">
        <w:rPr>
          <w:lang w:val="fr-CH"/>
        </w:rPr>
        <w:t xml:space="preserve">Gilles </w:t>
      </w:r>
      <w:proofErr w:type="spellStart"/>
      <w:r w:rsidRPr="004930E0">
        <w:rPr>
          <w:smallCaps/>
          <w:lang w:val="fr-CH"/>
        </w:rPr>
        <w:t>Routhier</w:t>
      </w:r>
      <w:proofErr w:type="spellEnd"/>
      <w:r w:rsidRPr="004930E0">
        <w:rPr>
          <w:lang w:val="fr-CH"/>
        </w:rPr>
        <w:t xml:space="preserve">, Marcel </w:t>
      </w:r>
      <w:r w:rsidRPr="004930E0">
        <w:rPr>
          <w:smallCaps/>
          <w:lang w:val="fr-CH"/>
        </w:rPr>
        <w:t>Viau</w:t>
      </w:r>
      <w:r w:rsidRPr="004930E0">
        <w:rPr>
          <w:lang w:val="fr-CH"/>
        </w:rPr>
        <w:t xml:space="preserve"> (</w:t>
      </w:r>
      <w:proofErr w:type="spellStart"/>
      <w:r w:rsidRPr="004930E0">
        <w:rPr>
          <w:lang w:val="fr-CH"/>
        </w:rPr>
        <w:t>dir</w:t>
      </w:r>
      <w:proofErr w:type="spellEnd"/>
      <w:r w:rsidRPr="004930E0">
        <w:rPr>
          <w:lang w:val="fr-CH"/>
        </w:rPr>
        <w:t xml:space="preserve">.), </w:t>
      </w:r>
      <w:r w:rsidRPr="004930E0">
        <w:rPr>
          <w:i/>
          <w:lang w:val="fr-CH"/>
        </w:rPr>
        <w:t xml:space="preserve">Précis de théologie pratique </w:t>
      </w:r>
      <w:r w:rsidRPr="004930E0">
        <w:rPr>
          <w:lang w:val="fr-CH"/>
        </w:rPr>
        <w:t xml:space="preserve">(Théologies pratiques), Montréal-Bruxelles-Paris, Novalis-Lumen </w:t>
      </w:r>
      <w:proofErr w:type="spellStart"/>
      <w:r w:rsidRPr="004930E0">
        <w:rPr>
          <w:lang w:val="fr-CH"/>
        </w:rPr>
        <w:t>Vitae-L’Atelier</w:t>
      </w:r>
      <w:proofErr w:type="spellEnd"/>
      <w:r w:rsidRPr="004930E0">
        <w:rPr>
          <w:lang w:val="fr-CH"/>
        </w:rPr>
        <w:t>, 2007, 2</w:t>
      </w:r>
      <w:r w:rsidRPr="004930E0">
        <w:rPr>
          <w:vertAlign w:val="superscript"/>
          <w:lang w:val="fr-CH"/>
        </w:rPr>
        <w:t>e</w:t>
      </w:r>
      <w:r w:rsidRPr="004930E0">
        <w:rPr>
          <w:lang w:val="fr-CH"/>
        </w:rPr>
        <w:t xml:space="preserve"> éd. </w:t>
      </w:r>
      <w:proofErr w:type="spellStart"/>
      <w:proofErr w:type="gramStart"/>
      <w:r w:rsidRPr="004930E0">
        <w:rPr>
          <w:lang w:val="fr-CH"/>
        </w:rPr>
        <w:t>augm</w:t>
      </w:r>
      <w:proofErr w:type="spellEnd"/>
      <w:proofErr w:type="gramEnd"/>
      <w:r w:rsidRPr="004930E0">
        <w:rPr>
          <w:lang w:val="fr-CH"/>
        </w:rPr>
        <w:t>., p.</w:t>
      </w:r>
      <w:r w:rsidRPr="004930E0">
        <w:rPr>
          <w:i/>
          <w:lang w:val="fr-CH"/>
        </w:rPr>
        <w:t xml:space="preserve"> </w:t>
      </w:r>
      <w:r w:rsidRPr="004930E0">
        <w:rPr>
          <w:lang w:val="fr-CH"/>
        </w:rPr>
        <w:t>71-83.</w:t>
      </w:r>
    </w:p>
  </w:footnote>
  <w:footnote w:id="14">
    <w:p w:rsidR="00E4320D" w:rsidRPr="004930E0" w:rsidRDefault="00E4320D" w:rsidP="004930E0">
      <w:pPr>
        <w:pStyle w:val="Notedebasdepage"/>
      </w:pPr>
      <w:r w:rsidRPr="004930E0">
        <w:rPr>
          <w:rStyle w:val="Appelnotedebasdep"/>
        </w:rPr>
        <w:footnoteRef/>
      </w:r>
      <w:r w:rsidRPr="004930E0">
        <w:t xml:space="preserve"> </w:t>
      </w:r>
      <w:r w:rsidRPr="004930E0">
        <w:rPr>
          <w:lang w:val="fr-CH"/>
        </w:rPr>
        <w:t xml:space="preserve">Edward </w:t>
      </w:r>
      <w:r w:rsidRPr="004930E0">
        <w:rPr>
          <w:smallCaps/>
          <w:lang w:val="fr-CH"/>
        </w:rPr>
        <w:t>Schillebeeckx</w:t>
      </w:r>
      <w:r w:rsidRPr="004930E0">
        <w:rPr>
          <w:lang w:val="fr-CH"/>
        </w:rPr>
        <w:t xml:space="preserve">, </w:t>
      </w:r>
      <w:r w:rsidRPr="004930E0">
        <w:rPr>
          <w:i/>
          <w:lang w:val="fr-CH"/>
        </w:rPr>
        <w:t>Expérience humaine et foi en Jésus-Christ</w:t>
      </w:r>
      <w:r w:rsidRPr="004930E0">
        <w:rPr>
          <w:lang w:val="fr-CH"/>
        </w:rPr>
        <w:t>, Paris, Cerf, 2012 (1981).</w:t>
      </w:r>
      <w:r w:rsidR="00077A16" w:rsidRPr="004930E0">
        <w:rPr>
          <w:lang w:val="fr-CH"/>
        </w:rPr>
        <w:t xml:space="preserve"> Ce livre est une “présentation originale et approuvée par l’auteur” (p. 14) d’éléments repris de publications des années 1970.</w:t>
      </w:r>
    </w:p>
  </w:footnote>
  <w:footnote w:id="15">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r w:rsidRPr="004930E0">
        <w:rPr>
          <w:smallCaps/>
          <w:lang w:val="en-US"/>
        </w:rPr>
        <w:t>Dumas</w:t>
      </w:r>
      <w:r w:rsidRPr="004930E0">
        <w:rPr>
          <w:lang w:val="en-US"/>
        </w:rPr>
        <w:t>, ‟</w:t>
      </w:r>
      <w:proofErr w:type="spellStart"/>
      <w:r w:rsidRPr="004930E0">
        <w:rPr>
          <w:lang w:val="en-US"/>
        </w:rPr>
        <w:t>Corrélation</w:t>
      </w:r>
      <w:proofErr w:type="spellEnd"/>
      <w:r w:rsidRPr="004930E0">
        <w:rPr>
          <w:lang w:val="en-US"/>
        </w:rPr>
        <w:t xml:space="preserve"> – Tillich et </w:t>
      </w:r>
      <w:r w:rsidRPr="004930E0">
        <w:rPr>
          <w:spacing w:val="2"/>
          <w:lang w:val="en-US"/>
        </w:rPr>
        <w:t>Schillebeeckx”</w:t>
      </w:r>
      <w:r w:rsidRPr="004930E0">
        <w:rPr>
          <w:lang w:val="en-US"/>
        </w:rPr>
        <w:t>.</w:t>
      </w:r>
    </w:p>
  </w:footnote>
  <w:footnote w:id="16">
    <w:p w:rsidR="00E4320D" w:rsidRPr="004930E0" w:rsidRDefault="00E4320D" w:rsidP="004930E0">
      <w:pPr>
        <w:pStyle w:val="Notedebasdepage"/>
      </w:pPr>
      <w:r w:rsidRPr="004930E0">
        <w:rPr>
          <w:rStyle w:val="Appelnotedebasdep"/>
        </w:rPr>
        <w:footnoteRef/>
      </w:r>
      <w:r w:rsidRPr="004930E0">
        <w:t xml:space="preserve"> ‟Il n’y a pas de foi critique sans mise en œuvre d’une ‘opération herméneutique’ qui part d’une analyse critique de notre monde d’expérience aujourd’hui, qui cherche à retrouver les structures constanc</w:t>
      </w:r>
      <w:r w:rsidR="004212DF">
        <w:t>es de l’expérience fondamentale</w:t>
      </w:r>
      <w:r w:rsidRPr="004930E0">
        <w:t xml:space="preserve"> dont témoignent le Nouveau Testament et la tradition chrétienne et qui, enfin, établit une ‘corrélation critique’ entre la tradition de l’expérience chrétienne et nos expériences aujourd’hui.” Claude </w:t>
      </w:r>
      <w:proofErr w:type="spellStart"/>
      <w:r w:rsidRPr="004930E0">
        <w:rPr>
          <w:smallCaps/>
        </w:rPr>
        <w:t>Geffré</w:t>
      </w:r>
      <w:proofErr w:type="spellEnd"/>
      <w:r w:rsidRPr="004930E0">
        <w:t xml:space="preserve">, </w:t>
      </w:r>
      <w:r w:rsidRPr="004930E0">
        <w:rPr>
          <w:i/>
        </w:rPr>
        <w:t xml:space="preserve">Le christianisme au risque de l’interprétation </w:t>
      </w:r>
      <w:r w:rsidRPr="004930E0">
        <w:t>(</w:t>
      </w:r>
      <w:proofErr w:type="spellStart"/>
      <w:r w:rsidRPr="004930E0">
        <w:t>Cogitatio</w:t>
      </w:r>
      <w:proofErr w:type="spellEnd"/>
      <w:r w:rsidRPr="004930E0">
        <w:t xml:space="preserve"> </w:t>
      </w:r>
      <w:proofErr w:type="spellStart"/>
      <w:r w:rsidRPr="004930E0">
        <w:t>fidei</w:t>
      </w:r>
      <w:proofErr w:type="spellEnd"/>
      <w:r w:rsidRPr="004930E0">
        <w:t xml:space="preserve"> 120), Paris, Cerf, 1983, p. 217-218.</w:t>
      </w:r>
    </w:p>
  </w:footnote>
  <w:footnote w:id="17">
    <w:p w:rsidR="00AA6CB3" w:rsidRPr="004930E0" w:rsidRDefault="00AA6CB3" w:rsidP="004930E0">
      <w:pPr>
        <w:pStyle w:val="Notedebasdepage"/>
      </w:pPr>
      <w:r w:rsidRPr="004930E0">
        <w:rPr>
          <w:rStyle w:val="Appelnotedebasdep"/>
        </w:rPr>
        <w:footnoteRef/>
      </w:r>
      <w:r w:rsidRPr="004930E0">
        <w:t xml:space="preserve"> Par exemple par Jean-François </w:t>
      </w:r>
      <w:r w:rsidRPr="004930E0">
        <w:rPr>
          <w:smallCaps/>
        </w:rPr>
        <w:t>Zorn</w:t>
      </w:r>
      <w:r w:rsidRPr="004930E0">
        <w:t xml:space="preserve">, “En quoi la théologie peut-elle être pratique ?”, dans </w:t>
      </w:r>
      <w:r w:rsidRPr="004930E0">
        <w:rPr>
          <w:i/>
        </w:rPr>
        <w:t>Entre mémoire et action</w:t>
      </w:r>
      <w:r w:rsidR="000E40A3" w:rsidRPr="004930E0">
        <w:t>,</w:t>
      </w:r>
      <w:r w:rsidRPr="004930E0">
        <w:rPr>
          <w:i/>
        </w:rPr>
        <w:t xml:space="preserve"> </w:t>
      </w:r>
      <w:r w:rsidRPr="004930E0">
        <w:t>p. 17-</w:t>
      </w:r>
      <w:r w:rsidR="000E40A3" w:rsidRPr="004930E0">
        <w:t>32, ici p. 29-32.</w:t>
      </w:r>
    </w:p>
  </w:footnote>
  <w:footnote w:id="18">
    <w:p w:rsidR="00E4320D" w:rsidRPr="004930E0" w:rsidRDefault="00E4320D" w:rsidP="004930E0">
      <w:pPr>
        <w:spacing w:line="240" w:lineRule="auto"/>
        <w:rPr>
          <w:sz w:val="20"/>
          <w:szCs w:val="20"/>
          <w:lang w:val="fr-CH"/>
        </w:rPr>
      </w:pPr>
      <w:r w:rsidRPr="004930E0">
        <w:rPr>
          <w:rStyle w:val="Appelnotedebasdep"/>
          <w:sz w:val="20"/>
          <w:szCs w:val="20"/>
        </w:rPr>
        <w:footnoteRef/>
      </w:r>
      <w:r w:rsidRPr="004930E0">
        <w:rPr>
          <w:sz w:val="20"/>
          <w:szCs w:val="20"/>
        </w:rPr>
        <w:t xml:space="preserve"> </w:t>
      </w:r>
      <w:r w:rsidRPr="004930E0">
        <w:rPr>
          <w:sz w:val="20"/>
          <w:szCs w:val="20"/>
          <w:lang w:val="fr-CH"/>
        </w:rPr>
        <w:t xml:space="preserve">Marc </w:t>
      </w:r>
      <w:r w:rsidRPr="004930E0">
        <w:rPr>
          <w:smallCaps/>
          <w:sz w:val="20"/>
          <w:szCs w:val="20"/>
          <w:lang w:val="fr-CH"/>
        </w:rPr>
        <w:t>Donzé</w:t>
      </w:r>
      <w:r w:rsidRPr="004930E0">
        <w:rPr>
          <w:sz w:val="20"/>
          <w:szCs w:val="20"/>
          <w:lang w:val="fr-CH"/>
        </w:rPr>
        <w:t xml:space="preserve">, ‟La théologie pratique entre corrélation et prophétie”, dans Pierre </w:t>
      </w:r>
      <w:r w:rsidRPr="004930E0">
        <w:rPr>
          <w:smallCaps/>
          <w:sz w:val="20"/>
          <w:szCs w:val="20"/>
          <w:lang w:val="fr-CH"/>
        </w:rPr>
        <w:t>Gisel</w:t>
      </w:r>
      <w:r w:rsidRPr="004930E0">
        <w:rPr>
          <w:sz w:val="20"/>
          <w:szCs w:val="20"/>
          <w:lang w:val="fr-CH"/>
        </w:rPr>
        <w:t xml:space="preserve"> (</w:t>
      </w:r>
      <w:proofErr w:type="spellStart"/>
      <w:r w:rsidRPr="004930E0">
        <w:rPr>
          <w:sz w:val="20"/>
          <w:szCs w:val="20"/>
          <w:lang w:val="fr-CH"/>
        </w:rPr>
        <w:t>dir</w:t>
      </w:r>
      <w:proofErr w:type="spellEnd"/>
      <w:r w:rsidRPr="004930E0">
        <w:rPr>
          <w:sz w:val="20"/>
          <w:szCs w:val="20"/>
          <w:lang w:val="fr-CH"/>
        </w:rPr>
        <w:t xml:space="preserve">.), </w:t>
      </w:r>
      <w:r w:rsidRPr="004930E0">
        <w:rPr>
          <w:i/>
          <w:sz w:val="20"/>
          <w:szCs w:val="20"/>
          <w:lang w:val="fr-CH"/>
        </w:rPr>
        <w:t xml:space="preserve">Pratique et théologie. Hommage à Claude </w:t>
      </w:r>
      <w:proofErr w:type="spellStart"/>
      <w:r w:rsidRPr="004930E0">
        <w:rPr>
          <w:i/>
          <w:sz w:val="20"/>
          <w:szCs w:val="20"/>
          <w:lang w:val="fr-CH"/>
        </w:rPr>
        <w:t>Bridel</w:t>
      </w:r>
      <w:proofErr w:type="spellEnd"/>
      <w:r w:rsidRPr="004930E0">
        <w:rPr>
          <w:sz w:val="20"/>
          <w:szCs w:val="20"/>
          <w:lang w:val="fr-CH"/>
        </w:rPr>
        <w:t xml:space="preserve"> (Pratiques 1), Genève, Labor et </w:t>
      </w:r>
      <w:proofErr w:type="spellStart"/>
      <w:r w:rsidRPr="004930E0">
        <w:rPr>
          <w:sz w:val="20"/>
          <w:szCs w:val="20"/>
          <w:lang w:val="fr-CH"/>
        </w:rPr>
        <w:t>fides</w:t>
      </w:r>
      <w:proofErr w:type="spellEnd"/>
      <w:r w:rsidRPr="004930E0">
        <w:rPr>
          <w:sz w:val="20"/>
          <w:szCs w:val="20"/>
          <w:lang w:val="fr-CH"/>
        </w:rPr>
        <w:t xml:space="preserve">, 1989, p. 183-190, ici p. 185 ; aussi du même, ‟Objectifs et tâches de la théologie pratique”, </w:t>
      </w:r>
      <w:r w:rsidRPr="004930E0">
        <w:rPr>
          <w:i/>
          <w:sz w:val="20"/>
          <w:szCs w:val="20"/>
          <w:lang w:val="fr-CH"/>
        </w:rPr>
        <w:t>Revue de Sciences Religieuses</w:t>
      </w:r>
      <w:r w:rsidRPr="004930E0">
        <w:rPr>
          <w:sz w:val="20"/>
          <w:szCs w:val="20"/>
          <w:lang w:val="fr-CH"/>
        </w:rPr>
        <w:t xml:space="preserve"> 69, 1995, p. 292-302. Voir l’analyse critique qu’en fait Joël </w:t>
      </w:r>
      <w:proofErr w:type="spellStart"/>
      <w:r w:rsidRPr="004930E0">
        <w:rPr>
          <w:smallCaps/>
          <w:sz w:val="20"/>
          <w:szCs w:val="20"/>
          <w:lang w:val="fr-CH"/>
        </w:rPr>
        <w:t>Molinario</w:t>
      </w:r>
      <w:proofErr w:type="spellEnd"/>
      <w:r w:rsidRPr="004930E0">
        <w:rPr>
          <w:sz w:val="20"/>
          <w:szCs w:val="20"/>
          <w:lang w:val="fr-CH"/>
        </w:rPr>
        <w:t xml:space="preserve">, ‟La notion de corrélation dans la théologie pratique francophone”, dans </w:t>
      </w:r>
      <w:r w:rsidRPr="004930E0">
        <w:rPr>
          <w:i/>
          <w:sz w:val="20"/>
          <w:szCs w:val="20"/>
          <w:lang w:val="fr-CH"/>
        </w:rPr>
        <w:t>Groupe de Santiago. Recherches I</w:t>
      </w:r>
      <w:r w:rsidRPr="004930E0">
        <w:rPr>
          <w:sz w:val="20"/>
          <w:szCs w:val="20"/>
          <w:lang w:val="fr-CH"/>
        </w:rPr>
        <w:t>, p. 125-140, ici 128-132.</w:t>
      </w:r>
    </w:p>
  </w:footnote>
  <w:footnote w:id="19">
    <w:p w:rsidR="00E4320D" w:rsidRPr="004930E0" w:rsidRDefault="00E4320D" w:rsidP="004930E0">
      <w:pPr>
        <w:pStyle w:val="Notedebasdepage"/>
      </w:pPr>
      <w:r w:rsidRPr="004930E0">
        <w:rPr>
          <w:rStyle w:val="Appelnotedebasdep"/>
        </w:rPr>
        <w:footnoteRef/>
      </w:r>
      <w:r w:rsidRPr="004930E0">
        <w:t xml:space="preserve"> Ainsi </w:t>
      </w:r>
      <w:r w:rsidRPr="004930E0">
        <w:rPr>
          <w:lang w:val="fr-CH"/>
        </w:rPr>
        <w:t>Laurent</w:t>
      </w:r>
      <w:r w:rsidRPr="004930E0">
        <w:rPr>
          <w:b/>
          <w:lang w:val="fr-CH"/>
        </w:rPr>
        <w:t xml:space="preserve"> </w:t>
      </w:r>
      <w:proofErr w:type="spellStart"/>
      <w:r w:rsidRPr="004930E0">
        <w:rPr>
          <w:smallCaps/>
          <w:lang w:val="fr-CH"/>
        </w:rPr>
        <w:t>Gagnebin</w:t>
      </w:r>
      <w:proofErr w:type="spellEnd"/>
      <w:r w:rsidRPr="004930E0">
        <w:rPr>
          <w:lang w:val="fr-CH"/>
        </w:rPr>
        <w:t xml:space="preserve">, ‟La norme de la Bible en théologie pratique”, dans </w:t>
      </w:r>
      <w:r w:rsidRPr="004930E0">
        <w:rPr>
          <w:i/>
          <w:lang w:val="fr-CH"/>
        </w:rPr>
        <w:t>Précis de théologie pratique</w:t>
      </w:r>
      <w:r w:rsidRPr="004930E0">
        <w:rPr>
          <w:lang w:val="fr-CH"/>
        </w:rPr>
        <w:t>, p. 191-201.</w:t>
      </w:r>
    </w:p>
  </w:footnote>
  <w:footnote w:id="20">
    <w:p w:rsidR="00E4320D" w:rsidRPr="004930E0" w:rsidRDefault="00E4320D" w:rsidP="004930E0">
      <w:pPr>
        <w:pStyle w:val="Notedebasdepage"/>
      </w:pPr>
      <w:r w:rsidRPr="004930E0">
        <w:rPr>
          <w:rStyle w:val="Appelnotedebasdep"/>
        </w:rPr>
        <w:footnoteRef/>
      </w:r>
      <w:r w:rsidRPr="004930E0">
        <w:t xml:space="preserve"> Ainsi Élisabeth </w:t>
      </w:r>
      <w:r w:rsidRPr="004930E0">
        <w:rPr>
          <w:smallCaps/>
        </w:rPr>
        <w:t>Parmentier</w:t>
      </w:r>
      <w:r w:rsidRPr="004930E0">
        <w:t xml:space="preserve">, ‟L’interprétation théologique, épreuve de la théologie pratique”, </w:t>
      </w:r>
      <w:r w:rsidRPr="004930E0">
        <w:rPr>
          <w:i/>
        </w:rPr>
        <w:t xml:space="preserve">Études théologiques et religieuses </w:t>
      </w:r>
      <w:r w:rsidRPr="004930E0">
        <w:t>93, 2018, p. 661-672.</w:t>
      </w:r>
    </w:p>
  </w:footnote>
  <w:footnote w:id="21">
    <w:p w:rsidR="00E4320D" w:rsidRPr="004930E0" w:rsidRDefault="00E4320D" w:rsidP="004930E0">
      <w:pPr>
        <w:pStyle w:val="Notedebasdepage"/>
      </w:pPr>
      <w:r w:rsidRPr="004930E0">
        <w:rPr>
          <w:rStyle w:val="Appelnotedebasdep"/>
        </w:rPr>
        <w:footnoteRef/>
      </w:r>
      <w:r w:rsidRPr="004930E0">
        <w:t xml:space="preserve"> On se reportera pour l’époque au volume collectif dirigé par Jean-Guy </w:t>
      </w:r>
      <w:r w:rsidRPr="004930E0">
        <w:rPr>
          <w:smallCaps/>
        </w:rPr>
        <w:t>Nadeau</w:t>
      </w:r>
      <w:r w:rsidRPr="004930E0">
        <w:t xml:space="preserve">, </w:t>
      </w:r>
      <w:r w:rsidRPr="004930E0">
        <w:rPr>
          <w:i/>
        </w:rPr>
        <w:t>L’interprétation, un défi de l’action pastorale</w:t>
      </w:r>
      <w:r w:rsidRPr="004930E0">
        <w:t xml:space="preserve"> (Cahiers d’études pastorales 6), Montréal, </w:t>
      </w:r>
      <w:proofErr w:type="spellStart"/>
      <w:r w:rsidRPr="004930E0">
        <w:t>Fides</w:t>
      </w:r>
      <w:proofErr w:type="spellEnd"/>
      <w:r w:rsidRPr="004930E0">
        <w:t>, 1989.</w:t>
      </w:r>
    </w:p>
  </w:footnote>
  <w:footnote w:id="22">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rPr>
          <w:smallCaps/>
        </w:rPr>
        <w:t>Molinario</w:t>
      </w:r>
      <w:proofErr w:type="spellEnd"/>
      <w:r w:rsidRPr="004930E0">
        <w:t>, ‟La notion de corrélation dans la théologie pratique francophone”, p. 126.</w:t>
      </w:r>
    </w:p>
  </w:footnote>
  <w:footnote w:id="23">
    <w:p w:rsidR="00E4320D" w:rsidRPr="004930E0" w:rsidRDefault="00E4320D" w:rsidP="004930E0">
      <w:pPr>
        <w:pStyle w:val="Notedebasdepage"/>
      </w:pPr>
      <w:r w:rsidRPr="004930E0">
        <w:rPr>
          <w:rStyle w:val="Appelnotedebasdep"/>
        </w:rPr>
        <w:footnoteRef/>
      </w:r>
      <w:r w:rsidRPr="004930E0">
        <w:t xml:space="preserve"> Jean-Guy </w:t>
      </w:r>
      <w:r w:rsidRPr="004930E0">
        <w:rPr>
          <w:smallCaps/>
        </w:rPr>
        <w:t>Nadeau</w:t>
      </w:r>
      <w:r w:rsidRPr="004930E0">
        <w:t xml:space="preserve">, ‟Une méthodologie empirico-herméneutique”, dans </w:t>
      </w:r>
      <w:r w:rsidRPr="004930E0">
        <w:rPr>
          <w:i/>
        </w:rPr>
        <w:t>Précis de théologie pratique</w:t>
      </w:r>
      <w:r w:rsidRPr="004930E0">
        <w:t>, p. 221-234.</w:t>
      </w:r>
    </w:p>
  </w:footnote>
  <w:footnote w:id="24">
    <w:p w:rsidR="00E4320D" w:rsidRPr="004930E0" w:rsidRDefault="00E4320D" w:rsidP="004930E0">
      <w:pPr>
        <w:pStyle w:val="Notedebasdepage"/>
      </w:pPr>
      <w:r w:rsidRPr="004930E0">
        <w:rPr>
          <w:rStyle w:val="Appelnotedebasdep"/>
        </w:rPr>
        <w:footnoteRef/>
      </w:r>
      <w:r w:rsidRPr="004930E0">
        <w:t xml:space="preserve"> Olivier </w:t>
      </w:r>
      <w:r w:rsidRPr="004930E0">
        <w:rPr>
          <w:smallCaps/>
        </w:rPr>
        <w:t>Bauer</w:t>
      </w:r>
      <w:r w:rsidRPr="004930E0">
        <w:t xml:space="preserve">, ‟Observer, analyser, problématiser des pratiques théologiques. Les premières étapes de la praxéologie théologique”, </w:t>
      </w:r>
      <w:r w:rsidRPr="004930E0">
        <w:rPr>
          <w:i/>
        </w:rPr>
        <w:t xml:space="preserve">Études théologiques et religieuses </w:t>
      </w:r>
      <w:r w:rsidRPr="004930E0">
        <w:t>93, 2018, p. 605-618.</w:t>
      </w:r>
    </w:p>
  </w:footnote>
  <w:footnote w:id="25">
    <w:p w:rsidR="00211665" w:rsidRPr="004930E0" w:rsidRDefault="00211665" w:rsidP="004930E0">
      <w:pPr>
        <w:pStyle w:val="Notedebasdepage"/>
      </w:pPr>
      <w:r w:rsidRPr="004930E0">
        <w:rPr>
          <w:rStyle w:val="Appelnotedebasdep"/>
        </w:rPr>
        <w:footnoteRef/>
      </w:r>
      <w:r w:rsidRPr="004930E0">
        <w:t xml:space="preserve"> En bref, nous comprenons par contexte</w:t>
      </w:r>
      <w:r w:rsidR="007367CA" w:rsidRPr="004930E0">
        <w:t> :</w:t>
      </w:r>
      <w:r w:rsidRPr="004930E0">
        <w:rPr>
          <w:rFonts w:cs="Times New Roman"/>
        </w:rPr>
        <w:t xml:space="preserve"> l’ensemble des paramètres qui façonnent une situation.</w:t>
      </w:r>
    </w:p>
  </w:footnote>
  <w:footnote w:id="26">
    <w:p w:rsidR="00AA6CB3" w:rsidRPr="004930E0" w:rsidRDefault="00AA6CB3" w:rsidP="004930E0">
      <w:pPr>
        <w:pStyle w:val="Notedebasdepage"/>
      </w:pPr>
      <w:r w:rsidRPr="004930E0">
        <w:rPr>
          <w:rStyle w:val="Appelnotedebasdep"/>
        </w:rPr>
        <w:footnoteRef/>
      </w:r>
      <w:r w:rsidRPr="004930E0">
        <w:t xml:space="preserve"> Pierrette </w:t>
      </w:r>
      <w:proofErr w:type="spellStart"/>
      <w:r w:rsidR="0038188C" w:rsidRPr="004930E0">
        <w:rPr>
          <w:smallCaps/>
        </w:rPr>
        <w:t>Dav</w:t>
      </w:r>
      <w:r w:rsidRPr="004930E0">
        <w:rPr>
          <w:smallCaps/>
        </w:rPr>
        <w:t>iau</w:t>
      </w:r>
      <w:proofErr w:type="spellEnd"/>
      <w:r w:rsidRPr="004930E0">
        <w:t xml:space="preserve">, “La recherche qualitative en théologie pratique”, dans </w:t>
      </w:r>
      <w:r w:rsidRPr="004930E0">
        <w:rPr>
          <w:i/>
          <w:lang w:eastAsia="fr-FR"/>
        </w:rPr>
        <w:t>Théologie pratique. Pratiques de théologie</w:t>
      </w:r>
      <w:r w:rsidRPr="004930E0">
        <w:t>, p. 61-82, ici p. 66.</w:t>
      </w:r>
      <w:r w:rsidR="00DB1C58" w:rsidRPr="004930E0">
        <w:t xml:space="preserve"> </w:t>
      </w:r>
      <w:r w:rsidR="003B28B2" w:rsidRPr="004930E0">
        <w:t>Cet ar</w:t>
      </w:r>
      <w:r w:rsidR="00DB1C58" w:rsidRPr="004930E0">
        <w:t xml:space="preserve">ticle place clairement les données empiriques dans le premier moment de la recherche. </w:t>
      </w:r>
    </w:p>
  </w:footnote>
  <w:footnote w:id="27">
    <w:p w:rsidR="00E4320D" w:rsidRPr="004930E0" w:rsidRDefault="00E4320D" w:rsidP="004930E0">
      <w:pPr>
        <w:pStyle w:val="Notedebasdepage"/>
      </w:pPr>
      <w:r w:rsidRPr="004930E0">
        <w:rPr>
          <w:rStyle w:val="Appelnotedebasdep"/>
        </w:rPr>
        <w:footnoteRef/>
      </w:r>
      <w:r w:rsidRPr="004930E0">
        <w:t xml:space="preserve"> Fabienne </w:t>
      </w:r>
      <w:r w:rsidRPr="004930E0">
        <w:rPr>
          <w:smallCaps/>
        </w:rPr>
        <w:t>Vasseur</w:t>
      </w:r>
      <w:r w:rsidRPr="004930E0">
        <w:t xml:space="preserve">, ‟Analyse qualitative en psychologie : </w:t>
      </w:r>
      <w:proofErr w:type="spellStart"/>
      <w:r w:rsidRPr="004930E0">
        <w:rPr>
          <w:i/>
        </w:rPr>
        <w:t>Grounded</w:t>
      </w:r>
      <w:proofErr w:type="spellEnd"/>
      <w:r w:rsidRPr="004930E0">
        <w:rPr>
          <w:i/>
        </w:rPr>
        <w:t xml:space="preserve"> Theory Method</w:t>
      </w:r>
      <w:r w:rsidRPr="004930E0">
        <w:t xml:space="preserve">”, dans </w:t>
      </w:r>
      <w:r w:rsidRPr="004930E0">
        <w:rPr>
          <w:i/>
        </w:rPr>
        <w:t xml:space="preserve">Études théologiques et religieuses </w:t>
      </w:r>
      <w:r w:rsidRPr="004930E0">
        <w:t>93, 2018, p. 577-590, ici p. 578.</w:t>
      </w:r>
    </w:p>
  </w:footnote>
  <w:footnote w:id="28">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r w:rsidRPr="004930E0">
        <w:rPr>
          <w:smallCaps/>
          <w:lang w:val="en-US"/>
        </w:rPr>
        <w:t>Dumas</w:t>
      </w:r>
      <w:r w:rsidRPr="004930E0">
        <w:rPr>
          <w:lang w:val="en-US"/>
        </w:rPr>
        <w:t>, ‟</w:t>
      </w:r>
      <w:proofErr w:type="spellStart"/>
      <w:r w:rsidRPr="004930E0">
        <w:rPr>
          <w:lang w:val="en-US"/>
        </w:rPr>
        <w:t>Corrélation</w:t>
      </w:r>
      <w:proofErr w:type="spellEnd"/>
      <w:r w:rsidRPr="004930E0">
        <w:rPr>
          <w:lang w:val="en-US"/>
        </w:rPr>
        <w:t xml:space="preserve"> – Tillich et </w:t>
      </w:r>
      <w:r w:rsidRPr="004930E0">
        <w:rPr>
          <w:spacing w:val="2"/>
          <w:lang w:val="en-US"/>
        </w:rPr>
        <w:t xml:space="preserve">Schillebeeckx”, </w:t>
      </w:r>
      <w:r w:rsidRPr="004930E0">
        <w:rPr>
          <w:lang w:val="en-US"/>
        </w:rPr>
        <w:t>p. 83.</w:t>
      </w:r>
    </w:p>
  </w:footnote>
  <w:footnote w:id="29">
    <w:p w:rsidR="00077A16" w:rsidRPr="004930E0" w:rsidRDefault="00077A16" w:rsidP="004930E0">
      <w:pPr>
        <w:pStyle w:val="Notedebasdepage"/>
      </w:pPr>
      <w:r w:rsidRPr="004930E0">
        <w:rPr>
          <w:rStyle w:val="Appelnotedebasdep"/>
        </w:rPr>
        <w:footnoteRef/>
      </w:r>
      <w:r w:rsidRPr="004930E0">
        <w:rPr>
          <w:lang w:val="en-US"/>
        </w:rPr>
        <w:t xml:space="preserve"> David </w:t>
      </w:r>
      <w:r w:rsidRPr="004930E0">
        <w:rPr>
          <w:smallCaps/>
          <w:lang w:val="en-US"/>
        </w:rPr>
        <w:t>Tracy</w:t>
      </w:r>
      <w:r w:rsidRPr="004930E0">
        <w:rPr>
          <w:lang w:val="en-US"/>
        </w:rPr>
        <w:t xml:space="preserve">, </w:t>
      </w:r>
      <w:r w:rsidRPr="004930E0">
        <w:rPr>
          <w:i/>
          <w:lang w:val="en-US"/>
        </w:rPr>
        <w:t xml:space="preserve">Blessed Rage for Order. </w:t>
      </w:r>
      <w:proofErr w:type="gramStart"/>
      <w:r w:rsidRPr="004930E0">
        <w:rPr>
          <w:i/>
          <w:lang w:val="en-US"/>
        </w:rPr>
        <w:t>the</w:t>
      </w:r>
      <w:proofErr w:type="gramEnd"/>
      <w:r w:rsidRPr="004930E0">
        <w:rPr>
          <w:i/>
          <w:lang w:val="en-US"/>
        </w:rPr>
        <w:t xml:space="preserve"> new pluralism in theology</w:t>
      </w:r>
      <w:r w:rsidRPr="004930E0">
        <w:rPr>
          <w:lang w:val="en-US"/>
        </w:rPr>
        <w:t xml:space="preserve"> (Crossroad Books), New York, Seabury Press, 1975, surtout son chap. 3 “A Revisionist Model for Contemporary Theology” (p. 43-63).</w:t>
      </w:r>
      <w:r w:rsidR="00EF6837" w:rsidRPr="004930E0">
        <w:rPr>
          <w:lang w:val="en-US"/>
        </w:rPr>
        <w:t xml:space="preserve"> </w:t>
      </w:r>
      <w:r w:rsidRPr="004930E0">
        <w:t>Il n’est pas question ici d’entrer en détails dans l’œuvre de cet auteur</w:t>
      </w:r>
      <w:r w:rsidR="00EF6837" w:rsidRPr="004930E0">
        <w:t>,</w:t>
      </w:r>
      <w:r w:rsidRPr="004930E0">
        <w:t xml:space="preserve"> réputé</w:t>
      </w:r>
      <w:r w:rsidR="00EF6837" w:rsidRPr="004930E0">
        <w:t>e</w:t>
      </w:r>
      <w:r w:rsidRPr="004930E0">
        <w:t xml:space="preserve"> difficile. Pour ses ouvrages </w:t>
      </w:r>
      <w:proofErr w:type="spellStart"/>
      <w:r w:rsidR="00EF6837" w:rsidRPr="004930E0">
        <w:rPr>
          <w:i/>
        </w:rPr>
        <w:t>Blessed</w:t>
      </w:r>
      <w:proofErr w:type="spellEnd"/>
      <w:r w:rsidR="00EF6837" w:rsidRPr="004930E0">
        <w:rPr>
          <w:i/>
        </w:rPr>
        <w:t xml:space="preserve"> Rage for </w:t>
      </w:r>
      <w:proofErr w:type="spellStart"/>
      <w:r w:rsidR="00EF6837" w:rsidRPr="004930E0">
        <w:rPr>
          <w:i/>
        </w:rPr>
        <w:t>Order</w:t>
      </w:r>
      <w:proofErr w:type="spellEnd"/>
      <w:r w:rsidR="00EF6837" w:rsidRPr="004930E0">
        <w:t xml:space="preserve"> </w:t>
      </w:r>
      <w:r w:rsidRPr="004930E0">
        <w:t xml:space="preserve">(1975), </w:t>
      </w:r>
      <w:r w:rsidRPr="004930E0">
        <w:rPr>
          <w:i/>
        </w:rPr>
        <w:t xml:space="preserve">The </w:t>
      </w:r>
      <w:proofErr w:type="spellStart"/>
      <w:r w:rsidRPr="004930E0">
        <w:rPr>
          <w:i/>
        </w:rPr>
        <w:t>Analogical</w:t>
      </w:r>
      <w:proofErr w:type="spellEnd"/>
      <w:r w:rsidRPr="004930E0">
        <w:rPr>
          <w:i/>
        </w:rPr>
        <w:t xml:space="preserve"> Imagination</w:t>
      </w:r>
      <w:r w:rsidRPr="004930E0">
        <w:t xml:space="preserve"> (1981) et </w:t>
      </w:r>
      <w:proofErr w:type="spellStart"/>
      <w:r w:rsidRPr="004930E0">
        <w:rPr>
          <w:i/>
        </w:rPr>
        <w:t>Plurality</w:t>
      </w:r>
      <w:proofErr w:type="spellEnd"/>
      <w:r w:rsidRPr="004930E0">
        <w:rPr>
          <w:i/>
        </w:rPr>
        <w:t xml:space="preserve"> and </w:t>
      </w:r>
      <w:proofErr w:type="spellStart"/>
      <w:r w:rsidRPr="004930E0">
        <w:rPr>
          <w:i/>
        </w:rPr>
        <w:t>Ambiguity</w:t>
      </w:r>
      <w:proofErr w:type="spellEnd"/>
      <w:r w:rsidRPr="004930E0">
        <w:t xml:space="preserve"> (1987</w:t>
      </w:r>
      <w:r w:rsidR="00EF6837" w:rsidRPr="004930E0">
        <w:t xml:space="preserve">, le </w:t>
      </w:r>
      <w:r w:rsidR="004A2B05" w:rsidRPr="004930E0">
        <w:t>seul traduit en français en 1999</w:t>
      </w:r>
      <w:r w:rsidRPr="004930E0">
        <w:t xml:space="preserve">), voir la présentation d’ensemble et les éléments en lien avec notre recherche par Michael </w:t>
      </w:r>
      <w:proofErr w:type="spellStart"/>
      <w:r w:rsidRPr="004930E0">
        <w:rPr>
          <w:smallCaps/>
        </w:rPr>
        <w:t>Kirwan</w:t>
      </w:r>
      <w:proofErr w:type="spellEnd"/>
      <w:r w:rsidRPr="004930E0">
        <w:t>, ‟</w:t>
      </w:r>
      <w:proofErr w:type="spellStart"/>
      <w:r w:rsidRPr="004930E0">
        <w:t>Practical</w:t>
      </w:r>
      <w:proofErr w:type="spellEnd"/>
      <w:r w:rsidRPr="004930E0">
        <w:t xml:space="preserve"> </w:t>
      </w:r>
      <w:proofErr w:type="spellStart"/>
      <w:r w:rsidRPr="004930E0">
        <w:t>theology</w:t>
      </w:r>
      <w:proofErr w:type="spellEnd"/>
      <w:r w:rsidRPr="004930E0">
        <w:t xml:space="preserve"> as </w:t>
      </w:r>
      <w:proofErr w:type="spellStart"/>
      <w:r w:rsidRPr="004930E0">
        <w:t>Analogical</w:t>
      </w:r>
      <w:proofErr w:type="spellEnd"/>
      <w:r w:rsidRPr="004930E0">
        <w:t xml:space="preserve"> Imagination” et ‟David Tracy and the Santiago Project”, dans </w:t>
      </w:r>
      <w:r w:rsidRPr="004930E0">
        <w:rPr>
          <w:i/>
        </w:rPr>
        <w:t>Groupe de Santiago. Recherches I</w:t>
      </w:r>
      <w:r w:rsidRPr="004930E0">
        <w:t>, p. 97-111 et 113-123.</w:t>
      </w:r>
    </w:p>
  </w:footnote>
  <w:footnote w:id="30">
    <w:p w:rsidR="00A85AA8" w:rsidRPr="004930E0" w:rsidRDefault="00A85AA8" w:rsidP="004930E0">
      <w:pPr>
        <w:pStyle w:val="Notedebasdepage"/>
      </w:pPr>
      <w:r w:rsidRPr="004930E0">
        <w:rPr>
          <w:rStyle w:val="Appelnotedebasdep"/>
        </w:rPr>
        <w:footnoteRef/>
      </w:r>
      <w:r w:rsidRPr="004930E0">
        <w:t xml:space="preserve">Je n’ai pas identifié l’origine de cette expression, </w:t>
      </w:r>
      <w:r w:rsidR="00B16083" w:rsidRPr="004930E0">
        <w:t>adoptée</w:t>
      </w:r>
      <w:r w:rsidRPr="004930E0">
        <w:t xml:space="preserve"> par plusieurs théologiens et théologiennes pratiques depuis une dizaine d’années, par exemple Joël </w:t>
      </w:r>
      <w:proofErr w:type="spellStart"/>
      <w:r w:rsidRPr="004930E0">
        <w:t>Molinario</w:t>
      </w:r>
      <w:proofErr w:type="spellEnd"/>
      <w:r w:rsidRPr="004930E0">
        <w:t xml:space="preserve"> en 2011 à la 3</w:t>
      </w:r>
      <w:r w:rsidRPr="004930E0">
        <w:rPr>
          <w:vertAlign w:val="superscript"/>
        </w:rPr>
        <w:t>e</w:t>
      </w:r>
      <w:r w:rsidRPr="004930E0">
        <w:t xml:space="preserve"> session doctorale de théologie pratique à l’Université catholique de Louvain, dans une intervention sur les problèmes épistémologiques en théologie pratique. Voir Catherine </w:t>
      </w:r>
      <w:r w:rsidRPr="004930E0">
        <w:rPr>
          <w:smallCaps/>
        </w:rPr>
        <w:t>Chevalier</w:t>
      </w:r>
      <w:r w:rsidRPr="004930E0">
        <w:t xml:space="preserve">, </w:t>
      </w:r>
      <w:r w:rsidR="00B16083" w:rsidRPr="004930E0">
        <w:t xml:space="preserve">“Chronique louvaniste”, </w:t>
      </w:r>
      <w:r w:rsidRPr="004930E0">
        <w:rPr>
          <w:i/>
        </w:rPr>
        <w:t xml:space="preserve">Revue Théologique de Louvain </w:t>
      </w:r>
      <w:r w:rsidRPr="004930E0">
        <w:t>42, 2011, p. 327-328.</w:t>
      </w:r>
    </w:p>
  </w:footnote>
  <w:footnote w:id="31">
    <w:p w:rsidR="00E4320D" w:rsidRPr="004930E0" w:rsidRDefault="00E4320D" w:rsidP="004930E0">
      <w:pPr>
        <w:pStyle w:val="Notedebasdepage"/>
      </w:pPr>
      <w:r w:rsidRPr="004930E0">
        <w:rPr>
          <w:rStyle w:val="Appelnotedebasdep"/>
        </w:rPr>
        <w:footnoteRef/>
      </w:r>
      <w:r w:rsidRPr="004930E0">
        <w:t xml:space="preserve"> </w:t>
      </w:r>
      <w:r w:rsidR="00077458" w:rsidRPr="004930E0">
        <w:t xml:space="preserve">Franklin </w:t>
      </w:r>
      <w:proofErr w:type="spellStart"/>
      <w:r w:rsidR="00077458" w:rsidRPr="004930E0">
        <w:rPr>
          <w:smallCaps/>
        </w:rPr>
        <w:t>Buitrago</w:t>
      </w:r>
      <w:proofErr w:type="spellEnd"/>
      <w:r w:rsidR="00077458" w:rsidRPr="004930E0">
        <w:rPr>
          <w:smallCaps/>
        </w:rPr>
        <w:t xml:space="preserve"> Rojas</w:t>
      </w:r>
      <w:r w:rsidR="00077458" w:rsidRPr="004930E0">
        <w:t>,</w:t>
      </w:r>
      <w:r w:rsidR="00077458" w:rsidRPr="004930E0">
        <w:rPr>
          <w:rStyle w:val="Accentuation"/>
        </w:rPr>
        <w:t xml:space="preserve"> L’action de Dieu face à la souffrance humaine. Lecture théologique de récits de personnes déplacées à cause de la violence en Colombie</w:t>
      </w:r>
      <w:r w:rsidR="00077458" w:rsidRPr="004930E0">
        <w:rPr>
          <w:rStyle w:val="Accentuation"/>
          <w:i w:val="0"/>
        </w:rPr>
        <w:t xml:space="preserve">, Louvain-la-Neuve-Québec-Paris, Cahiers Internationaux de Théologie Pratique, série Recherches n° 24, en ligne : www.pastoralis.org, avril 2019, p. 12-13 ; trad. esp. : </w:t>
      </w:r>
      <w:r w:rsidR="00077458" w:rsidRPr="004930E0">
        <w:rPr>
          <w:rStyle w:val="Accentuation"/>
        </w:rPr>
        <w:t xml:space="preserve">La </w:t>
      </w:r>
      <w:proofErr w:type="spellStart"/>
      <w:r w:rsidR="00077458" w:rsidRPr="004930E0">
        <w:rPr>
          <w:rStyle w:val="Accentuation"/>
        </w:rPr>
        <w:t>acción</w:t>
      </w:r>
      <w:proofErr w:type="spellEnd"/>
      <w:r w:rsidR="00077458" w:rsidRPr="004930E0">
        <w:rPr>
          <w:rStyle w:val="Accentuation"/>
        </w:rPr>
        <w:t xml:space="preserve"> de </w:t>
      </w:r>
      <w:proofErr w:type="spellStart"/>
      <w:r w:rsidR="00077458" w:rsidRPr="004930E0">
        <w:rPr>
          <w:rStyle w:val="Accentuation"/>
        </w:rPr>
        <w:t>Dios</w:t>
      </w:r>
      <w:proofErr w:type="spellEnd"/>
      <w:r w:rsidR="00077458" w:rsidRPr="004930E0">
        <w:rPr>
          <w:rStyle w:val="Accentuation"/>
        </w:rPr>
        <w:t xml:space="preserve"> ante el </w:t>
      </w:r>
      <w:proofErr w:type="spellStart"/>
      <w:r w:rsidR="00077458" w:rsidRPr="004930E0">
        <w:rPr>
          <w:rStyle w:val="Accentuation"/>
        </w:rPr>
        <w:t>sufrimiento</w:t>
      </w:r>
      <w:proofErr w:type="spellEnd"/>
      <w:r w:rsidR="00077458" w:rsidRPr="004930E0">
        <w:rPr>
          <w:rStyle w:val="Accentuation"/>
        </w:rPr>
        <w:t xml:space="preserve"> humano</w:t>
      </w:r>
      <w:r w:rsidR="00077458" w:rsidRPr="004930E0">
        <w:rPr>
          <w:rStyle w:val="Accentuation"/>
          <w:i w:val="0"/>
        </w:rPr>
        <w:t xml:space="preserve">, Bogota, USTA, </w:t>
      </w:r>
      <w:r w:rsidR="00077458" w:rsidRPr="004930E0">
        <w:t xml:space="preserve">2018. </w:t>
      </w:r>
      <w:r w:rsidR="00077458" w:rsidRPr="004930E0">
        <w:rPr>
          <w:rStyle w:val="Accentuation"/>
          <w:i w:val="0"/>
        </w:rPr>
        <w:t xml:space="preserve">La thèse a été soutenue en 2013. C’est en accompagnant cette thèse que j’ai perçu l’enjeu épistémologique lié aux structures des travaux en théologie pratique. </w:t>
      </w:r>
      <w:r w:rsidR="004A2B05" w:rsidRPr="004930E0">
        <w:rPr>
          <w:rStyle w:val="Accentuation"/>
          <w:i w:val="0"/>
        </w:rPr>
        <w:t>J’en suis donc très reconnaissant.</w:t>
      </w:r>
    </w:p>
  </w:footnote>
  <w:footnote w:id="32">
    <w:p w:rsidR="00E4320D" w:rsidRPr="004930E0" w:rsidRDefault="00E4320D" w:rsidP="004930E0">
      <w:pPr>
        <w:pStyle w:val="Notedebasdepage"/>
      </w:pPr>
      <w:r w:rsidRPr="004930E0">
        <w:rPr>
          <w:rStyle w:val="Appelnotedebasdep"/>
        </w:rPr>
        <w:footnoteRef/>
      </w:r>
      <w:r w:rsidRPr="004930E0">
        <w:t xml:space="preserve"> Isabelle </w:t>
      </w:r>
      <w:r w:rsidRPr="004930E0">
        <w:rPr>
          <w:smallCaps/>
        </w:rPr>
        <w:t>Grellier</w:t>
      </w:r>
      <w:r w:rsidRPr="004930E0">
        <w:t xml:space="preserve">, ‟Lectures des enquêtes sociologiques : les processus d’interprétation du point de vue du théologien pratique”, </w:t>
      </w:r>
      <w:r w:rsidRPr="004930E0">
        <w:rPr>
          <w:i/>
        </w:rPr>
        <w:t xml:space="preserve">Études théologiques et religieuses </w:t>
      </w:r>
      <w:r w:rsidRPr="004930E0">
        <w:t>93, 2018, p. 591-604.</w:t>
      </w:r>
    </w:p>
  </w:footnote>
  <w:footnote w:id="33">
    <w:p w:rsidR="00E4320D" w:rsidRPr="004930E0" w:rsidRDefault="00E4320D" w:rsidP="004930E0">
      <w:pPr>
        <w:pStyle w:val="Notedebasdepage"/>
      </w:pPr>
      <w:r w:rsidRPr="004930E0">
        <w:rPr>
          <w:rStyle w:val="Appelnotedebasdep"/>
        </w:rPr>
        <w:footnoteRef/>
      </w:r>
      <w:r w:rsidRPr="004930E0">
        <w:t xml:space="preserve"> Étienne </w:t>
      </w:r>
      <w:proofErr w:type="spellStart"/>
      <w:r w:rsidRPr="004930E0">
        <w:rPr>
          <w:smallCaps/>
        </w:rPr>
        <w:t>Grieu</w:t>
      </w:r>
      <w:proofErr w:type="spellEnd"/>
      <w:r w:rsidRPr="004930E0">
        <w:t xml:space="preserve">, </w:t>
      </w:r>
      <w:r w:rsidRPr="004930E0">
        <w:rPr>
          <w:i/>
        </w:rPr>
        <w:t xml:space="preserve">Nés de Dieu. Itinéraires de chrétiens engagés. Essai de lecture théologique </w:t>
      </w:r>
      <w:r w:rsidRPr="004930E0">
        <w:t>(</w:t>
      </w:r>
      <w:proofErr w:type="spellStart"/>
      <w:r w:rsidRPr="004930E0">
        <w:t>Cogitatio</w:t>
      </w:r>
      <w:proofErr w:type="spellEnd"/>
      <w:r w:rsidRPr="004930E0">
        <w:t xml:space="preserve"> </w:t>
      </w:r>
      <w:proofErr w:type="spellStart"/>
      <w:r w:rsidRPr="004930E0">
        <w:t>fidei</w:t>
      </w:r>
      <w:proofErr w:type="spellEnd"/>
      <w:r w:rsidRPr="004930E0">
        <w:t xml:space="preserve"> 231),</w:t>
      </w:r>
      <w:r w:rsidRPr="004930E0">
        <w:rPr>
          <w:i/>
        </w:rPr>
        <w:t xml:space="preserve"> </w:t>
      </w:r>
      <w:r w:rsidRPr="004930E0">
        <w:t xml:space="preserve">Paris, Cerf, 2003. Voir aussi de lui, ‟Méthodes biographiques et théologie pratique”, </w:t>
      </w:r>
      <w:proofErr w:type="spellStart"/>
      <w:r w:rsidRPr="004930E0">
        <w:rPr>
          <w:i/>
          <w:iCs/>
        </w:rPr>
        <w:t>Didaskalia</w:t>
      </w:r>
      <w:proofErr w:type="spellEnd"/>
      <w:r w:rsidRPr="004930E0">
        <w:t xml:space="preserve"> 39, 2009, p. 125-143.   </w:t>
      </w:r>
    </w:p>
  </w:footnote>
  <w:footnote w:id="34">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rPr>
          <w:smallCaps/>
        </w:rPr>
        <w:t>Grieu</w:t>
      </w:r>
      <w:proofErr w:type="spellEnd"/>
      <w:r w:rsidRPr="004930E0">
        <w:t xml:space="preserve">, </w:t>
      </w:r>
      <w:r w:rsidRPr="004930E0">
        <w:rPr>
          <w:i/>
        </w:rPr>
        <w:t>Nés de Dieu</w:t>
      </w:r>
      <w:r w:rsidRPr="004930E0">
        <w:t>, p. 30-39.</w:t>
      </w:r>
    </w:p>
  </w:footnote>
  <w:footnote w:id="35">
    <w:p w:rsidR="0071692C" w:rsidRPr="004930E0" w:rsidRDefault="0071692C" w:rsidP="004930E0">
      <w:pPr>
        <w:pStyle w:val="Notedebasdepage"/>
      </w:pPr>
      <w:r w:rsidRPr="004930E0">
        <w:rPr>
          <w:rStyle w:val="Appelnotedebasdep"/>
        </w:rPr>
        <w:footnoteRef/>
      </w:r>
      <w:r w:rsidRPr="004930E0">
        <w:rPr>
          <w:lang w:val="en-US"/>
        </w:rPr>
        <w:t xml:space="preserve"> David </w:t>
      </w:r>
      <w:r w:rsidRPr="004930E0">
        <w:rPr>
          <w:smallCaps/>
          <w:lang w:val="en-US"/>
        </w:rPr>
        <w:t>Tracy</w:t>
      </w:r>
      <w:r w:rsidRPr="004930E0">
        <w:rPr>
          <w:lang w:val="en-US"/>
        </w:rPr>
        <w:t xml:space="preserve">, “A Correlational Model of Practical Theology Revisited”, </w:t>
      </w:r>
      <w:proofErr w:type="spellStart"/>
      <w:r w:rsidRPr="004930E0">
        <w:rPr>
          <w:lang w:val="en-US"/>
        </w:rPr>
        <w:t>dans</w:t>
      </w:r>
      <w:proofErr w:type="spellEnd"/>
      <w:r w:rsidRPr="004930E0">
        <w:rPr>
          <w:lang w:val="en-US"/>
        </w:rPr>
        <w:t xml:space="preserve"> </w:t>
      </w:r>
      <w:r w:rsidR="0071044D" w:rsidRPr="004930E0">
        <w:rPr>
          <w:lang w:val="en-US"/>
        </w:rPr>
        <w:t xml:space="preserve">Edward </w:t>
      </w:r>
      <w:r w:rsidR="0071044D" w:rsidRPr="004930E0">
        <w:rPr>
          <w:smallCaps/>
          <w:lang w:val="en-US"/>
        </w:rPr>
        <w:t>Foley</w:t>
      </w:r>
      <w:r w:rsidR="0071044D" w:rsidRPr="004930E0">
        <w:rPr>
          <w:lang w:val="en-US"/>
        </w:rPr>
        <w:t xml:space="preserve"> (dir.), </w:t>
      </w:r>
      <w:r w:rsidR="0071044D" w:rsidRPr="004930E0">
        <w:rPr>
          <w:i/>
          <w:lang w:val="en-US"/>
        </w:rPr>
        <w:t xml:space="preserve">Religion, Diversity, and Conflict </w:t>
      </w:r>
      <w:r w:rsidR="0071044D" w:rsidRPr="004930E0">
        <w:rPr>
          <w:lang w:val="en-US"/>
        </w:rPr>
        <w:t xml:space="preserve">(International practical theology 15), Berlin, LIT </w:t>
      </w:r>
      <w:proofErr w:type="spellStart"/>
      <w:r w:rsidR="0071044D" w:rsidRPr="004930E0">
        <w:rPr>
          <w:lang w:val="en-US"/>
        </w:rPr>
        <w:t>Verlag</w:t>
      </w:r>
      <w:proofErr w:type="spellEnd"/>
      <w:r w:rsidR="0071044D" w:rsidRPr="004930E0">
        <w:rPr>
          <w:lang w:val="en-US"/>
        </w:rPr>
        <w:t xml:space="preserve">, 2011 ; </w:t>
      </w:r>
      <w:proofErr w:type="spellStart"/>
      <w:r w:rsidR="0071044D" w:rsidRPr="004930E0">
        <w:rPr>
          <w:lang w:val="en-US"/>
        </w:rPr>
        <w:t>ici</w:t>
      </w:r>
      <w:proofErr w:type="spellEnd"/>
      <w:r w:rsidR="0071044D" w:rsidRPr="004930E0">
        <w:rPr>
          <w:lang w:val="en-US"/>
        </w:rPr>
        <w:t xml:space="preserve"> </w:t>
      </w:r>
      <w:proofErr w:type="spellStart"/>
      <w:r w:rsidR="00F70996" w:rsidRPr="004930E0">
        <w:rPr>
          <w:lang w:val="en-US"/>
        </w:rPr>
        <w:t>sa</w:t>
      </w:r>
      <w:proofErr w:type="spellEnd"/>
      <w:r w:rsidR="0071044D" w:rsidRPr="004930E0">
        <w:rPr>
          <w:lang w:val="en-US"/>
        </w:rPr>
        <w:t xml:space="preserve"> </w:t>
      </w:r>
      <w:proofErr w:type="spellStart"/>
      <w:r w:rsidR="00F70996" w:rsidRPr="004930E0">
        <w:rPr>
          <w:lang w:val="en-US"/>
        </w:rPr>
        <w:t>réé</w:t>
      </w:r>
      <w:r w:rsidR="0071044D" w:rsidRPr="004930E0">
        <w:rPr>
          <w:lang w:val="en-US"/>
        </w:rPr>
        <w:t>dition</w:t>
      </w:r>
      <w:proofErr w:type="spellEnd"/>
      <w:r w:rsidR="0071044D" w:rsidRPr="004930E0">
        <w:rPr>
          <w:lang w:val="en-US"/>
        </w:rPr>
        <w:t xml:space="preserve"> </w:t>
      </w:r>
      <w:proofErr w:type="spellStart"/>
      <w:r w:rsidR="0071044D" w:rsidRPr="004930E0">
        <w:rPr>
          <w:lang w:val="en-US"/>
        </w:rPr>
        <w:t>dans</w:t>
      </w:r>
      <w:proofErr w:type="spellEnd"/>
      <w:r w:rsidR="0071044D" w:rsidRPr="004930E0">
        <w:rPr>
          <w:lang w:val="en-US"/>
        </w:rPr>
        <w:t xml:space="preserve"> </w:t>
      </w:r>
      <w:r w:rsidRPr="004930E0">
        <w:rPr>
          <w:lang w:val="en-US"/>
        </w:rPr>
        <w:t xml:space="preserve">Claire E. </w:t>
      </w:r>
      <w:proofErr w:type="spellStart"/>
      <w:r w:rsidRPr="004930E0">
        <w:rPr>
          <w:smallCaps/>
          <w:lang w:val="en-US"/>
        </w:rPr>
        <w:t>Wolfteich</w:t>
      </w:r>
      <w:proofErr w:type="spellEnd"/>
      <w:r w:rsidRPr="004930E0">
        <w:rPr>
          <w:lang w:val="en-US"/>
        </w:rPr>
        <w:t xml:space="preserve"> (dir.), </w:t>
      </w:r>
      <w:r w:rsidR="00A66BAC" w:rsidRPr="004930E0">
        <w:rPr>
          <w:i/>
          <w:lang w:val="en-US"/>
        </w:rPr>
        <w:t>I</w:t>
      </w:r>
      <w:r w:rsidRPr="004930E0">
        <w:rPr>
          <w:i/>
          <w:lang w:val="en-US"/>
        </w:rPr>
        <w:t>nvitation to Practical Theology. Catholic Voices and Visions</w:t>
      </w:r>
      <w:r w:rsidRPr="004930E0">
        <w:rPr>
          <w:lang w:val="en-US"/>
        </w:rPr>
        <w:t>,</w:t>
      </w:r>
      <w:r w:rsidRPr="004930E0">
        <w:rPr>
          <w:i/>
          <w:lang w:val="en-US"/>
        </w:rPr>
        <w:t xml:space="preserve"> </w:t>
      </w:r>
      <w:proofErr w:type="gramStart"/>
      <w:r w:rsidRPr="004930E0">
        <w:rPr>
          <w:lang w:val="en-US"/>
        </w:rPr>
        <w:t>New-York</w:t>
      </w:r>
      <w:proofErr w:type="gramEnd"/>
      <w:r w:rsidRPr="004930E0">
        <w:rPr>
          <w:lang w:val="en-US"/>
        </w:rPr>
        <w:t xml:space="preserve"> / Mahwah, NJ, Paulist Press, 2014, p. 70-86.</w:t>
      </w:r>
      <w:r w:rsidRPr="004930E0">
        <w:rPr>
          <w:i/>
          <w:lang w:val="en-US"/>
        </w:rPr>
        <w:t xml:space="preserve"> </w:t>
      </w:r>
      <w:r w:rsidR="0060059F" w:rsidRPr="004930E0">
        <w:t xml:space="preserve">Tracy rappelle que toute théologie articule des éléments dans une </w:t>
      </w:r>
      <w:proofErr w:type="spellStart"/>
      <w:r w:rsidR="0060059F" w:rsidRPr="004930E0">
        <w:rPr>
          <w:i/>
        </w:rPr>
        <w:t>mutually</w:t>
      </w:r>
      <w:proofErr w:type="spellEnd"/>
      <w:r w:rsidR="0060059F" w:rsidRPr="004930E0">
        <w:rPr>
          <w:i/>
        </w:rPr>
        <w:t xml:space="preserve"> </w:t>
      </w:r>
      <w:proofErr w:type="spellStart"/>
      <w:r w:rsidR="0060059F" w:rsidRPr="004930E0">
        <w:rPr>
          <w:i/>
        </w:rPr>
        <w:t>critical</w:t>
      </w:r>
      <w:proofErr w:type="spellEnd"/>
      <w:r w:rsidR="0060059F" w:rsidRPr="004930E0">
        <w:rPr>
          <w:i/>
        </w:rPr>
        <w:t xml:space="preserve"> </w:t>
      </w:r>
      <w:proofErr w:type="spellStart"/>
      <w:r w:rsidR="0060059F" w:rsidRPr="004930E0">
        <w:rPr>
          <w:i/>
        </w:rPr>
        <w:t>correlation</w:t>
      </w:r>
      <w:proofErr w:type="spellEnd"/>
      <w:r w:rsidR="0060059F" w:rsidRPr="004930E0">
        <w:t>, qu’elle soit fondamentale, systématique ou pratique (selon sa propre subdivision). Chaque branche a ses partenaires propres pour opérer cette corrélation. Pour la théologie pratique, Tracy creuse l’ajout de l’esthétique et des traditions spirituelles contemplatives aux partenaires habituellement identifiés.</w:t>
      </w:r>
    </w:p>
  </w:footnote>
  <w:footnote w:id="36">
    <w:p w:rsidR="00E4320D" w:rsidRPr="004930E0" w:rsidRDefault="00E4320D" w:rsidP="004930E0">
      <w:pPr>
        <w:pStyle w:val="Notedebasdepage"/>
        <w:rPr>
          <w:lang w:val="en-US"/>
        </w:rPr>
      </w:pPr>
      <w:r w:rsidRPr="004930E0">
        <w:rPr>
          <w:rStyle w:val="Appelnotedebasdep"/>
        </w:rPr>
        <w:footnoteRef/>
      </w:r>
      <w:r w:rsidRPr="004930E0">
        <w:t xml:space="preserve"> Les actes de la première rencontre du Groupe de Santiago </w:t>
      </w:r>
      <w:r w:rsidR="007367CA" w:rsidRPr="004930E0">
        <w:t>contiennent</w:t>
      </w:r>
      <w:r w:rsidRPr="004930E0">
        <w:t xml:space="preserve"> dix articles dans </w:t>
      </w:r>
      <w:r w:rsidR="007367CA" w:rsidRPr="004930E0">
        <w:t>la</w:t>
      </w:r>
      <w:r w:rsidRPr="004930E0">
        <w:t xml:space="preserve"> partie ‟Dialogue avec David Tracy”, voir </w:t>
      </w:r>
      <w:r w:rsidRPr="004930E0">
        <w:rPr>
          <w:i/>
        </w:rPr>
        <w:t xml:space="preserve">Groupe de Santiago. </w:t>
      </w:r>
      <w:proofErr w:type="spellStart"/>
      <w:r w:rsidRPr="004930E0">
        <w:rPr>
          <w:i/>
          <w:lang w:val="en-US"/>
        </w:rPr>
        <w:t>Recherches</w:t>
      </w:r>
      <w:proofErr w:type="spellEnd"/>
      <w:r w:rsidRPr="004930E0">
        <w:rPr>
          <w:i/>
          <w:lang w:val="en-US"/>
        </w:rPr>
        <w:t xml:space="preserve"> I</w:t>
      </w:r>
      <w:r w:rsidRPr="004930E0">
        <w:rPr>
          <w:lang w:val="en-US"/>
        </w:rPr>
        <w:t xml:space="preserve">, p. 97-224. </w:t>
      </w:r>
    </w:p>
  </w:footnote>
  <w:footnote w:id="37">
    <w:p w:rsidR="00E4320D" w:rsidRPr="004930E0" w:rsidRDefault="00E4320D" w:rsidP="004930E0">
      <w:pPr>
        <w:pStyle w:val="Notedebasdepage"/>
      </w:pPr>
      <w:r w:rsidRPr="004930E0">
        <w:rPr>
          <w:rStyle w:val="Appelnotedebasdep"/>
        </w:rPr>
        <w:footnoteRef/>
      </w:r>
      <w:r w:rsidRPr="004930E0">
        <w:rPr>
          <w:lang w:val="en-US"/>
        </w:rPr>
        <w:t xml:space="preserve"> </w:t>
      </w:r>
      <w:r w:rsidRPr="004930E0">
        <w:rPr>
          <w:smallCaps/>
          <w:lang w:val="en-US"/>
        </w:rPr>
        <w:t>Kirwan</w:t>
      </w:r>
      <w:r w:rsidRPr="004930E0">
        <w:rPr>
          <w:lang w:val="en-US"/>
        </w:rPr>
        <w:t xml:space="preserve">, ‟Practical theology as Analogical Imagination”, p. 105. </w:t>
      </w:r>
      <w:r w:rsidRPr="004930E0">
        <w:t xml:space="preserve">Et c’est justement dans son ouvrage </w:t>
      </w:r>
      <w:r w:rsidR="00A156F2" w:rsidRPr="004930E0">
        <w:t>traduit</w:t>
      </w:r>
      <w:r w:rsidRPr="004930E0">
        <w:t xml:space="preserve"> en français que Tracy développe cette attention</w:t>
      </w:r>
      <w:r w:rsidR="004A2B05" w:rsidRPr="004930E0">
        <w:t xml:space="preserve">, </w:t>
      </w:r>
      <w:r w:rsidR="004A2B05" w:rsidRPr="004930E0">
        <w:rPr>
          <w:i/>
        </w:rPr>
        <w:t xml:space="preserve">Pluralité et ambiguïté. Herméneutique, religion, espérance </w:t>
      </w:r>
      <w:r w:rsidR="004A2B05" w:rsidRPr="004930E0">
        <w:t>(Théologie), Paris, Cerf, 1999.</w:t>
      </w:r>
    </w:p>
  </w:footnote>
  <w:footnote w:id="38">
    <w:p w:rsidR="00E4320D" w:rsidRPr="004930E0" w:rsidRDefault="00E4320D" w:rsidP="004930E0">
      <w:pPr>
        <w:pStyle w:val="Notedebasdepage"/>
      </w:pPr>
      <w:r w:rsidRPr="004930E0">
        <w:rPr>
          <w:rStyle w:val="Appelnotedebasdep"/>
        </w:rPr>
        <w:footnoteRef/>
      </w:r>
      <w:r w:rsidRPr="004930E0">
        <w:t xml:space="preserve"> Remarquons en passant que cela permet aussi d’éviter à un chercheur ou une chercheuse de rester dans une approche pratico-pratique d’un problème concret à résoudre. En suivant ici un point d’attention présenté dans une liste de propositions élaborées dans un séminaire de l’ISPC à Paris : ‟L’élaboration d’une question théologique empêche alors la pratique pastorale de s’auto-référencer [proposition n° 7].” François </w:t>
      </w:r>
      <w:proofErr w:type="spellStart"/>
      <w:r w:rsidRPr="004930E0">
        <w:rPr>
          <w:smallCaps/>
        </w:rPr>
        <w:t>Moog</w:t>
      </w:r>
      <w:proofErr w:type="spellEnd"/>
      <w:r w:rsidRPr="004930E0">
        <w:t xml:space="preserve">, ‟Comment passer du constat d’un problème pastoral à l’élaboration d’une problématique théologique ?”, dans </w:t>
      </w:r>
      <w:r w:rsidRPr="004930E0">
        <w:rPr>
          <w:i/>
        </w:rPr>
        <w:t>Groupe de Santiago. Recherches I</w:t>
      </w:r>
      <w:r w:rsidRPr="004930E0">
        <w:t xml:space="preserve">, p. 227-237, ici p. 230. Je retiens aussi ici la proposition 14 : ‟La nécessité de la problématisation apparaît ainsi quand les schémas de pensée établis sont remis en cause et qu’il n’existe plus de réponse acquise parce que les systèmes doivent être repensés et que les autorités sont affaiblies.” p. 232. Dans cet article, François </w:t>
      </w:r>
      <w:proofErr w:type="spellStart"/>
      <w:r w:rsidRPr="004930E0">
        <w:t>Moog</w:t>
      </w:r>
      <w:proofErr w:type="spellEnd"/>
      <w:r w:rsidRPr="004930E0">
        <w:t xml:space="preserve"> présente comment se construisent les recherches à Paris, justement après avoir bien établi la problématique théologique, la dimension empirique n’arrivant que dans un deuxième temps.</w:t>
      </w:r>
    </w:p>
  </w:footnote>
  <w:footnote w:id="39">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rPr>
          <w:smallCaps/>
        </w:rPr>
        <w:t>Grieu</w:t>
      </w:r>
      <w:proofErr w:type="spellEnd"/>
      <w:r w:rsidRPr="004930E0">
        <w:t xml:space="preserve">, </w:t>
      </w:r>
      <w:r w:rsidRPr="004930E0">
        <w:rPr>
          <w:i/>
        </w:rPr>
        <w:t>Nés de Dieu</w:t>
      </w:r>
      <w:r w:rsidRPr="004930E0">
        <w:t>, p. 18.</w:t>
      </w:r>
    </w:p>
  </w:footnote>
  <w:footnote w:id="40">
    <w:p w:rsidR="00DC3531" w:rsidRPr="004930E0" w:rsidRDefault="00DC3531" w:rsidP="004930E0">
      <w:pPr>
        <w:pStyle w:val="Notedebasdepage"/>
      </w:pPr>
      <w:r w:rsidRPr="004930E0">
        <w:rPr>
          <w:rStyle w:val="Appelnotedebasdep"/>
        </w:rPr>
        <w:footnoteRef/>
      </w:r>
      <w:r w:rsidRPr="004930E0">
        <w:t xml:space="preserve"> </w:t>
      </w:r>
      <w:proofErr w:type="spellStart"/>
      <w:r w:rsidRPr="004930E0">
        <w:rPr>
          <w:smallCaps/>
        </w:rPr>
        <w:t>Buitrago</w:t>
      </w:r>
      <w:proofErr w:type="spellEnd"/>
      <w:r w:rsidRPr="004930E0">
        <w:rPr>
          <w:smallCaps/>
        </w:rPr>
        <w:t xml:space="preserve"> Rojas</w:t>
      </w:r>
      <w:r w:rsidRPr="004930E0">
        <w:t xml:space="preserve">, </w:t>
      </w:r>
      <w:r w:rsidRPr="004930E0">
        <w:rPr>
          <w:rStyle w:val="Accentuation"/>
        </w:rPr>
        <w:t>L’action de Dieu face à la souffrance humaine</w:t>
      </w:r>
      <w:r w:rsidRPr="004930E0">
        <w:rPr>
          <w:rStyle w:val="Accentuation"/>
          <w:i w:val="0"/>
        </w:rPr>
        <w:t>, p. 13.</w:t>
      </w:r>
    </w:p>
  </w:footnote>
  <w:footnote w:id="41">
    <w:p w:rsidR="00E4320D" w:rsidRPr="004930E0" w:rsidRDefault="00E4320D" w:rsidP="004930E0">
      <w:pPr>
        <w:pStyle w:val="Notedebasdepage"/>
      </w:pPr>
      <w:r w:rsidRPr="004930E0">
        <w:rPr>
          <w:rStyle w:val="Appelnotedebasdep"/>
        </w:rPr>
        <w:footnoteRef/>
      </w:r>
      <w:r w:rsidRPr="004930E0">
        <w:t xml:space="preserve"> Par exemple le sociologue Laurent </w:t>
      </w:r>
      <w:proofErr w:type="spellStart"/>
      <w:r w:rsidRPr="004930E0">
        <w:rPr>
          <w:smallCaps/>
        </w:rPr>
        <w:t>Amiotte</w:t>
      </w:r>
      <w:proofErr w:type="spellEnd"/>
      <w:r w:rsidRPr="004930E0">
        <w:rPr>
          <w:smallCaps/>
        </w:rPr>
        <w:t>-Suchet</w:t>
      </w:r>
      <w:r w:rsidRPr="004930E0">
        <w:t xml:space="preserve">, ‟L’enquête de terrain en sciences sociales des religions”, </w:t>
      </w:r>
      <w:r w:rsidRPr="004930E0">
        <w:rPr>
          <w:i/>
        </w:rPr>
        <w:t xml:space="preserve">Études théologiques et religieuses </w:t>
      </w:r>
      <w:r w:rsidRPr="004930E0">
        <w:t>93, 2018, p. 521-541, ici p. 529. L’</w:t>
      </w:r>
      <w:proofErr w:type="spellStart"/>
      <w:r w:rsidRPr="004930E0">
        <w:t>anthrologue</w:t>
      </w:r>
      <w:proofErr w:type="spellEnd"/>
      <w:r w:rsidRPr="004930E0">
        <w:t xml:space="preserve"> Gaspard </w:t>
      </w:r>
      <w:proofErr w:type="spellStart"/>
      <w:r w:rsidRPr="004930E0">
        <w:rPr>
          <w:smallCaps/>
        </w:rPr>
        <w:t>Salatko</w:t>
      </w:r>
      <w:proofErr w:type="spellEnd"/>
      <w:r w:rsidRPr="004930E0">
        <w:t xml:space="preserve">, va </w:t>
      </w:r>
      <w:r w:rsidR="008A0464" w:rsidRPr="004930E0">
        <w:t xml:space="preserve">même </w:t>
      </w:r>
      <w:r w:rsidRPr="004930E0">
        <w:t xml:space="preserve">plus loin et plaide pour “l’adoption d’une posture </w:t>
      </w:r>
      <w:r w:rsidRPr="004930E0">
        <w:rPr>
          <w:i/>
        </w:rPr>
        <w:t>théiste méthodologique</w:t>
      </w:r>
      <w:r w:rsidR="008A0464" w:rsidRPr="004930E0">
        <w:t>” [l’auteur souligne] ; voir</w:t>
      </w:r>
      <w:r w:rsidRPr="004930E0">
        <w:t xml:space="preserve"> </w:t>
      </w:r>
      <w:r w:rsidRPr="004930E0">
        <w:rPr>
          <w:i/>
        </w:rPr>
        <w:t>Le dieu situé. Une enquête sur la fabrique de l’art sacré da</w:t>
      </w:r>
      <w:r w:rsidR="00A939AF" w:rsidRPr="004930E0">
        <w:rPr>
          <w:i/>
        </w:rPr>
        <w:t>ns le catholicisme contemporain</w:t>
      </w:r>
      <w:r w:rsidRPr="004930E0">
        <w:rPr>
          <w:i/>
        </w:rPr>
        <w:t xml:space="preserve"> </w:t>
      </w:r>
      <w:r w:rsidRPr="004930E0">
        <w:t>(Anthropologie du Monde Occidental), Par</w:t>
      </w:r>
      <w:r w:rsidR="00DC3531" w:rsidRPr="004930E0">
        <w:t xml:space="preserve">is, </w:t>
      </w:r>
      <w:proofErr w:type="spellStart"/>
      <w:r w:rsidR="00DC3531" w:rsidRPr="004930E0">
        <w:t>L’Harmattan</w:t>
      </w:r>
      <w:proofErr w:type="spellEnd"/>
      <w:r w:rsidR="00DC3531" w:rsidRPr="004930E0">
        <w:t>, 2016, p. 14-15</w:t>
      </w:r>
      <w:r w:rsidRPr="004930E0">
        <w:t>.</w:t>
      </w:r>
    </w:p>
  </w:footnote>
  <w:footnote w:id="42">
    <w:p w:rsidR="00E4320D" w:rsidRPr="004930E0" w:rsidRDefault="00E4320D" w:rsidP="004930E0">
      <w:pPr>
        <w:pStyle w:val="Notedebasdepage"/>
        <w:rPr>
          <w:lang w:val="en-US"/>
        </w:rPr>
      </w:pPr>
      <w:r w:rsidRPr="004930E0">
        <w:rPr>
          <w:rStyle w:val="Appelnotedebasdep"/>
        </w:rPr>
        <w:footnoteRef/>
      </w:r>
      <w:r w:rsidRPr="004930E0">
        <w:rPr>
          <w:lang w:val="en-US"/>
        </w:rPr>
        <w:t xml:space="preserve"> Jeff </w:t>
      </w:r>
      <w:r w:rsidRPr="004930E0">
        <w:rPr>
          <w:smallCaps/>
          <w:lang w:val="en-US"/>
        </w:rPr>
        <w:t>A</w:t>
      </w:r>
      <w:r w:rsidR="00773422" w:rsidRPr="004930E0">
        <w:rPr>
          <w:smallCaps/>
          <w:lang w:val="en-US"/>
        </w:rPr>
        <w:t>stley</w:t>
      </w:r>
      <w:r w:rsidRPr="004930E0">
        <w:rPr>
          <w:lang w:val="en-US"/>
        </w:rPr>
        <w:t xml:space="preserve">, </w:t>
      </w:r>
      <w:r w:rsidRPr="004930E0">
        <w:rPr>
          <w:i/>
          <w:iCs/>
          <w:lang w:val="en-US"/>
        </w:rPr>
        <w:t>Ordinary Theology, looking, listening and learning in theology</w:t>
      </w:r>
      <w:r w:rsidR="004B1E13" w:rsidRPr="004930E0">
        <w:rPr>
          <w:i/>
          <w:iCs/>
          <w:lang w:val="en-US"/>
        </w:rPr>
        <w:t xml:space="preserve"> </w:t>
      </w:r>
      <w:r w:rsidR="004B1E13" w:rsidRPr="004930E0">
        <w:rPr>
          <w:iCs/>
          <w:lang w:val="en-US"/>
        </w:rPr>
        <w:t>(Explorations in Practical, Pastoral and Empirical Theology)</w:t>
      </w:r>
      <w:r w:rsidRPr="004930E0">
        <w:rPr>
          <w:lang w:val="en-US"/>
        </w:rPr>
        <w:t xml:space="preserve">, </w:t>
      </w:r>
      <w:proofErr w:type="spellStart"/>
      <w:r w:rsidRPr="004930E0">
        <w:rPr>
          <w:lang w:val="en-US"/>
        </w:rPr>
        <w:t>Farnham</w:t>
      </w:r>
      <w:proofErr w:type="spellEnd"/>
      <w:r w:rsidRPr="004930E0">
        <w:rPr>
          <w:lang w:val="en-US"/>
        </w:rPr>
        <w:t xml:space="preserve">, </w:t>
      </w:r>
      <w:proofErr w:type="spellStart"/>
      <w:r w:rsidRPr="004930E0">
        <w:rPr>
          <w:lang w:val="en-US"/>
        </w:rPr>
        <w:t>Ashgate</w:t>
      </w:r>
      <w:proofErr w:type="spellEnd"/>
      <w:r w:rsidRPr="004930E0">
        <w:rPr>
          <w:lang w:val="en-US"/>
        </w:rPr>
        <w:t>, 2002.</w:t>
      </w:r>
    </w:p>
  </w:footnote>
  <w:footnote w:id="43">
    <w:p w:rsidR="00E4320D" w:rsidRPr="004930E0" w:rsidRDefault="00E4320D" w:rsidP="004930E0">
      <w:pPr>
        <w:pStyle w:val="Notedebasdepage"/>
        <w:rPr>
          <w:lang w:val="en-US"/>
        </w:rPr>
      </w:pPr>
      <w:r w:rsidRPr="004930E0">
        <w:rPr>
          <w:rStyle w:val="Appelnotedebasdep"/>
        </w:rPr>
        <w:footnoteRef/>
      </w:r>
      <w:r w:rsidRPr="004930E0">
        <w:rPr>
          <w:lang w:val="en-US"/>
        </w:rPr>
        <w:t xml:space="preserve"> Jeff </w:t>
      </w:r>
      <w:r w:rsidRPr="004930E0">
        <w:rPr>
          <w:smallCaps/>
          <w:lang w:val="en-US"/>
        </w:rPr>
        <w:t>Astley</w:t>
      </w:r>
      <w:r w:rsidR="004B1E13" w:rsidRPr="004930E0">
        <w:rPr>
          <w:smallCaps/>
          <w:lang w:val="en-US"/>
        </w:rPr>
        <w:t>,</w:t>
      </w:r>
      <w:r w:rsidRPr="004930E0">
        <w:rPr>
          <w:lang w:val="en-US"/>
        </w:rPr>
        <w:t xml:space="preserve"> </w:t>
      </w:r>
      <w:r w:rsidR="004B1E13" w:rsidRPr="004930E0">
        <w:rPr>
          <w:lang w:val="en-US"/>
        </w:rPr>
        <w:t xml:space="preserve">Leslie J. </w:t>
      </w:r>
      <w:r w:rsidR="004B1E13" w:rsidRPr="004930E0">
        <w:rPr>
          <w:smallCaps/>
          <w:lang w:val="en-US"/>
        </w:rPr>
        <w:t>Francis</w:t>
      </w:r>
      <w:r w:rsidRPr="004930E0">
        <w:rPr>
          <w:lang w:val="en-US"/>
        </w:rPr>
        <w:t xml:space="preserve"> (dir.), </w:t>
      </w:r>
      <w:r w:rsidRPr="004930E0">
        <w:rPr>
          <w:i/>
          <w:lang w:val="en-US"/>
        </w:rPr>
        <w:t>Exploring Ordinary Theology. Everyday Christian Believing and the Church</w:t>
      </w:r>
      <w:r w:rsidR="004B1E13" w:rsidRPr="004930E0">
        <w:rPr>
          <w:i/>
          <w:lang w:val="en-US"/>
        </w:rPr>
        <w:t xml:space="preserve"> </w:t>
      </w:r>
      <w:r w:rsidR="004B1E13" w:rsidRPr="004930E0">
        <w:rPr>
          <w:iCs/>
          <w:lang w:val="en-US"/>
        </w:rPr>
        <w:t>(Explorations in Practical, Pastoral and Empirical Theology)</w:t>
      </w:r>
      <w:r w:rsidR="004B1E13" w:rsidRPr="004930E0">
        <w:rPr>
          <w:lang w:val="en-US"/>
        </w:rPr>
        <w:t>,</w:t>
      </w:r>
      <w:r w:rsidRPr="004930E0">
        <w:rPr>
          <w:lang w:val="en-US"/>
        </w:rPr>
        <w:t xml:space="preserve"> </w:t>
      </w:r>
      <w:proofErr w:type="spellStart"/>
      <w:r w:rsidRPr="004930E0">
        <w:rPr>
          <w:lang w:val="en-US"/>
        </w:rPr>
        <w:t>Aldershot</w:t>
      </w:r>
      <w:proofErr w:type="spellEnd"/>
      <w:r w:rsidRPr="004930E0">
        <w:rPr>
          <w:lang w:val="en-US"/>
        </w:rPr>
        <w:t xml:space="preserve">, </w:t>
      </w:r>
      <w:proofErr w:type="spellStart"/>
      <w:r w:rsidRPr="004930E0">
        <w:rPr>
          <w:lang w:val="en-US"/>
        </w:rPr>
        <w:t>Ashgate</w:t>
      </w:r>
      <w:proofErr w:type="spellEnd"/>
      <w:r w:rsidRPr="004930E0">
        <w:rPr>
          <w:lang w:val="en-US"/>
        </w:rPr>
        <w:t>, 2013.</w:t>
      </w:r>
    </w:p>
  </w:footnote>
  <w:footnote w:id="44">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r w:rsidR="00773422" w:rsidRPr="004930E0">
        <w:rPr>
          <w:smallCaps/>
          <w:lang w:val="en-US"/>
        </w:rPr>
        <w:t>Astley</w:t>
      </w:r>
      <w:r w:rsidRPr="004930E0">
        <w:rPr>
          <w:rFonts w:cs="Times New Roman"/>
          <w:lang w:val="en-US"/>
        </w:rPr>
        <w:t xml:space="preserve">, </w:t>
      </w:r>
      <w:r w:rsidRPr="004930E0">
        <w:rPr>
          <w:rFonts w:cs="Times New Roman"/>
          <w:i/>
          <w:iCs/>
          <w:lang w:val="en-US"/>
        </w:rPr>
        <w:t>Ordinary Theology</w:t>
      </w:r>
      <w:r w:rsidRPr="004930E0">
        <w:rPr>
          <w:rFonts w:cs="Times New Roman"/>
          <w:lang w:val="en-US"/>
        </w:rPr>
        <w:t>, p. 144.</w:t>
      </w:r>
    </w:p>
  </w:footnote>
  <w:footnote w:id="45">
    <w:p w:rsidR="004B1E13" w:rsidRPr="004930E0" w:rsidRDefault="004B1E13" w:rsidP="004930E0">
      <w:pPr>
        <w:pStyle w:val="Notedebasdepage"/>
        <w:rPr>
          <w:lang w:val="en-US"/>
        </w:rPr>
      </w:pPr>
      <w:r w:rsidRPr="004930E0">
        <w:rPr>
          <w:rStyle w:val="Appelnotedebasdep"/>
        </w:rPr>
        <w:footnoteRef/>
      </w:r>
      <w:r w:rsidRPr="004930E0">
        <w:rPr>
          <w:lang w:val="en-US"/>
        </w:rPr>
        <w:t xml:space="preserve"> </w:t>
      </w:r>
      <w:r w:rsidR="00773422" w:rsidRPr="004930E0">
        <w:rPr>
          <w:smallCaps/>
          <w:lang w:val="en-US"/>
        </w:rPr>
        <w:t>Astley</w:t>
      </w:r>
      <w:r w:rsidRPr="004930E0">
        <w:rPr>
          <w:rFonts w:cs="Times New Roman"/>
          <w:lang w:val="en-US"/>
        </w:rPr>
        <w:t xml:space="preserve">, </w:t>
      </w:r>
      <w:r w:rsidRPr="004930E0">
        <w:rPr>
          <w:rFonts w:cs="Times New Roman"/>
          <w:i/>
          <w:iCs/>
          <w:lang w:val="en-US"/>
        </w:rPr>
        <w:t>Ordinary Theology</w:t>
      </w:r>
      <w:r w:rsidRPr="004930E0">
        <w:rPr>
          <w:rFonts w:cs="Times New Roman"/>
          <w:lang w:val="en-US"/>
        </w:rPr>
        <w:t xml:space="preserve">, p. 77. Sur </w:t>
      </w:r>
      <w:proofErr w:type="spellStart"/>
      <w:r w:rsidRPr="004930E0">
        <w:rPr>
          <w:rFonts w:cs="Times New Roman"/>
          <w:lang w:val="en-US"/>
        </w:rPr>
        <w:t>cette</w:t>
      </w:r>
      <w:proofErr w:type="spellEnd"/>
      <w:r w:rsidRPr="004930E0">
        <w:rPr>
          <w:rFonts w:cs="Times New Roman"/>
          <w:lang w:val="en-US"/>
        </w:rPr>
        <w:t xml:space="preserve"> </w:t>
      </w:r>
      <w:proofErr w:type="spellStart"/>
      <w:r w:rsidR="006D5FDA" w:rsidRPr="004930E0">
        <w:rPr>
          <w:rFonts w:cs="Times New Roman"/>
          <w:lang w:val="en-US"/>
        </w:rPr>
        <w:t>analogie</w:t>
      </w:r>
      <w:proofErr w:type="spellEnd"/>
      <w:r w:rsidRPr="004930E0">
        <w:rPr>
          <w:rFonts w:cs="Times New Roman"/>
          <w:lang w:val="en-US"/>
        </w:rPr>
        <w:t xml:space="preserve">, </w:t>
      </w:r>
      <w:proofErr w:type="spellStart"/>
      <w:r w:rsidRPr="004930E0">
        <w:rPr>
          <w:rFonts w:cs="Times New Roman"/>
          <w:lang w:val="en-US"/>
        </w:rPr>
        <w:t>voir</w:t>
      </w:r>
      <w:proofErr w:type="spellEnd"/>
      <w:r w:rsidRPr="004930E0">
        <w:rPr>
          <w:rFonts w:cs="Times New Roman"/>
          <w:lang w:val="en-US"/>
        </w:rPr>
        <w:t xml:space="preserve"> Anthony </w:t>
      </w:r>
      <w:r w:rsidRPr="004930E0">
        <w:rPr>
          <w:rFonts w:cs="Times New Roman"/>
          <w:smallCaps/>
          <w:lang w:val="en-US"/>
        </w:rPr>
        <w:t>Lees-Smith</w:t>
      </w:r>
      <w:r w:rsidRPr="004930E0">
        <w:rPr>
          <w:rFonts w:cs="Times New Roman"/>
          <w:lang w:val="en-US"/>
        </w:rPr>
        <w:t xml:space="preserve">, “Ordinary theology as ‘Mother Tongue’”, </w:t>
      </w:r>
      <w:proofErr w:type="spellStart"/>
      <w:r w:rsidRPr="004930E0">
        <w:rPr>
          <w:rFonts w:cs="Times New Roman"/>
          <w:lang w:val="en-US"/>
        </w:rPr>
        <w:t>dans</w:t>
      </w:r>
      <w:proofErr w:type="spellEnd"/>
      <w:r w:rsidRPr="004930E0">
        <w:rPr>
          <w:rFonts w:cs="Times New Roman"/>
          <w:lang w:val="en-US"/>
        </w:rPr>
        <w:t xml:space="preserve"> </w:t>
      </w:r>
      <w:r w:rsidRPr="004930E0">
        <w:rPr>
          <w:i/>
          <w:lang w:val="en-US"/>
        </w:rPr>
        <w:t>Exploring Ordinary Theology</w:t>
      </w:r>
      <w:r w:rsidRPr="004930E0">
        <w:rPr>
          <w:lang w:val="en-US"/>
        </w:rPr>
        <w:t xml:space="preserve">, p. 23-31. </w:t>
      </w:r>
    </w:p>
  </w:footnote>
  <w:footnote w:id="46">
    <w:p w:rsidR="00E4320D" w:rsidRPr="004930E0" w:rsidRDefault="00E4320D" w:rsidP="004930E0">
      <w:pPr>
        <w:pStyle w:val="Notedebasdepage"/>
      </w:pPr>
      <w:r w:rsidRPr="004930E0">
        <w:rPr>
          <w:rStyle w:val="Appelnotedebasdep"/>
        </w:rPr>
        <w:footnoteRef/>
      </w:r>
      <w:r w:rsidRPr="004930E0">
        <w:t xml:space="preserve"> Jorge </w:t>
      </w:r>
      <w:r w:rsidRPr="004930E0">
        <w:rPr>
          <w:smallCaps/>
        </w:rPr>
        <w:t xml:space="preserve">Fraile </w:t>
      </w:r>
      <w:proofErr w:type="spellStart"/>
      <w:r w:rsidRPr="004930E0">
        <w:rPr>
          <w:smallCaps/>
        </w:rPr>
        <w:t>Fabero</w:t>
      </w:r>
      <w:proofErr w:type="spellEnd"/>
      <w:r w:rsidRPr="004930E0">
        <w:t xml:space="preserve">, </w:t>
      </w:r>
      <w:r w:rsidRPr="004930E0">
        <w:rPr>
          <w:i/>
        </w:rPr>
        <w:t>Interprétation de la prière de guérison et des guérisons dans le Renouveau charismatique espagnol. Contribution d’une théologie empirique</w:t>
      </w:r>
      <w:r w:rsidRPr="004930E0">
        <w:t>, Lille, Université catholique de Lille, 2019, p. 71.</w:t>
      </w:r>
    </w:p>
  </w:footnote>
  <w:footnote w:id="47">
    <w:p w:rsidR="00E4320D" w:rsidRPr="004930E0" w:rsidRDefault="00E4320D" w:rsidP="004930E0">
      <w:pPr>
        <w:pStyle w:val="Notedebasdepage"/>
      </w:pPr>
      <w:r w:rsidRPr="004930E0">
        <w:rPr>
          <w:rStyle w:val="Appelnotedebasdep"/>
        </w:rPr>
        <w:footnoteRef/>
      </w:r>
      <w:r w:rsidRPr="004930E0">
        <w:t xml:space="preserve"> </w:t>
      </w:r>
      <w:r w:rsidRPr="004930E0">
        <w:rPr>
          <w:rFonts w:cs="Times New Roman"/>
        </w:rPr>
        <w:t xml:space="preserve">Étienne </w:t>
      </w:r>
      <w:proofErr w:type="spellStart"/>
      <w:r w:rsidR="00773422" w:rsidRPr="004930E0">
        <w:rPr>
          <w:rFonts w:cs="Times New Roman"/>
          <w:smallCaps/>
        </w:rPr>
        <w:t>Grieu</w:t>
      </w:r>
      <w:proofErr w:type="spellEnd"/>
      <w:r w:rsidRPr="004930E0">
        <w:rPr>
          <w:rFonts w:cs="Times New Roman"/>
        </w:rPr>
        <w:t xml:space="preserve">, </w:t>
      </w:r>
      <w:proofErr w:type="spellStart"/>
      <w:r w:rsidRPr="004930E0">
        <w:rPr>
          <w:rFonts w:cs="Times New Roman"/>
        </w:rPr>
        <w:t>Gwennola</w:t>
      </w:r>
      <w:proofErr w:type="spellEnd"/>
      <w:r w:rsidRPr="004930E0">
        <w:rPr>
          <w:rFonts w:cs="Times New Roman"/>
        </w:rPr>
        <w:t xml:space="preserve"> </w:t>
      </w:r>
      <w:proofErr w:type="spellStart"/>
      <w:r w:rsidRPr="004930E0">
        <w:rPr>
          <w:rFonts w:cs="Times New Roman"/>
          <w:smallCaps/>
        </w:rPr>
        <w:t>R</w:t>
      </w:r>
      <w:r w:rsidR="00773422" w:rsidRPr="004930E0">
        <w:rPr>
          <w:rFonts w:cs="Times New Roman"/>
          <w:smallCaps/>
        </w:rPr>
        <w:t>imbaut</w:t>
      </w:r>
      <w:proofErr w:type="spellEnd"/>
      <w:r w:rsidRPr="004930E0">
        <w:rPr>
          <w:rFonts w:cs="Times New Roman"/>
        </w:rPr>
        <w:t xml:space="preserve">, Laure </w:t>
      </w:r>
      <w:r w:rsidRPr="004930E0">
        <w:rPr>
          <w:rFonts w:cs="Times New Roman"/>
          <w:smallCaps/>
        </w:rPr>
        <w:t>B</w:t>
      </w:r>
      <w:r w:rsidR="00773422" w:rsidRPr="004930E0">
        <w:rPr>
          <w:rFonts w:cs="Times New Roman"/>
          <w:smallCaps/>
        </w:rPr>
        <w:t>lanchon</w:t>
      </w:r>
      <w:r w:rsidRPr="004930E0">
        <w:rPr>
          <w:rFonts w:cs="Times New Roman"/>
        </w:rPr>
        <w:t xml:space="preserve"> (</w:t>
      </w:r>
      <w:proofErr w:type="spellStart"/>
      <w:r w:rsidRPr="004930E0">
        <w:rPr>
          <w:rFonts w:cs="Times New Roman"/>
        </w:rPr>
        <w:t>dir</w:t>
      </w:r>
      <w:proofErr w:type="spellEnd"/>
      <w:r w:rsidRPr="004930E0">
        <w:rPr>
          <w:rFonts w:cs="Times New Roman"/>
        </w:rPr>
        <w:t xml:space="preserve">.), </w:t>
      </w:r>
      <w:r w:rsidRPr="004930E0">
        <w:rPr>
          <w:rFonts w:cs="Times New Roman"/>
          <w:i/>
          <w:iCs/>
        </w:rPr>
        <w:t xml:space="preserve">Qu’est-ce qui fait vivre encore quand tout s’écroule ? Une théologie à l’école des plus pauvres </w:t>
      </w:r>
      <w:r w:rsidRPr="004930E0">
        <w:rPr>
          <w:rFonts w:cs="Times New Roman"/>
          <w:iCs/>
        </w:rPr>
        <w:t>(Théologies pratiques)</w:t>
      </w:r>
      <w:r w:rsidRPr="004930E0">
        <w:rPr>
          <w:rFonts w:cs="Times New Roman"/>
        </w:rPr>
        <w:t xml:space="preserve">, Namur, Lumen Vitae, 2017 ; Frédéric-Marie </w:t>
      </w:r>
      <w:r w:rsidRPr="004930E0">
        <w:rPr>
          <w:rFonts w:cs="Times New Roman"/>
          <w:smallCaps/>
        </w:rPr>
        <w:t>L</w:t>
      </w:r>
      <w:r w:rsidR="00773422" w:rsidRPr="004930E0">
        <w:rPr>
          <w:rFonts w:cs="Times New Roman"/>
          <w:smallCaps/>
        </w:rPr>
        <w:t>e</w:t>
      </w:r>
      <w:r w:rsidRPr="004930E0">
        <w:rPr>
          <w:rFonts w:cs="Times New Roman"/>
        </w:rPr>
        <w:t xml:space="preserve"> </w:t>
      </w:r>
      <w:proofErr w:type="spellStart"/>
      <w:r w:rsidRPr="004930E0">
        <w:rPr>
          <w:rFonts w:cs="Times New Roman"/>
          <w:smallCaps/>
        </w:rPr>
        <w:t>Méhauté</w:t>
      </w:r>
      <w:proofErr w:type="spellEnd"/>
      <w:r w:rsidRPr="004930E0">
        <w:rPr>
          <w:rFonts w:cs="Times New Roman"/>
        </w:rPr>
        <w:t xml:space="preserve">, </w:t>
      </w:r>
      <w:r w:rsidRPr="004930E0">
        <w:rPr>
          <w:rFonts w:cs="Times New Roman"/>
          <w:i/>
          <w:iCs/>
        </w:rPr>
        <w:t xml:space="preserve">Les messagers du festin. La communauté en genèse à partir des plus pauvres, </w:t>
      </w:r>
      <w:r w:rsidRPr="004930E0">
        <w:rPr>
          <w:rFonts w:cs="Times New Roman"/>
          <w:iCs/>
        </w:rPr>
        <w:t>Louvain-la-Neuve-Québec-Paris,</w:t>
      </w:r>
      <w:r w:rsidRPr="004930E0">
        <w:rPr>
          <w:rFonts w:cs="Times New Roman"/>
          <w:i/>
          <w:iCs/>
        </w:rPr>
        <w:t xml:space="preserve"> </w:t>
      </w:r>
      <w:r w:rsidRPr="004930E0">
        <w:rPr>
          <w:rFonts w:cs="Times New Roman"/>
          <w:iCs/>
        </w:rPr>
        <w:t>Cahiers Internationaux de Théologie Pratique, série Recherches n° 14, en ligne : www.pastoralis.org, octobre 2014</w:t>
      </w:r>
      <w:r w:rsidR="00773422" w:rsidRPr="004930E0">
        <w:rPr>
          <w:rFonts w:cs="Times New Roman"/>
          <w:iCs/>
        </w:rPr>
        <w:t xml:space="preserve"> ; François </w:t>
      </w:r>
      <w:proofErr w:type="spellStart"/>
      <w:r w:rsidR="00773422" w:rsidRPr="004930E0">
        <w:rPr>
          <w:rFonts w:cs="Times New Roman"/>
          <w:iCs/>
          <w:smallCaps/>
        </w:rPr>
        <w:t>Odinet</w:t>
      </w:r>
      <w:proofErr w:type="spellEnd"/>
      <w:r w:rsidR="00773422" w:rsidRPr="004930E0">
        <w:rPr>
          <w:rFonts w:cs="Times New Roman"/>
          <w:iCs/>
        </w:rPr>
        <w:t xml:space="preserve">, </w:t>
      </w:r>
      <w:r w:rsidR="00773422" w:rsidRPr="004930E0">
        <w:rPr>
          <w:rFonts w:cs="Times New Roman"/>
          <w:i/>
          <w:iCs/>
        </w:rPr>
        <w:t>Vivants grâce à Dieu</w:t>
      </w:r>
      <w:r w:rsidR="00773422" w:rsidRPr="004930E0">
        <w:rPr>
          <w:rFonts w:cs="Times New Roman"/>
          <w:iCs/>
        </w:rPr>
        <w:t>, Montréal / Namur, Novalis / Lumen Vitae, 2018</w:t>
      </w:r>
      <w:r w:rsidRPr="004930E0">
        <w:rPr>
          <w:rFonts w:cs="Times New Roman"/>
          <w:iCs/>
        </w:rPr>
        <w:t>.</w:t>
      </w:r>
    </w:p>
  </w:footnote>
  <w:footnote w:id="48">
    <w:p w:rsidR="00E4320D" w:rsidRPr="004930E0" w:rsidRDefault="00E4320D" w:rsidP="004930E0">
      <w:pPr>
        <w:pStyle w:val="Notedebasdepage"/>
      </w:pPr>
      <w:r w:rsidRPr="004930E0">
        <w:rPr>
          <w:rStyle w:val="Appelnotedebasdep"/>
        </w:rPr>
        <w:footnoteRef/>
      </w:r>
      <w:r w:rsidRPr="004930E0">
        <w:t xml:space="preserve"> Étienne </w:t>
      </w:r>
      <w:proofErr w:type="spellStart"/>
      <w:r w:rsidRPr="004930E0">
        <w:rPr>
          <w:smallCaps/>
        </w:rPr>
        <w:t>G</w:t>
      </w:r>
      <w:r w:rsidR="00773422" w:rsidRPr="004930E0">
        <w:rPr>
          <w:smallCaps/>
        </w:rPr>
        <w:t>rieu</w:t>
      </w:r>
      <w:proofErr w:type="spellEnd"/>
      <w:r w:rsidRPr="004930E0">
        <w:t xml:space="preserve">, Laure </w:t>
      </w:r>
      <w:r w:rsidRPr="004930E0">
        <w:rPr>
          <w:smallCaps/>
        </w:rPr>
        <w:t>Blanchon</w:t>
      </w:r>
      <w:r w:rsidRPr="004930E0">
        <w:t>, ‟</w:t>
      </w:r>
      <w:r w:rsidRPr="004930E0">
        <w:rPr>
          <w:iCs/>
        </w:rPr>
        <w:t>L’apport des personnes en détresse à l’élaboration d’une intelligence de la foi”</w:t>
      </w:r>
      <w:r w:rsidRPr="004930E0">
        <w:t xml:space="preserve">, dans </w:t>
      </w:r>
      <w:r w:rsidRPr="004930E0">
        <w:rPr>
          <w:i/>
          <w:iCs/>
        </w:rPr>
        <w:t>Qu’est-ce qui fait vivre encore quand tout s’écroule ?</w:t>
      </w:r>
      <w:r w:rsidRPr="004930E0">
        <w:rPr>
          <w:iCs/>
        </w:rPr>
        <w:t>,</w:t>
      </w:r>
      <w:r w:rsidRPr="004930E0">
        <w:t xml:space="preserve"> p. 139-150.  </w:t>
      </w:r>
    </w:p>
  </w:footnote>
  <w:footnote w:id="49">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proofErr w:type="gramStart"/>
      <w:r w:rsidRPr="004930E0">
        <w:rPr>
          <w:lang w:val="en-US"/>
        </w:rPr>
        <w:t>Ibid.,</w:t>
      </w:r>
      <w:proofErr w:type="gramEnd"/>
      <w:r w:rsidRPr="004930E0">
        <w:rPr>
          <w:lang w:val="en-US"/>
        </w:rPr>
        <w:t xml:space="preserve"> p. 144.</w:t>
      </w:r>
    </w:p>
  </w:footnote>
  <w:footnote w:id="50">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proofErr w:type="gramStart"/>
      <w:r w:rsidRPr="004930E0">
        <w:rPr>
          <w:lang w:val="en-US"/>
        </w:rPr>
        <w:t>Ibid.,</w:t>
      </w:r>
      <w:proofErr w:type="gramEnd"/>
      <w:r w:rsidRPr="004930E0">
        <w:rPr>
          <w:lang w:val="en-US"/>
        </w:rPr>
        <w:t xml:space="preserve"> p. 145.</w:t>
      </w:r>
    </w:p>
  </w:footnote>
  <w:footnote w:id="51">
    <w:p w:rsidR="00E4320D" w:rsidRPr="004930E0" w:rsidRDefault="00E4320D" w:rsidP="004930E0">
      <w:pPr>
        <w:pStyle w:val="Notedebasdepage"/>
        <w:rPr>
          <w:lang w:val="en-US"/>
        </w:rPr>
      </w:pPr>
      <w:r w:rsidRPr="004930E0">
        <w:rPr>
          <w:rStyle w:val="Appelnotedebasdep"/>
        </w:rPr>
        <w:footnoteRef/>
      </w:r>
      <w:r w:rsidRPr="004930E0">
        <w:rPr>
          <w:lang w:val="en-US"/>
        </w:rPr>
        <w:t xml:space="preserve"> </w:t>
      </w:r>
      <w:r w:rsidRPr="004930E0">
        <w:rPr>
          <w:rFonts w:cs="Times New Roman"/>
          <w:smallCaps/>
          <w:lang w:val="en-US"/>
        </w:rPr>
        <w:t>A</w:t>
      </w:r>
      <w:r w:rsidR="00773422" w:rsidRPr="004930E0">
        <w:rPr>
          <w:rFonts w:cs="Times New Roman"/>
          <w:smallCaps/>
          <w:lang w:val="en-US"/>
        </w:rPr>
        <w:t>stley</w:t>
      </w:r>
      <w:r w:rsidRPr="004930E0">
        <w:rPr>
          <w:rFonts w:cs="Times New Roman"/>
          <w:lang w:val="en-US"/>
        </w:rPr>
        <w:t xml:space="preserve">, </w:t>
      </w:r>
      <w:r w:rsidRPr="004930E0">
        <w:rPr>
          <w:rFonts w:cs="Times New Roman"/>
          <w:i/>
          <w:iCs/>
          <w:lang w:val="en-US"/>
        </w:rPr>
        <w:t>Ordinary Theology</w:t>
      </w:r>
      <w:r w:rsidRPr="004930E0">
        <w:rPr>
          <w:rFonts w:cs="Times New Roman"/>
          <w:lang w:val="en-US"/>
        </w:rPr>
        <w:t>, p. 86.</w:t>
      </w:r>
    </w:p>
  </w:footnote>
  <w:footnote w:id="52">
    <w:p w:rsidR="00E4320D" w:rsidRPr="004930E0" w:rsidRDefault="00E4320D" w:rsidP="004930E0">
      <w:pPr>
        <w:pStyle w:val="Notedebasdepage"/>
        <w:rPr>
          <w:lang w:val="en-US"/>
        </w:rPr>
      </w:pPr>
      <w:r w:rsidRPr="004930E0">
        <w:rPr>
          <w:rStyle w:val="Appelnotedebasdep"/>
        </w:rPr>
        <w:footnoteRef/>
      </w:r>
      <w:r w:rsidRPr="004930E0">
        <w:rPr>
          <w:lang w:val="en-US"/>
        </w:rPr>
        <w:t xml:space="preserve"> Helen</w:t>
      </w:r>
      <w:r w:rsidRPr="004930E0">
        <w:rPr>
          <w:smallCaps/>
          <w:lang w:val="en-US"/>
        </w:rPr>
        <w:t xml:space="preserve"> Cameron [</w:t>
      </w:r>
      <w:proofErr w:type="spellStart"/>
      <w:r w:rsidRPr="004930E0">
        <w:rPr>
          <w:lang w:val="en-US"/>
        </w:rPr>
        <w:t>e.a</w:t>
      </w:r>
      <w:proofErr w:type="spellEnd"/>
      <w:r w:rsidRPr="004930E0">
        <w:rPr>
          <w:lang w:val="en-US"/>
        </w:rPr>
        <w:t xml:space="preserve">.], </w:t>
      </w:r>
      <w:r w:rsidRPr="004930E0">
        <w:rPr>
          <w:i/>
          <w:lang w:val="en-US"/>
        </w:rPr>
        <w:t>Talking about God in Practice. Theological Action Research and Practical Theology</w:t>
      </w:r>
      <w:r w:rsidRPr="004930E0">
        <w:rPr>
          <w:lang w:val="en-US"/>
        </w:rPr>
        <w:t>, London, SCM Press, 2010</w:t>
      </w:r>
      <w:r w:rsidR="008A0464" w:rsidRPr="004930E0">
        <w:rPr>
          <w:lang w:val="en-US"/>
        </w:rPr>
        <w:t>.</w:t>
      </w:r>
    </w:p>
  </w:footnote>
  <w:footnote w:id="53">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t>Annemie</w:t>
      </w:r>
      <w:proofErr w:type="spellEnd"/>
      <w:r w:rsidRPr="004930E0">
        <w:t xml:space="preserve"> </w:t>
      </w:r>
      <w:proofErr w:type="spellStart"/>
      <w:r w:rsidRPr="004930E0">
        <w:rPr>
          <w:smallCaps/>
        </w:rPr>
        <w:t>Dillen</w:t>
      </w:r>
      <w:proofErr w:type="spellEnd"/>
      <w:r w:rsidRPr="004930E0">
        <w:t>, ‟</w:t>
      </w:r>
      <w:r w:rsidRPr="004930E0">
        <w:rPr>
          <w:bCs/>
        </w:rPr>
        <w:t xml:space="preserve">Le statut de l’expérience en théologie. </w:t>
      </w:r>
      <w:r w:rsidRPr="004930E0">
        <w:t xml:space="preserve">L’abîme entre l’idéal et la réalité”, dans Arnaud </w:t>
      </w:r>
      <w:r w:rsidRPr="004930E0">
        <w:rPr>
          <w:smallCaps/>
        </w:rPr>
        <w:t xml:space="preserve">Join-Lambert, </w:t>
      </w:r>
      <w:r w:rsidRPr="004930E0">
        <w:t xml:space="preserve">Axel </w:t>
      </w:r>
      <w:r w:rsidRPr="004930E0">
        <w:rPr>
          <w:smallCaps/>
        </w:rPr>
        <w:t xml:space="preserve">Liégeois, </w:t>
      </w:r>
      <w:r w:rsidRPr="004930E0">
        <w:t xml:space="preserve">Catherine </w:t>
      </w:r>
      <w:r w:rsidRPr="004930E0">
        <w:rPr>
          <w:smallCaps/>
        </w:rPr>
        <w:t>Chevalier</w:t>
      </w:r>
      <w:r w:rsidRPr="004930E0">
        <w:t xml:space="preserve"> (</w:t>
      </w:r>
      <w:proofErr w:type="spellStart"/>
      <w:r w:rsidRPr="004930E0">
        <w:t>dir</w:t>
      </w:r>
      <w:proofErr w:type="spellEnd"/>
      <w:r w:rsidRPr="004930E0">
        <w:t xml:space="preserve">.), </w:t>
      </w:r>
      <w:r w:rsidRPr="004930E0">
        <w:rPr>
          <w:i/>
        </w:rPr>
        <w:t xml:space="preserve">Autorité et pouvoir dans l’agir pastoral </w:t>
      </w:r>
      <w:r w:rsidRPr="004930E0">
        <w:t>(Théologies pratiques), Namur, Lumen Vitae, 2016, p. 33-47.</w:t>
      </w:r>
    </w:p>
  </w:footnote>
  <w:footnote w:id="54">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rPr>
          <w:smallCaps/>
        </w:rPr>
        <w:t>Dillen</w:t>
      </w:r>
      <w:proofErr w:type="spellEnd"/>
      <w:r w:rsidRPr="004930E0">
        <w:t>, ‟</w:t>
      </w:r>
      <w:r w:rsidRPr="004930E0">
        <w:rPr>
          <w:bCs/>
        </w:rPr>
        <w:t>Le statut de l’expérience en théologie”, p. 37.</w:t>
      </w:r>
    </w:p>
  </w:footnote>
  <w:footnote w:id="55">
    <w:p w:rsidR="00E4320D" w:rsidRPr="004930E0" w:rsidRDefault="00E4320D" w:rsidP="004930E0">
      <w:pPr>
        <w:pStyle w:val="Notedebasdepage"/>
      </w:pPr>
      <w:r w:rsidRPr="004930E0">
        <w:rPr>
          <w:rStyle w:val="Appelnotedebasdep"/>
        </w:rPr>
        <w:footnoteRef/>
      </w:r>
      <w:r w:rsidRPr="004930E0">
        <w:t xml:space="preserve"> Ibid.</w:t>
      </w:r>
    </w:p>
  </w:footnote>
  <w:footnote w:id="56">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rPr>
          <w:smallCaps/>
        </w:rPr>
        <w:t>Dillen</w:t>
      </w:r>
      <w:proofErr w:type="spellEnd"/>
      <w:r w:rsidRPr="004930E0">
        <w:t>, ‟</w:t>
      </w:r>
      <w:r w:rsidRPr="004930E0">
        <w:rPr>
          <w:bCs/>
        </w:rPr>
        <w:t>Le statut de l’expérience en théologie”, p. 38-39.</w:t>
      </w:r>
    </w:p>
  </w:footnote>
  <w:footnote w:id="57">
    <w:p w:rsidR="00E4320D" w:rsidRPr="004930E0" w:rsidRDefault="00E4320D" w:rsidP="004930E0">
      <w:pPr>
        <w:pStyle w:val="Notedebasdepage"/>
      </w:pPr>
      <w:r w:rsidRPr="004930E0">
        <w:rPr>
          <w:rStyle w:val="Appelnotedebasdep"/>
        </w:rPr>
        <w:footnoteRef/>
      </w:r>
      <w:r w:rsidRPr="004930E0">
        <w:t xml:space="preserve"> Isabelle </w:t>
      </w:r>
      <w:r w:rsidRPr="004930E0">
        <w:rPr>
          <w:smallCaps/>
        </w:rPr>
        <w:t>Grellier</w:t>
      </w:r>
      <w:r w:rsidRPr="004930E0">
        <w:t xml:space="preserve">, ‟L’écart, lieu et chance pour la théologie pratique”, </w:t>
      </w:r>
      <w:r w:rsidRPr="004930E0">
        <w:rPr>
          <w:i/>
        </w:rPr>
        <w:t xml:space="preserve">Laval théologique et philosophique </w:t>
      </w:r>
      <w:r w:rsidRPr="004930E0">
        <w:t xml:space="preserve">60, 2004, p. 269-281. La notion d’écart est reprise encore en 2018 par É. </w:t>
      </w:r>
      <w:r w:rsidRPr="004930E0">
        <w:rPr>
          <w:smallCaps/>
        </w:rPr>
        <w:t>Parmentier</w:t>
      </w:r>
      <w:r w:rsidRPr="004930E0">
        <w:t xml:space="preserve">, ‟L’interprétation théologique”, p. 668 ; Christophe </w:t>
      </w:r>
      <w:r w:rsidRPr="004930E0">
        <w:rPr>
          <w:smallCaps/>
        </w:rPr>
        <w:t>Singer</w:t>
      </w:r>
      <w:r w:rsidRPr="004930E0">
        <w:t xml:space="preserve">, ‟Le statut du théologien pratique : entre engagement et lecture distanciée”, </w:t>
      </w:r>
      <w:r w:rsidRPr="004930E0">
        <w:rPr>
          <w:i/>
        </w:rPr>
        <w:t xml:space="preserve">Études théologiques et religieuses </w:t>
      </w:r>
      <w:r w:rsidRPr="004930E0">
        <w:t>93, 2018, p. 685-700, ici p. 700.</w:t>
      </w:r>
    </w:p>
  </w:footnote>
  <w:footnote w:id="58">
    <w:p w:rsidR="00E4320D" w:rsidRPr="004930E0" w:rsidRDefault="00E4320D" w:rsidP="004930E0">
      <w:pPr>
        <w:pStyle w:val="Notedebasdepage"/>
      </w:pPr>
      <w:r w:rsidRPr="004930E0">
        <w:rPr>
          <w:rStyle w:val="Appelnotedebasdep"/>
        </w:rPr>
        <w:footnoteRef/>
      </w:r>
      <w:r w:rsidRPr="004930E0">
        <w:t xml:space="preserve"> </w:t>
      </w:r>
      <w:r w:rsidRPr="004930E0">
        <w:rPr>
          <w:smallCaps/>
        </w:rPr>
        <w:t>Vasseur</w:t>
      </w:r>
      <w:r w:rsidRPr="004930E0">
        <w:t>, ‟Analyse qualitative en psychologie”, p. 578.</w:t>
      </w:r>
    </w:p>
  </w:footnote>
  <w:footnote w:id="59">
    <w:p w:rsidR="00E4320D" w:rsidRPr="004930E0" w:rsidRDefault="00E4320D" w:rsidP="004930E0">
      <w:pPr>
        <w:pStyle w:val="Notedebasdepage"/>
      </w:pPr>
      <w:r w:rsidRPr="004930E0">
        <w:rPr>
          <w:rStyle w:val="Appelnotedebasdep"/>
        </w:rPr>
        <w:footnoteRef/>
      </w:r>
      <w:r w:rsidRPr="004930E0">
        <w:t xml:space="preserve"> </w:t>
      </w:r>
      <w:proofErr w:type="spellStart"/>
      <w:r w:rsidRPr="004930E0">
        <w:t>Jea</w:t>
      </w:r>
      <w:proofErr w:type="spellEnd"/>
      <w:r w:rsidRPr="004930E0">
        <w:rPr>
          <w:lang w:val="fr-CH"/>
        </w:rPr>
        <w:t xml:space="preserve">n </w:t>
      </w:r>
      <w:proofErr w:type="spellStart"/>
      <w:r w:rsidRPr="004930E0">
        <w:rPr>
          <w:smallCaps/>
          <w:lang w:val="fr-CH"/>
        </w:rPr>
        <w:t>Mouroux</w:t>
      </w:r>
      <w:proofErr w:type="spellEnd"/>
      <w:r w:rsidRPr="004930E0">
        <w:rPr>
          <w:lang w:val="fr-CH"/>
        </w:rPr>
        <w:fldChar w:fldCharType="begin"/>
      </w:r>
      <w:r w:rsidRPr="004930E0">
        <w:instrText xml:space="preserve"> XE "</w:instrText>
      </w:r>
      <w:r w:rsidRPr="004930E0">
        <w:rPr>
          <w:lang w:val="fr-CH"/>
        </w:rPr>
        <w:instrText>Mouroux</w:instrText>
      </w:r>
      <w:r w:rsidRPr="004930E0">
        <w:instrText xml:space="preserve">" </w:instrText>
      </w:r>
      <w:r w:rsidRPr="004930E0">
        <w:rPr>
          <w:lang w:val="fr-CH"/>
        </w:rPr>
        <w:fldChar w:fldCharType="end"/>
      </w:r>
      <w:r w:rsidRPr="004930E0">
        <w:rPr>
          <w:lang w:val="fr-CH"/>
        </w:rPr>
        <w:t xml:space="preserve">, </w:t>
      </w:r>
      <w:r w:rsidRPr="004930E0">
        <w:rPr>
          <w:i/>
          <w:lang w:val="fr-CH"/>
        </w:rPr>
        <w:t xml:space="preserve">L’expérience chrétienne. Introduction à une théologie </w:t>
      </w:r>
      <w:r w:rsidRPr="004930E0">
        <w:rPr>
          <w:lang w:val="fr-CH"/>
        </w:rPr>
        <w:t xml:space="preserve">(Théologie 26), Paris, Beauchesne, 1952. Je développe cela dans </w:t>
      </w:r>
      <w:r w:rsidRPr="004930E0">
        <w:rPr>
          <w:i/>
          <w:lang w:val="fr-CH"/>
        </w:rPr>
        <w:t>Entrer en théologie pratique</w:t>
      </w:r>
      <w:r w:rsidRPr="004930E0">
        <w:rPr>
          <w:lang w:val="fr-CH"/>
        </w:rPr>
        <w:t>, p. 25-31.</w:t>
      </w:r>
      <w:r w:rsidR="00A66BAC" w:rsidRPr="004930E0">
        <w:rPr>
          <w:lang w:val="fr-CH"/>
        </w:rPr>
        <w:t xml:space="preserve"> </w:t>
      </w:r>
    </w:p>
  </w:footnote>
  <w:footnote w:id="60">
    <w:p w:rsidR="00E4320D" w:rsidRPr="004930E0" w:rsidRDefault="00E4320D" w:rsidP="004930E0">
      <w:pPr>
        <w:pStyle w:val="Notedebasdepage"/>
      </w:pPr>
      <w:r w:rsidRPr="004930E0">
        <w:rPr>
          <w:rStyle w:val="Appelnotedebasdep"/>
        </w:rPr>
        <w:footnoteRef/>
      </w:r>
      <w:r w:rsidR="00DB73B6" w:rsidRPr="004930E0">
        <w:t xml:space="preserve"> Hans </w:t>
      </w:r>
      <w:proofErr w:type="spellStart"/>
      <w:r w:rsidR="00DB73B6" w:rsidRPr="004930E0">
        <w:t>Urs</w:t>
      </w:r>
      <w:proofErr w:type="spellEnd"/>
      <w:r w:rsidR="00DB73B6" w:rsidRPr="004930E0">
        <w:t xml:space="preserve"> </w:t>
      </w:r>
      <w:proofErr w:type="spellStart"/>
      <w:r w:rsidR="00DB73B6" w:rsidRPr="004930E0">
        <w:rPr>
          <w:smallCaps/>
        </w:rPr>
        <w:t>von</w:t>
      </w:r>
      <w:proofErr w:type="spellEnd"/>
      <w:r w:rsidRPr="004930E0">
        <w:rPr>
          <w:smallCaps/>
        </w:rPr>
        <w:t xml:space="preserve"> B</w:t>
      </w:r>
      <w:r w:rsidR="00DB73B6" w:rsidRPr="004930E0">
        <w:rPr>
          <w:smallCaps/>
        </w:rPr>
        <w:t>althasar</w:t>
      </w:r>
      <w:r w:rsidRPr="004930E0">
        <w:t xml:space="preserve">, </w:t>
      </w:r>
      <w:r w:rsidRPr="004930E0">
        <w:rPr>
          <w:i/>
          <w:iCs/>
        </w:rPr>
        <w:t xml:space="preserve">La </w:t>
      </w:r>
      <w:r w:rsidR="00F77A7A" w:rsidRPr="004930E0">
        <w:rPr>
          <w:i/>
          <w:iCs/>
        </w:rPr>
        <w:t xml:space="preserve">gloire et la croix. Les aspects esthétiques de la révélation. I. Apparition </w:t>
      </w:r>
      <w:r w:rsidR="00F77A7A" w:rsidRPr="004930E0">
        <w:rPr>
          <w:iCs/>
        </w:rPr>
        <w:t>(Théologie 61)</w:t>
      </w:r>
      <w:r w:rsidRPr="004930E0">
        <w:rPr>
          <w:iCs/>
        </w:rPr>
        <w:t>,</w:t>
      </w:r>
      <w:r w:rsidRPr="004930E0">
        <w:rPr>
          <w:i/>
          <w:iCs/>
        </w:rPr>
        <w:t xml:space="preserve"> </w:t>
      </w:r>
      <w:r w:rsidRPr="004930E0">
        <w:t xml:space="preserve">Paris, </w:t>
      </w:r>
      <w:r w:rsidR="00F77A7A" w:rsidRPr="004930E0">
        <w:t>Aubier, 1965, p. 109-360.</w:t>
      </w:r>
    </w:p>
  </w:footnote>
  <w:footnote w:id="61">
    <w:p w:rsidR="00E4320D" w:rsidRPr="004930E0" w:rsidRDefault="00E4320D" w:rsidP="004930E0">
      <w:pPr>
        <w:pStyle w:val="Notedebasdepage"/>
      </w:pPr>
      <w:r w:rsidRPr="004930E0">
        <w:rPr>
          <w:rStyle w:val="Appelnotedebasdep"/>
        </w:rPr>
        <w:footnoteRef/>
      </w:r>
      <w:r w:rsidRPr="004930E0">
        <w:t xml:space="preserve"> Jean </w:t>
      </w:r>
      <w:proofErr w:type="spellStart"/>
      <w:r w:rsidRPr="004930E0">
        <w:rPr>
          <w:smallCaps/>
        </w:rPr>
        <w:t>Ansaldi</w:t>
      </w:r>
      <w:proofErr w:type="spellEnd"/>
      <w:r w:rsidRPr="004930E0">
        <w:t xml:space="preserve">, </w:t>
      </w:r>
      <w:r w:rsidRPr="004930E0">
        <w:rPr>
          <w:i/>
        </w:rPr>
        <w:t>L’articulation de la foi, de la théologie et des Écritures</w:t>
      </w:r>
      <w:r w:rsidRPr="004930E0">
        <w:t xml:space="preserve"> (</w:t>
      </w:r>
      <w:proofErr w:type="spellStart"/>
      <w:r w:rsidRPr="004930E0">
        <w:t>Cogitatio</w:t>
      </w:r>
      <w:proofErr w:type="spellEnd"/>
      <w:r w:rsidRPr="004930E0">
        <w:t xml:space="preserve"> </w:t>
      </w:r>
      <w:proofErr w:type="spellStart"/>
      <w:r w:rsidRPr="004930E0">
        <w:t>fidei</w:t>
      </w:r>
      <w:proofErr w:type="spellEnd"/>
      <w:r w:rsidRPr="004930E0">
        <w:t xml:space="preserve"> 163), Paris, Cerf, 1991, notamment p. 33.</w:t>
      </w:r>
    </w:p>
  </w:footnote>
  <w:footnote w:id="62">
    <w:p w:rsidR="00A66BAC" w:rsidRPr="004930E0" w:rsidRDefault="00A66BAC" w:rsidP="004930E0">
      <w:pPr>
        <w:pStyle w:val="Notedebasdepage"/>
        <w:rPr>
          <w:lang w:val="en-US"/>
        </w:rPr>
      </w:pPr>
      <w:r w:rsidRPr="004930E0">
        <w:rPr>
          <w:rStyle w:val="Appelnotedebasdep"/>
        </w:rPr>
        <w:footnoteRef/>
      </w:r>
      <w:r w:rsidRPr="004930E0">
        <w:rPr>
          <w:lang w:val="en-US"/>
        </w:rPr>
        <w:t xml:space="preserve"> </w:t>
      </w:r>
      <w:proofErr w:type="spellStart"/>
      <w:r w:rsidRPr="004930E0">
        <w:rPr>
          <w:lang w:val="en-US"/>
        </w:rPr>
        <w:t>Voir</w:t>
      </w:r>
      <w:proofErr w:type="spellEnd"/>
      <w:r w:rsidRPr="004930E0">
        <w:rPr>
          <w:lang w:val="en-US"/>
        </w:rPr>
        <w:t xml:space="preserve"> Colleen M. </w:t>
      </w:r>
      <w:r w:rsidRPr="004930E0">
        <w:rPr>
          <w:smallCaps/>
          <w:lang w:val="en-US"/>
        </w:rPr>
        <w:t>Griffith</w:t>
      </w:r>
      <w:r w:rsidRPr="004930E0">
        <w:rPr>
          <w:lang w:val="en-US"/>
        </w:rPr>
        <w:t xml:space="preserve">, “Practice as Embodied Knowing: Epistemological and Theological Considerations”, </w:t>
      </w:r>
      <w:proofErr w:type="spellStart"/>
      <w:r w:rsidRPr="004930E0">
        <w:rPr>
          <w:lang w:val="en-US"/>
        </w:rPr>
        <w:t>dans</w:t>
      </w:r>
      <w:proofErr w:type="spellEnd"/>
      <w:r w:rsidRPr="004930E0">
        <w:rPr>
          <w:lang w:val="en-US"/>
        </w:rPr>
        <w:t xml:space="preserve"> </w:t>
      </w:r>
      <w:r w:rsidRPr="004930E0">
        <w:rPr>
          <w:i/>
          <w:lang w:val="en-US"/>
        </w:rPr>
        <w:t>Invitation to Practical Theology</w:t>
      </w:r>
      <w:r w:rsidRPr="004930E0">
        <w:rPr>
          <w:lang w:val="en-US"/>
        </w:rPr>
        <w:t>, p. 52-69.</w:t>
      </w:r>
    </w:p>
  </w:footnote>
  <w:footnote w:id="63">
    <w:p w:rsidR="00E4320D" w:rsidRPr="004930E0" w:rsidRDefault="00E4320D" w:rsidP="004930E0">
      <w:pPr>
        <w:pStyle w:val="Notedebasdepage"/>
      </w:pPr>
      <w:r w:rsidRPr="004930E0">
        <w:rPr>
          <w:rStyle w:val="Appelnotedebasdep"/>
        </w:rPr>
        <w:footnoteRef/>
      </w:r>
      <w:r w:rsidRPr="004930E0">
        <w:t xml:space="preserve"> </w:t>
      </w:r>
      <w:r w:rsidRPr="004930E0">
        <w:rPr>
          <w:smallCaps/>
        </w:rPr>
        <w:t>Parmentier</w:t>
      </w:r>
      <w:r w:rsidRPr="004930E0">
        <w:t>, ‟L’interprétation théologique”, p. 661.</w:t>
      </w:r>
      <w:r w:rsidR="00492F82" w:rsidRPr="004930E0">
        <w:t xml:space="preserve"> </w:t>
      </w:r>
    </w:p>
  </w:footnote>
  <w:footnote w:id="64">
    <w:p w:rsidR="00E4320D" w:rsidRPr="004930E0" w:rsidRDefault="00E4320D" w:rsidP="004930E0">
      <w:pPr>
        <w:pStyle w:val="Notedebasdepage"/>
      </w:pPr>
      <w:r w:rsidRPr="004930E0">
        <w:rPr>
          <w:rStyle w:val="Appelnotedebasdep"/>
        </w:rPr>
        <w:footnoteRef/>
      </w:r>
      <w:r w:rsidRPr="004930E0">
        <w:t xml:space="preserve"> Marcel </w:t>
      </w:r>
      <w:r w:rsidRPr="004930E0">
        <w:rPr>
          <w:smallCaps/>
        </w:rPr>
        <w:t>Viau</w:t>
      </w:r>
      <w:r w:rsidRPr="004930E0">
        <w:t xml:space="preserve">, </w:t>
      </w:r>
      <w:r w:rsidRPr="004930E0">
        <w:rPr>
          <w:i/>
        </w:rPr>
        <w:t xml:space="preserve">Introduction aux études pastorales </w:t>
      </w:r>
      <w:r w:rsidRPr="004930E0">
        <w:t xml:space="preserve">(Pastorale et vie 7), Montréal, Paulines, 1987, </w:t>
      </w:r>
      <w:r w:rsidR="00762F6A" w:rsidRPr="004930E0">
        <w:t>p. 103-122.</w:t>
      </w:r>
      <w:r w:rsidRPr="004930E0">
        <w:t> </w:t>
      </w:r>
    </w:p>
  </w:footnote>
  <w:footnote w:id="65">
    <w:p w:rsidR="00E4320D" w:rsidRPr="004930E0" w:rsidRDefault="00E4320D" w:rsidP="004930E0">
      <w:pPr>
        <w:pStyle w:val="Notedebasdepage"/>
      </w:pPr>
      <w:r w:rsidRPr="004930E0">
        <w:rPr>
          <w:rStyle w:val="Appelnotedebasdep"/>
        </w:rPr>
        <w:footnoteRef/>
      </w:r>
      <w:r w:rsidRPr="004930E0">
        <w:t xml:space="preserve"> Ce fut une dimension positive importante du rapport d’évaluation effectué pour </w:t>
      </w:r>
      <w:r w:rsidR="00CF527D" w:rsidRPr="004930E0">
        <w:t>le gouvernement lors d</w:t>
      </w:r>
      <w:r w:rsidRPr="004930E0">
        <w:t>es dix ans du programme en 2011.</w:t>
      </w:r>
    </w:p>
  </w:footnote>
  <w:footnote w:id="66">
    <w:p w:rsidR="00E4320D" w:rsidRPr="004930E0" w:rsidRDefault="00E4320D" w:rsidP="004930E0">
      <w:pPr>
        <w:pStyle w:val="Notedebasdepage"/>
      </w:pPr>
      <w:r w:rsidRPr="004930E0">
        <w:rPr>
          <w:rStyle w:val="Appelnotedebasdep"/>
        </w:rPr>
        <w:footnoteRef/>
      </w:r>
      <w:r w:rsidRPr="004930E0">
        <w:t xml:space="preserve"> Souligné par l’auteur. </w:t>
      </w:r>
      <w:r w:rsidRPr="004930E0">
        <w:rPr>
          <w:smallCaps/>
        </w:rPr>
        <w:t>Singer</w:t>
      </w:r>
      <w:r w:rsidRPr="004930E0">
        <w:t>, ‟Le statut du théologien pratique”, p. 698.</w:t>
      </w:r>
    </w:p>
  </w:footnote>
  <w:footnote w:id="67">
    <w:p w:rsidR="00D84D1A" w:rsidRPr="004930E0" w:rsidRDefault="00D84D1A" w:rsidP="004930E0">
      <w:pPr>
        <w:pStyle w:val="Notedebasdepage"/>
      </w:pPr>
      <w:r w:rsidRPr="004930E0">
        <w:rPr>
          <w:rStyle w:val="Appelnotedebasdep"/>
        </w:rPr>
        <w:footnoteRef/>
      </w:r>
      <w:r w:rsidRPr="004930E0">
        <w:t xml:space="preserve"> Merci à Félix Moser de </w:t>
      </w:r>
      <w:r w:rsidRPr="004930E0">
        <w:rPr>
          <w:rFonts w:cs="Times New Roman"/>
        </w:rPr>
        <w:t xml:space="preserve">rappeler que les présupposés </w:t>
      </w:r>
      <w:r w:rsidRPr="004930E0">
        <w:rPr>
          <w:rFonts w:cs="Times New Roman"/>
          <w:i/>
          <w:iCs/>
        </w:rPr>
        <w:t>implicites</w:t>
      </w:r>
      <w:r w:rsidRPr="004930E0">
        <w:rPr>
          <w:rFonts w:cs="Times New Roman"/>
        </w:rPr>
        <w:t xml:space="preserve"> se muent souvent en préjugés qui induisent les résultats ; faisant référence aux travaux de Rudolf </w:t>
      </w:r>
      <w:r w:rsidRPr="004930E0">
        <w:rPr>
          <w:rFonts w:cs="Times New Roman"/>
          <w:smallCaps/>
        </w:rPr>
        <w:t>Bultmann</w:t>
      </w:r>
      <w:r w:rsidRPr="004930E0">
        <w:rPr>
          <w:rFonts w:cs="Times New Roman"/>
        </w:rPr>
        <w:t xml:space="preserve">, </w:t>
      </w:r>
      <w:r w:rsidRPr="004930E0">
        <w:rPr>
          <w:rFonts w:cs="Times New Roman"/>
          <w:smallCaps/>
        </w:rPr>
        <w:t>“</w:t>
      </w:r>
      <w:r w:rsidRPr="004930E0">
        <w:rPr>
          <w:rFonts w:cs="Times New Roman"/>
        </w:rPr>
        <w:t>Une exégèse sans présupposition est-elle possible ?”, dans </w:t>
      </w:r>
      <w:r w:rsidRPr="004930E0">
        <w:rPr>
          <w:rFonts w:cs="Times New Roman"/>
          <w:i/>
        </w:rPr>
        <w:t>Foi et compréhension II</w:t>
      </w:r>
      <w:r w:rsidRPr="004930E0">
        <w:rPr>
          <w:rFonts w:cs="Times New Roman"/>
        </w:rPr>
        <w:t>,</w:t>
      </w:r>
      <w:r w:rsidRPr="004930E0">
        <w:rPr>
          <w:rFonts w:cs="Times New Roman"/>
          <w:i/>
        </w:rPr>
        <w:t xml:space="preserve"> Eschatologie et démythologisation</w:t>
      </w:r>
      <w:r w:rsidRPr="004930E0">
        <w:rPr>
          <w:rFonts w:cs="Times New Roman"/>
        </w:rPr>
        <w:t xml:space="preserve">, trad. sous la direction d’André </w:t>
      </w:r>
      <w:r w:rsidRPr="004930E0">
        <w:rPr>
          <w:rFonts w:cs="Times New Roman"/>
          <w:smallCaps/>
        </w:rPr>
        <w:t>Malet</w:t>
      </w:r>
      <w:r w:rsidRPr="004930E0">
        <w:rPr>
          <w:rFonts w:cs="Times New Roman"/>
        </w:rPr>
        <w:t>, Paris, Seuil, 1969, p. 167-174.</w:t>
      </w:r>
    </w:p>
  </w:footnote>
  <w:footnote w:id="68">
    <w:p w:rsidR="00E4320D" w:rsidRPr="004930E0" w:rsidRDefault="00E4320D" w:rsidP="004930E0">
      <w:pPr>
        <w:pStyle w:val="Notedebasdepage"/>
      </w:pPr>
      <w:r w:rsidRPr="004930E0">
        <w:rPr>
          <w:rStyle w:val="Appelnotedebasdep"/>
        </w:rPr>
        <w:footnoteRef/>
      </w:r>
      <w:r w:rsidRPr="004930E0">
        <w:t xml:space="preserve"> Tirée d’une conférence inédite à l’occasion </w:t>
      </w:r>
      <w:r w:rsidR="000A4F3B" w:rsidRPr="004930E0">
        <w:t xml:space="preserve">de la </w:t>
      </w:r>
      <w:r w:rsidRPr="004930E0">
        <w:t>journée d’hommage à Marcel Viau le 11 décembre 2014 à Québec, avec des données actualisées.</w:t>
      </w:r>
    </w:p>
  </w:footnote>
  <w:footnote w:id="69">
    <w:p w:rsidR="00602413" w:rsidRPr="004930E0" w:rsidRDefault="00602413" w:rsidP="004930E0">
      <w:pPr>
        <w:pStyle w:val="Notedebasdepage"/>
        <w:rPr>
          <w:lang w:val="en-US"/>
        </w:rPr>
      </w:pPr>
      <w:r w:rsidRPr="004930E0">
        <w:rPr>
          <w:rStyle w:val="Appelnotedebasdep"/>
        </w:rPr>
        <w:footnoteRef/>
      </w:r>
      <w:r w:rsidRPr="004930E0">
        <w:rPr>
          <w:lang w:val="en-US"/>
        </w:rPr>
        <w:t xml:space="preserve"> Claire E. </w:t>
      </w:r>
      <w:proofErr w:type="spellStart"/>
      <w:r w:rsidRPr="004930E0">
        <w:rPr>
          <w:smallCaps/>
          <w:lang w:val="en-US"/>
        </w:rPr>
        <w:t>Wolfteich</w:t>
      </w:r>
      <w:proofErr w:type="spellEnd"/>
      <w:r w:rsidRPr="004930E0">
        <w:rPr>
          <w:lang w:val="en-US"/>
        </w:rPr>
        <w:t xml:space="preserve">, </w:t>
      </w:r>
      <w:proofErr w:type="spellStart"/>
      <w:r w:rsidRPr="004930E0">
        <w:rPr>
          <w:lang w:val="en-US"/>
        </w:rPr>
        <w:t>Annemie</w:t>
      </w:r>
      <w:proofErr w:type="spellEnd"/>
      <w:r w:rsidRPr="004930E0">
        <w:rPr>
          <w:lang w:val="en-US"/>
        </w:rPr>
        <w:t xml:space="preserve"> </w:t>
      </w:r>
      <w:proofErr w:type="spellStart"/>
      <w:r w:rsidRPr="004930E0">
        <w:rPr>
          <w:smallCaps/>
          <w:lang w:val="en-US"/>
        </w:rPr>
        <w:t>Dillen</w:t>
      </w:r>
      <w:proofErr w:type="spellEnd"/>
      <w:r w:rsidRPr="004930E0">
        <w:rPr>
          <w:lang w:val="en-US"/>
        </w:rPr>
        <w:t xml:space="preserve">, “Introduction. Catholic Theologies and Practical Theology. Sketching the Landscape”, </w:t>
      </w:r>
      <w:proofErr w:type="spellStart"/>
      <w:r w:rsidRPr="004930E0">
        <w:rPr>
          <w:lang w:val="en-US"/>
        </w:rPr>
        <w:t>dans</w:t>
      </w:r>
      <w:proofErr w:type="spellEnd"/>
      <w:r w:rsidRPr="004930E0">
        <w:rPr>
          <w:lang w:val="en-US"/>
        </w:rPr>
        <w:t xml:space="preserve"> </w:t>
      </w:r>
      <w:r w:rsidRPr="004930E0">
        <w:rPr>
          <w:i/>
          <w:lang w:val="en-US"/>
        </w:rPr>
        <w:t>Catholic Approaches in Practical Theology</w:t>
      </w:r>
      <w:r w:rsidRPr="004930E0">
        <w:rPr>
          <w:lang w:val="en-US"/>
        </w:rPr>
        <w:t>, p. 4.</w:t>
      </w:r>
    </w:p>
  </w:footnote>
  <w:footnote w:id="70">
    <w:p w:rsidR="00E4320D" w:rsidRPr="004930E0" w:rsidRDefault="00E4320D" w:rsidP="004930E0">
      <w:pPr>
        <w:pStyle w:val="Notedebasdepage"/>
      </w:pPr>
      <w:r w:rsidRPr="004930E0">
        <w:rPr>
          <w:rStyle w:val="Appelnotedebasdep"/>
        </w:rPr>
        <w:footnoteRef/>
      </w:r>
      <w:r w:rsidRPr="004930E0">
        <w:rPr>
          <w:lang w:val="de-DE"/>
        </w:rPr>
        <w:t xml:space="preserve"> </w:t>
      </w:r>
      <w:r w:rsidRPr="004930E0">
        <w:rPr>
          <w:smallCaps/>
          <w:lang w:val="de-DE"/>
        </w:rPr>
        <w:t>Martin Luther</w:t>
      </w:r>
      <w:r w:rsidRPr="004930E0">
        <w:rPr>
          <w:lang w:val="de-DE"/>
        </w:rPr>
        <w:t xml:space="preserve">, </w:t>
      </w:r>
      <w:r w:rsidRPr="004930E0">
        <w:rPr>
          <w:i/>
          <w:lang w:val="de-DE"/>
        </w:rPr>
        <w:t>Weimarer Ausgabe Tischreden</w:t>
      </w:r>
      <w:r w:rsidRPr="004930E0">
        <w:rPr>
          <w:lang w:val="de-DE"/>
        </w:rPr>
        <w:t xml:space="preserve">, vol. </w:t>
      </w:r>
      <w:r w:rsidRPr="004930E0">
        <w:t xml:space="preserve">I, n° 153; citation traduite et commentée par René </w:t>
      </w:r>
      <w:proofErr w:type="spellStart"/>
      <w:r w:rsidRPr="004930E0">
        <w:rPr>
          <w:smallCaps/>
        </w:rPr>
        <w:t>Marlé</w:t>
      </w:r>
      <w:proofErr w:type="spellEnd"/>
      <w:r w:rsidRPr="004930E0">
        <w:t xml:space="preserve">, </w:t>
      </w:r>
      <w:r w:rsidRPr="004930E0">
        <w:rPr>
          <w:i/>
        </w:rPr>
        <w:t xml:space="preserve">Le projet de théologie pratique </w:t>
      </w:r>
      <w:r w:rsidRPr="004930E0">
        <w:t xml:space="preserve">(Le point théologique 32), Paris, Beauchesne, 1979, p. 50-51. Bien entendu, Luther ne parle pas d’une discipline qui n’existe pas dans son contexte. Pour lui, la théologie est pratique car son fondement est concret, c’est le Christ. Dans ce sens, et à la suite de </w:t>
      </w:r>
      <w:proofErr w:type="spellStart"/>
      <w:r w:rsidRPr="004930E0">
        <w:t>Marlé</w:t>
      </w:r>
      <w:proofErr w:type="spellEnd"/>
      <w:r w:rsidRPr="004930E0">
        <w:t xml:space="preserve">, nous pensons que la théologie pratique devrait </w:t>
      </w:r>
      <w:r w:rsidR="009A2AA5" w:rsidRPr="004930E0">
        <w:t>être</w:t>
      </w:r>
      <w:r w:rsidRPr="004930E0">
        <w:t xml:space="preserve"> une orientation fondamentale de toute théologie, ce qui ouvre un autre débat que cet article.</w:t>
      </w:r>
      <w:r w:rsidR="00AA6CB3" w:rsidRPr="004930E0">
        <w:t xml:space="preserve"> Citation commentée </w:t>
      </w:r>
      <w:r w:rsidR="000E40A3" w:rsidRPr="004930E0">
        <w:t xml:space="preserve">après </w:t>
      </w:r>
      <w:proofErr w:type="spellStart"/>
      <w:r w:rsidR="000E40A3" w:rsidRPr="004930E0">
        <w:t>Marlé</w:t>
      </w:r>
      <w:proofErr w:type="spellEnd"/>
      <w:r w:rsidR="000E40A3" w:rsidRPr="004930E0">
        <w:t xml:space="preserve"> </w:t>
      </w:r>
      <w:r w:rsidR="00AA6CB3" w:rsidRPr="004930E0">
        <w:t xml:space="preserve">par </w:t>
      </w:r>
      <w:r w:rsidR="000E40A3" w:rsidRPr="004930E0">
        <w:t xml:space="preserve">plusieurs auteurs, dont </w:t>
      </w:r>
      <w:r w:rsidR="00AA6CB3" w:rsidRPr="004930E0">
        <w:rPr>
          <w:smallCaps/>
        </w:rPr>
        <w:t>Zorn</w:t>
      </w:r>
      <w:r w:rsidR="00AA6CB3" w:rsidRPr="004930E0">
        <w:t>, “En quoi la théologie peut-elle être pratique ?”, p. 18-20.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2BDB" w:rsidRPr="00DA2BDB" w:rsidRDefault="00DA2BDB" w:rsidP="00DA2BDB">
    <w:pPr>
      <w:pStyle w:val="En-tte"/>
      <w:ind w:firstLine="0"/>
      <w:rPr>
        <w:sz w:val="20"/>
        <w:szCs w:val="20"/>
      </w:rPr>
    </w:pPr>
    <w:r w:rsidRPr="00DA2BDB">
      <w:rPr>
        <w:sz w:val="20"/>
        <w:szCs w:val="20"/>
      </w:rPr>
      <w:t xml:space="preserve">Arnaud Join-Lambert, </w:t>
    </w:r>
    <w:r w:rsidRPr="00DA2BDB">
      <w:rPr>
        <w:sz w:val="20"/>
        <w:szCs w:val="20"/>
        <w:lang w:val="es-ES_tradnl"/>
      </w:rPr>
      <w:t xml:space="preserve">La </w:t>
    </w:r>
    <w:proofErr w:type="spellStart"/>
    <w:r w:rsidRPr="00DA2BDB">
      <w:rPr>
        <w:sz w:val="20"/>
        <w:szCs w:val="20"/>
        <w:lang w:val="es-ES_tradnl"/>
      </w:rPr>
      <w:t>théologie</w:t>
    </w:r>
    <w:proofErr w:type="spellEnd"/>
    <w:r w:rsidRPr="00DA2BDB">
      <w:rPr>
        <w:sz w:val="20"/>
        <w:szCs w:val="20"/>
        <w:lang w:val="es-ES_tradnl"/>
      </w:rPr>
      <w:t xml:space="preserve"> </w:t>
    </w:r>
    <w:proofErr w:type="spellStart"/>
    <w:r w:rsidRPr="00DA2BDB">
      <w:rPr>
        <w:sz w:val="20"/>
        <w:szCs w:val="20"/>
        <w:lang w:val="es-ES_tradnl"/>
      </w:rPr>
      <w:t>pratique</w:t>
    </w:r>
    <w:proofErr w:type="spellEnd"/>
    <w:r w:rsidRPr="00DA2BDB">
      <w:rPr>
        <w:sz w:val="20"/>
        <w:szCs w:val="20"/>
        <w:lang w:val="es-ES_tradnl"/>
      </w:rPr>
      <w:t xml:space="preserve"> </w:t>
    </w:r>
    <w:proofErr w:type="spellStart"/>
    <w:r w:rsidRPr="00DA2BDB">
      <w:rPr>
        <w:sz w:val="20"/>
        <w:szCs w:val="20"/>
        <w:lang w:val="es-ES_tradnl"/>
      </w:rPr>
      <w:t>au</w:t>
    </w:r>
    <w:proofErr w:type="spellEnd"/>
    <w:r w:rsidRPr="00DA2BDB">
      <w:rPr>
        <w:sz w:val="20"/>
        <w:szCs w:val="20"/>
        <w:lang w:val="es-ES_tradnl"/>
      </w:rPr>
      <w:t xml:space="preserve"> </w:t>
    </w:r>
    <w:proofErr w:type="spellStart"/>
    <w:r w:rsidRPr="00DA2BDB">
      <w:rPr>
        <w:sz w:val="20"/>
        <w:szCs w:val="20"/>
        <w:lang w:val="es-ES_tradnl"/>
      </w:rPr>
      <w:t>défi</w:t>
    </w:r>
    <w:proofErr w:type="spellEnd"/>
    <w:r w:rsidRPr="00DA2BDB">
      <w:rPr>
        <w:sz w:val="20"/>
        <w:szCs w:val="20"/>
        <w:lang w:val="es-ES_tradnl"/>
      </w:rPr>
      <w:t xml:space="preserve"> de son </w:t>
    </w:r>
    <w:proofErr w:type="spellStart"/>
    <w:r w:rsidRPr="00DA2BDB">
      <w:rPr>
        <w:sz w:val="20"/>
        <w:szCs w:val="20"/>
        <w:lang w:val="es-ES_tradnl"/>
      </w:rPr>
      <w:t>épistémologie</w:t>
    </w:r>
    <w:proofErr w:type="spellEnd"/>
    <w:r w:rsidRPr="00DA2BDB">
      <w:rPr>
        <w:sz w:val="20"/>
        <w:szCs w:val="20"/>
        <w:lang w:val="es-ES_tradnl"/>
      </w:rPr>
      <w:t xml:space="preserve">, in: Laval </w:t>
    </w:r>
    <w:proofErr w:type="spellStart"/>
    <w:r w:rsidRPr="00DA2BDB">
      <w:rPr>
        <w:sz w:val="20"/>
        <w:szCs w:val="20"/>
        <w:lang w:val="es-ES_tradnl"/>
      </w:rPr>
      <w:t>Théologique</w:t>
    </w:r>
    <w:proofErr w:type="spellEnd"/>
    <w:r w:rsidRPr="00DA2BDB">
      <w:rPr>
        <w:sz w:val="20"/>
        <w:szCs w:val="20"/>
        <w:lang w:val="es-ES_tradnl"/>
      </w:rPr>
      <w:t xml:space="preserve"> et </w:t>
    </w:r>
    <w:proofErr w:type="spellStart"/>
    <w:r w:rsidRPr="00DA2BDB">
      <w:rPr>
        <w:sz w:val="20"/>
        <w:szCs w:val="20"/>
        <w:lang w:val="es-ES_tradnl"/>
      </w:rPr>
      <w:t>Philosophique</w:t>
    </w:r>
    <w:proofErr w:type="spellEnd"/>
    <w:r w:rsidRPr="00DA2BDB">
      <w:rPr>
        <w:sz w:val="20"/>
        <w:szCs w:val="20"/>
        <w:lang w:val="es-ES_tradnl"/>
      </w:rPr>
      <w:t xml:space="preserve"> 75/1 (2020) 39-57. </w:t>
    </w:r>
    <w:proofErr w:type="spellStart"/>
    <w:r w:rsidRPr="00DA2BDB">
      <w:rPr>
        <w:sz w:val="20"/>
        <w:szCs w:val="20"/>
        <w:lang w:val="es-ES_tradnl"/>
      </w:rPr>
      <w:t>doi</w:t>
    </w:r>
    <w:proofErr w:type="spellEnd"/>
    <w:r w:rsidRPr="00DA2BDB">
      <w:rPr>
        <w:sz w:val="20"/>
        <w:szCs w:val="20"/>
        <w:lang w:val="es-ES_tradnl"/>
      </w:rPr>
      <w:t>: 10.7202/1067502ar</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254A14"/>
    <w:multiLevelType w:val="hybridMultilevel"/>
    <w:tmpl w:val="5D62EAC2"/>
    <w:lvl w:ilvl="0" w:tplc="080C000F">
      <w:start w:val="1"/>
      <w:numFmt w:val="decimal"/>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 w15:restartNumberingAfterBreak="0">
    <w:nsid w:val="73457CA3"/>
    <w:multiLevelType w:val="hybridMultilevel"/>
    <w:tmpl w:val="A7C81DB6"/>
    <w:lvl w:ilvl="0" w:tplc="080C0001">
      <w:start w:val="1"/>
      <w:numFmt w:val="bullet"/>
      <w:lvlText w:val=""/>
      <w:lvlJc w:val="left"/>
      <w:pPr>
        <w:ind w:left="1004" w:hanging="360"/>
      </w:pPr>
      <w:rPr>
        <w:rFonts w:ascii="Symbol" w:hAnsi="Symbol" w:hint="default"/>
      </w:rPr>
    </w:lvl>
    <w:lvl w:ilvl="1" w:tplc="080C0003" w:tentative="1">
      <w:start w:val="1"/>
      <w:numFmt w:val="bullet"/>
      <w:lvlText w:val="o"/>
      <w:lvlJc w:val="left"/>
      <w:pPr>
        <w:ind w:left="1724" w:hanging="360"/>
      </w:pPr>
      <w:rPr>
        <w:rFonts w:ascii="Courier New" w:hAnsi="Courier New" w:cs="Courier New" w:hint="default"/>
      </w:rPr>
    </w:lvl>
    <w:lvl w:ilvl="2" w:tplc="080C0005" w:tentative="1">
      <w:start w:val="1"/>
      <w:numFmt w:val="bullet"/>
      <w:lvlText w:val=""/>
      <w:lvlJc w:val="left"/>
      <w:pPr>
        <w:ind w:left="2444" w:hanging="360"/>
      </w:pPr>
      <w:rPr>
        <w:rFonts w:ascii="Wingdings" w:hAnsi="Wingdings" w:hint="default"/>
      </w:rPr>
    </w:lvl>
    <w:lvl w:ilvl="3" w:tplc="080C0001" w:tentative="1">
      <w:start w:val="1"/>
      <w:numFmt w:val="bullet"/>
      <w:lvlText w:val=""/>
      <w:lvlJc w:val="left"/>
      <w:pPr>
        <w:ind w:left="3164" w:hanging="360"/>
      </w:pPr>
      <w:rPr>
        <w:rFonts w:ascii="Symbol" w:hAnsi="Symbol" w:hint="default"/>
      </w:rPr>
    </w:lvl>
    <w:lvl w:ilvl="4" w:tplc="080C0003" w:tentative="1">
      <w:start w:val="1"/>
      <w:numFmt w:val="bullet"/>
      <w:lvlText w:val="o"/>
      <w:lvlJc w:val="left"/>
      <w:pPr>
        <w:ind w:left="3884" w:hanging="360"/>
      </w:pPr>
      <w:rPr>
        <w:rFonts w:ascii="Courier New" w:hAnsi="Courier New" w:cs="Courier New" w:hint="default"/>
      </w:rPr>
    </w:lvl>
    <w:lvl w:ilvl="5" w:tplc="080C0005" w:tentative="1">
      <w:start w:val="1"/>
      <w:numFmt w:val="bullet"/>
      <w:lvlText w:val=""/>
      <w:lvlJc w:val="left"/>
      <w:pPr>
        <w:ind w:left="4604" w:hanging="360"/>
      </w:pPr>
      <w:rPr>
        <w:rFonts w:ascii="Wingdings" w:hAnsi="Wingdings" w:hint="default"/>
      </w:rPr>
    </w:lvl>
    <w:lvl w:ilvl="6" w:tplc="080C0001" w:tentative="1">
      <w:start w:val="1"/>
      <w:numFmt w:val="bullet"/>
      <w:lvlText w:val=""/>
      <w:lvlJc w:val="left"/>
      <w:pPr>
        <w:ind w:left="5324" w:hanging="360"/>
      </w:pPr>
      <w:rPr>
        <w:rFonts w:ascii="Symbol" w:hAnsi="Symbol" w:hint="default"/>
      </w:rPr>
    </w:lvl>
    <w:lvl w:ilvl="7" w:tplc="080C0003" w:tentative="1">
      <w:start w:val="1"/>
      <w:numFmt w:val="bullet"/>
      <w:lvlText w:val="o"/>
      <w:lvlJc w:val="left"/>
      <w:pPr>
        <w:ind w:left="6044" w:hanging="360"/>
      </w:pPr>
      <w:rPr>
        <w:rFonts w:ascii="Courier New" w:hAnsi="Courier New" w:cs="Courier New" w:hint="default"/>
      </w:rPr>
    </w:lvl>
    <w:lvl w:ilvl="8" w:tplc="080C0005" w:tentative="1">
      <w:start w:val="1"/>
      <w:numFmt w:val="bullet"/>
      <w:lvlText w:val=""/>
      <w:lvlJc w:val="left"/>
      <w:pPr>
        <w:ind w:left="6764"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F98"/>
    <w:rsid w:val="0001581B"/>
    <w:rsid w:val="000210B1"/>
    <w:rsid w:val="000249D1"/>
    <w:rsid w:val="00025529"/>
    <w:rsid w:val="00042FFE"/>
    <w:rsid w:val="00053481"/>
    <w:rsid w:val="00063498"/>
    <w:rsid w:val="00063CE7"/>
    <w:rsid w:val="00064487"/>
    <w:rsid w:val="00071B21"/>
    <w:rsid w:val="000726E4"/>
    <w:rsid w:val="00077458"/>
    <w:rsid w:val="00077A16"/>
    <w:rsid w:val="00081F75"/>
    <w:rsid w:val="00082E60"/>
    <w:rsid w:val="0008410A"/>
    <w:rsid w:val="000866C5"/>
    <w:rsid w:val="00086EDE"/>
    <w:rsid w:val="000945FD"/>
    <w:rsid w:val="00097BD1"/>
    <w:rsid w:val="000A4F3B"/>
    <w:rsid w:val="000A70B0"/>
    <w:rsid w:val="000B1604"/>
    <w:rsid w:val="000B4D53"/>
    <w:rsid w:val="000B7C7A"/>
    <w:rsid w:val="000D26D0"/>
    <w:rsid w:val="000D56BD"/>
    <w:rsid w:val="000D708F"/>
    <w:rsid w:val="000D7EDF"/>
    <w:rsid w:val="000E06D3"/>
    <w:rsid w:val="000E3E3D"/>
    <w:rsid w:val="000E40A3"/>
    <w:rsid w:val="000E55BE"/>
    <w:rsid w:val="000F0489"/>
    <w:rsid w:val="000F12EF"/>
    <w:rsid w:val="000F5083"/>
    <w:rsid w:val="00102C2C"/>
    <w:rsid w:val="0011654A"/>
    <w:rsid w:val="00117405"/>
    <w:rsid w:val="00117B22"/>
    <w:rsid w:val="00120C84"/>
    <w:rsid w:val="00124930"/>
    <w:rsid w:val="00130CB5"/>
    <w:rsid w:val="00141EE8"/>
    <w:rsid w:val="00144080"/>
    <w:rsid w:val="001506D4"/>
    <w:rsid w:val="001520DD"/>
    <w:rsid w:val="00157CAA"/>
    <w:rsid w:val="00162E9F"/>
    <w:rsid w:val="001667BF"/>
    <w:rsid w:val="00171856"/>
    <w:rsid w:val="001851EA"/>
    <w:rsid w:val="00194FBE"/>
    <w:rsid w:val="001A1024"/>
    <w:rsid w:val="001A3B5A"/>
    <w:rsid w:val="001B7CE7"/>
    <w:rsid w:val="001C1CB0"/>
    <w:rsid w:val="001C2A09"/>
    <w:rsid w:val="001D64A4"/>
    <w:rsid w:val="001E0A24"/>
    <w:rsid w:val="001E1EC3"/>
    <w:rsid w:val="001E5129"/>
    <w:rsid w:val="001E5D82"/>
    <w:rsid w:val="0020067F"/>
    <w:rsid w:val="00204D89"/>
    <w:rsid w:val="00211665"/>
    <w:rsid w:val="002132F6"/>
    <w:rsid w:val="002220E0"/>
    <w:rsid w:val="00223050"/>
    <w:rsid w:val="00231CA9"/>
    <w:rsid w:val="00235FFE"/>
    <w:rsid w:val="0023624C"/>
    <w:rsid w:val="00237B49"/>
    <w:rsid w:val="00240F4E"/>
    <w:rsid w:val="002425AB"/>
    <w:rsid w:val="00263C0A"/>
    <w:rsid w:val="00266429"/>
    <w:rsid w:val="00275463"/>
    <w:rsid w:val="002837FF"/>
    <w:rsid w:val="002849DD"/>
    <w:rsid w:val="00286103"/>
    <w:rsid w:val="002909A9"/>
    <w:rsid w:val="002970F3"/>
    <w:rsid w:val="002C0394"/>
    <w:rsid w:val="002F480D"/>
    <w:rsid w:val="002F7949"/>
    <w:rsid w:val="00303AFD"/>
    <w:rsid w:val="00312CF9"/>
    <w:rsid w:val="00322DA6"/>
    <w:rsid w:val="00335155"/>
    <w:rsid w:val="00335521"/>
    <w:rsid w:val="00340DEF"/>
    <w:rsid w:val="00342120"/>
    <w:rsid w:val="0035793A"/>
    <w:rsid w:val="00380A31"/>
    <w:rsid w:val="0038188C"/>
    <w:rsid w:val="00385C42"/>
    <w:rsid w:val="00390E01"/>
    <w:rsid w:val="003978E2"/>
    <w:rsid w:val="003B2091"/>
    <w:rsid w:val="003B28B2"/>
    <w:rsid w:val="003B73C2"/>
    <w:rsid w:val="003D5081"/>
    <w:rsid w:val="003D5A28"/>
    <w:rsid w:val="003E64D3"/>
    <w:rsid w:val="003F4189"/>
    <w:rsid w:val="00401CC1"/>
    <w:rsid w:val="004026E6"/>
    <w:rsid w:val="0040493A"/>
    <w:rsid w:val="00410C11"/>
    <w:rsid w:val="00411C0C"/>
    <w:rsid w:val="004212DF"/>
    <w:rsid w:val="004220C8"/>
    <w:rsid w:val="00422DF6"/>
    <w:rsid w:val="00426643"/>
    <w:rsid w:val="004276C9"/>
    <w:rsid w:val="00431767"/>
    <w:rsid w:val="00455425"/>
    <w:rsid w:val="00463155"/>
    <w:rsid w:val="00465F13"/>
    <w:rsid w:val="004750F9"/>
    <w:rsid w:val="0047765E"/>
    <w:rsid w:val="004825B8"/>
    <w:rsid w:val="00486CF2"/>
    <w:rsid w:val="00492F82"/>
    <w:rsid w:val="004930E0"/>
    <w:rsid w:val="004A2B05"/>
    <w:rsid w:val="004B1E13"/>
    <w:rsid w:val="004B2C32"/>
    <w:rsid w:val="004B45EB"/>
    <w:rsid w:val="004C4706"/>
    <w:rsid w:val="004C606D"/>
    <w:rsid w:val="004D07DD"/>
    <w:rsid w:val="004D0F3D"/>
    <w:rsid w:val="004E0CB1"/>
    <w:rsid w:val="004F627B"/>
    <w:rsid w:val="005055AE"/>
    <w:rsid w:val="00506160"/>
    <w:rsid w:val="005062F9"/>
    <w:rsid w:val="00525D5D"/>
    <w:rsid w:val="00527B77"/>
    <w:rsid w:val="00537B98"/>
    <w:rsid w:val="00542E71"/>
    <w:rsid w:val="00551D5E"/>
    <w:rsid w:val="005671D6"/>
    <w:rsid w:val="005755F0"/>
    <w:rsid w:val="0058048C"/>
    <w:rsid w:val="0058398A"/>
    <w:rsid w:val="0058784F"/>
    <w:rsid w:val="00590899"/>
    <w:rsid w:val="00595C63"/>
    <w:rsid w:val="005C628C"/>
    <w:rsid w:val="005C65F1"/>
    <w:rsid w:val="005E5030"/>
    <w:rsid w:val="0060059F"/>
    <w:rsid w:val="00602413"/>
    <w:rsid w:val="006178AE"/>
    <w:rsid w:val="00621574"/>
    <w:rsid w:val="006217D7"/>
    <w:rsid w:val="006453C5"/>
    <w:rsid w:val="006458AF"/>
    <w:rsid w:val="00645A74"/>
    <w:rsid w:val="0065045F"/>
    <w:rsid w:val="00656EB5"/>
    <w:rsid w:val="006617F5"/>
    <w:rsid w:val="0067055A"/>
    <w:rsid w:val="006712F9"/>
    <w:rsid w:val="0068214D"/>
    <w:rsid w:val="00684A5C"/>
    <w:rsid w:val="00690E89"/>
    <w:rsid w:val="006A6C3F"/>
    <w:rsid w:val="006B10F5"/>
    <w:rsid w:val="006C2E61"/>
    <w:rsid w:val="006C5868"/>
    <w:rsid w:val="006D5FDA"/>
    <w:rsid w:val="006D6A13"/>
    <w:rsid w:val="006E5D2B"/>
    <w:rsid w:val="006E7DA2"/>
    <w:rsid w:val="0071044D"/>
    <w:rsid w:val="0071692C"/>
    <w:rsid w:val="00717EA9"/>
    <w:rsid w:val="00732F3A"/>
    <w:rsid w:val="007367CA"/>
    <w:rsid w:val="007439C3"/>
    <w:rsid w:val="007532B4"/>
    <w:rsid w:val="00757880"/>
    <w:rsid w:val="00762F6A"/>
    <w:rsid w:val="0076417A"/>
    <w:rsid w:val="00764C40"/>
    <w:rsid w:val="00765323"/>
    <w:rsid w:val="00773422"/>
    <w:rsid w:val="007A2017"/>
    <w:rsid w:val="007B6B80"/>
    <w:rsid w:val="007C3FC3"/>
    <w:rsid w:val="007C6ABC"/>
    <w:rsid w:val="007E25D8"/>
    <w:rsid w:val="007E30CE"/>
    <w:rsid w:val="007E36FA"/>
    <w:rsid w:val="007F2A14"/>
    <w:rsid w:val="007F2F8D"/>
    <w:rsid w:val="00804AD4"/>
    <w:rsid w:val="008243C8"/>
    <w:rsid w:val="00824D38"/>
    <w:rsid w:val="00826D41"/>
    <w:rsid w:val="008300FD"/>
    <w:rsid w:val="00831587"/>
    <w:rsid w:val="00834402"/>
    <w:rsid w:val="00840EDC"/>
    <w:rsid w:val="008454B1"/>
    <w:rsid w:val="0085014B"/>
    <w:rsid w:val="00853A24"/>
    <w:rsid w:val="0086040A"/>
    <w:rsid w:val="00871FBC"/>
    <w:rsid w:val="00875B93"/>
    <w:rsid w:val="0088231A"/>
    <w:rsid w:val="008863A9"/>
    <w:rsid w:val="008A0464"/>
    <w:rsid w:val="008B6874"/>
    <w:rsid w:val="008D00F6"/>
    <w:rsid w:val="008D1AAF"/>
    <w:rsid w:val="008D61A5"/>
    <w:rsid w:val="008E1F67"/>
    <w:rsid w:val="008E21F0"/>
    <w:rsid w:val="008E2530"/>
    <w:rsid w:val="008F258A"/>
    <w:rsid w:val="008F5EF4"/>
    <w:rsid w:val="0090483C"/>
    <w:rsid w:val="00905882"/>
    <w:rsid w:val="00910EB4"/>
    <w:rsid w:val="009119E7"/>
    <w:rsid w:val="0091557E"/>
    <w:rsid w:val="009155C7"/>
    <w:rsid w:val="00915D92"/>
    <w:rsid w:val="009160A2"/>
    <w:rsid w:val="0092139C"/>
    <w:rsid w:val="00934C72"/>
    <w:rsid w:val="00935246"/>
    <w:rsid w:val="00935A8C"/>
    <w:rsid w:val="00936DD3"/>
    <w:rsid w:val="00950947"/>
    <w:rsid w:val="009534E9"/>
    <w:rsid w:val="00955B22"/>
    <w:rsid w:val="00983484"/>
    <w:rsid w:val="009834E7"/>
    <w:rsid w:val="00986F0F"/>
    <w:rsid w:val="00990579"/>
    <w:rsid w:val="00997D18"/>
    <w:rsid w:val="009A2AA5"/>
    <w:rsid w:val="009B131F"/>
    <w:rsid w:val="009C0145"/>
    <w:rsid w:val="009D2DDC"/>
    <w:rsid w:val="009E0B61"/>
    <w:rsid w:val="009E45F5"/>
    <w:rsid w:val="009E6701"/>
    <w:rsid w:val="009F0AD0"/>
    <w:rsid w:val="009F67F1"/>
    <w:rsid w:val="00A017C0"/>
    <w:rsid w:val="00A03B12"/>
    <w:rsid w:val="00A04196"/>
    <w:rsid w:val="00A1470A"/>
    <w:rsid w:val="00A14AFD"/>
    <w:rsid w:val="00A156F2"/>
    <w:rsid w:val="00A17E7B"/>
    <w:rsid w:val="00A44203"/>
    <w:rsid w:val="00A56356"/>
    <w:rsid w:val="00A64C54"/>
    <w:rsid w:val="00A66BAC"/>
    <w:rsid w:val="00A80DD1"/>
    <w:rsid w:val="00A85A2C"/>
    <w:rsid w:val="00A85AA8"/>
    <w:rsid w:val="00A939AF"/>
    <w:rsid w:val="00A94F52"/>
    <w:rsid w:val="00A95E70"/>
    <w:rsid w:val="00AA66E1"/>
    <w:rsid w:val="00AA6CB3"/>
    <w:rsid w:val="00AB2E39"/>
    <w:rsid w:val="00AC35CD"/>
    <w:rsid w:val="00AD00A1"/>
    <w:rsid w:val="00AD00F7"/>
    <w:rsid w:val="00AD0C13"/>
    <w:rsid w:val="00AD1A98"/>
    <w:rsid w:val="00AD4EFE"/>
    <w:rsid w:val="00AE2CEB"/>
    <w:rsid w:val="00AE525C"/>
    <w:rsid w:val="00AF0C56"/>
    <w:rsid w:val="00B052FE"/>
    <w:rsid w:val="00B065ED"/>
    <w:rsid w:val="00B1360A"/>
    <w:rsid w:val="00B16083"/>
    <w:rsid w:val="00B2043E"/>
    <w:rsid w:val="00B40E27"/>
    <w:rsid w:val="00B52A62"/>
    <w:rsid w:val="00B60DD0"/>
    <w:rsid w:val="00B642DB"/>
    <w:rsid w:val="00B718AD"/>
    <w:rsid w:val="00B83B75"/>
    <w:rsid w:val="00B8555A"/>
    <w:rsid w:val="00B908B9"/>
    <w:rsid w:val="00B91C4C"/>
    <w:rsid w:val="00B94291"/>
    <w:rsid w:val="00BA047D"/>
    <w:rsid w:val="00BA3EC0"/>
    <w:rsid w:val="00BA5688"/>
    <w:rsid w:val="00BD7E3B"/>
    <w:rsid w:val="00BE2F74"/>
    <w:rsid w:val="00C020B5"/>
    <w:rsid w:val="00C04AD3"/>
    <w:rsid w:val="00C135C7"/>
    <w:rsid w:val="00C13B61"/>
    <w:rsid w:val="00C15FF2"/>
    <w:rsid w:val="00C206B9"/>
    <w:rsid w:val="00C21C13"/>
    <w:rsid w:val="00C311A5"/>
    <w:rsid w:val="00C348BC"/>
    <w:rsid w:val="00C360A1"/>
    <w:rsid w:val="00C36981"/>
    <w:rsid w:val="00C54C87"/>
    <w:rsid w:val="00C60E79"/>
    <w:rsid w:val="00C775D1"/>
    <w:rsid w:val="00C80269"/>
    <w:rsid w:val="00C81232"/>
    <w:rsid w:val="00C84785"/>
    <w:rsid w:val="00C85DC4"/>
    <w:rsid w:val="00C87F9B"/>
    <w:rsid w:val="00CA0636"/>
    <w:rsid w:val="00CA4109"/>
    <w:rsid w:val="00CB3404"/>
    <w:rsid w:val="00CB627E"/>
    <w:rsid w:val="00CC01B6"/>
    <w:rsid w:val="00CE5174"/>
    <w:rsid w:val="00CF076B"/>
    <w:rsid w:val="00CF1C15"/>
    <w:rsid w:val="00CF329D"/>
    <w:rsid w:val="00CF3646"/>
    <w:rsid w:val="00CF527D"/>
    <w:rsid w:val="00D2310D"/>
    <w:rsid w:val="00D30002"/>
    <w:rsid w:val="00D3122C"/>
    <w:rsid w:val="00D3315A"/>
    <w:rsid w:val="00D37CF1"/>
    <w:rsid w:val="00D420A1"/>
    <w:rsid w:val="00D47341"/>
    <w:rsid w:val="00D50BDE"/>
    <w:rsid w:val="00D54C9B"/>
    <w:rsid w:val="00D55B59"/>
    <w:rsid w:val="00D56067"/>
    <w:rsid w:val="00D618CF"/>
    <w:rsid w:val="00D675EC"/>
    <w:rsid w:val="00D67AFE"/>
    <w:rsid w:val="00D84697"/>
    <w:rsid w:val="00D84D1A"/>
    <w:rsid w:val="00DA191E"/>
    <w:rsid w:val="00DA29B3"/>
    <w:rsid w:val="00DA2BDB"/>
    <w:rsid w:val="00DA4807"/>
    <w:rsid w:val="00DB1C58"/>
    <w:rsid w:val="00DB2679"/>
    <w:rsid w:val="00DB49F9"/>
    <w:rsid w:val="00DB73B6"/>
    <w:rsid w:val="00DC0D1F"/>
    <w:rsid w:val="00DC0FFD"/>
    <w:rsid w:val="00DC27C1"/>
    <w:rsid w:val="00DC3531"/>
    <w:rsid w:val="00DD58DA"/>
    <w:rsid w:val="00DE0E87"/>
    <w:rsid w:val="00DF06AD"/>
    <w:rsid w:val="00DF24FE"/>
    <w:rsid w:val="00E015F6"/>
    <w:rsid w:val="00E022E8"/>
    <w:rsid w:val="00E0282E"/>
    <w:rsid w:val="00E0578E"/>
    <w:rsid w:val="00E07AD7"/>
    <w:rsid w:val="00E15F92"/>
    <w:rsid w:val="00E22A0A"/>
    <w:rsid w:val="00E33890"/>
    <w:rsid w:val="00E33AB3"/>
    <w:rsid w:val="00E33BDF"/>
    <w:rsid w:val="00E4320D"/>
    <w:rsid w:val="00E4583D"/>
    <w:rsid w:val="00E5164D"/>
    <w:rsid w:val="00E529E5"/>
    <w:rsid w:val="00E54A58"/>
    <w:rsid w:val="00E55C19"/>
    <w:rsid w:val="00E57B6D"/>
    <w:rsid w:val="00E622BF"/>
    <w:rsid w:val="00E677DB"/>
    <w:rsid w:val="00E74DD4"/>
    <w:rsid w:val="00E8580F"/>
    <w:rsid w:val="00E86CC0"/>
    <w:rsid w:val="00EA7F94"/>
    <w:rsid w:val="00EC4053"/>
    <w:rsid w:val="00EC5480"/>
    <w:rsid w:val="00ED0E0C"/>
    <w:rsid w:val="00ED1090"/>
    <w:rsid w:val="00EE5EF2"/>
    <w:rsid w:val="00EF6837"/>
    <w:rsid w:val="00EF7123"/>
    <w:rsid w:val="00F07C70"/>
    <w:rsid w:val="00F26FC3"/>
    <w:rsid w:val="00F3235D"/>
    <w:rsid w:val="00F37148"/>
    <w:rsid w:val="00F474A0"/>
    <w:rsid w:val="00F522C0"/>
    <w:rsid w:val="00F55090"/>
    <w:rsid w:val="00F644C8"/>
    <w:rsid w:val="00F652B3"/>
    <w:rsid w:val="00F66557"/>
    <w:rsid w:val="00F67204"/>
    <w:rsid w:val="00F70996"/>
    <w:rsid w:val="00F71F98"/>
    <w:rsid w:val="00F73C86"/>
    <w:rsid w:val="00F77647"/>
    <w:rsid w:val="00F77A7A"/>
    <w:rsid w:val="00F86BFD"/>
    <w:rsid w:val="00F90F52"/>
    <w:rsid w:val="00F96735"/>
    <w:rsid w:val="00FB45E2"/>
    <w:rsid w:val="00FC268C"/>
    <w:rsid w:val="00FC65D4"/>
    <w:rsid w:val="00FC7FDE"/>
    <w:rsid w:val="00FD0E32"/>
    <w:rsid w:val="00FD2B0D"/>
    <w:rsid w:val="00FD47C3"/>
    <w:rsid w:val="00FE7DD0"/>
    <w:rsid w:val="00FF31EF"/>
    <w:rsid w:val="00FF53A8"/>
    <w:rsid w:val="00FF638A"/>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C240B"/>
  <w15:docId w15:val="{8BA77B9E-B365-401F-AB00-944852589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5E70"/>
    <w:pPr>
      <w:spacing w:after="0"/>
      <w:ind w:firstLine="284"/>
      <w:jc w:val="both"/>
    </w:pPr>
    <w:rPr>
      <w:rFonts w:ascii="Times New Roman" w:hAnsi="Times New Roman"/>
      <w:sz w:val="24"/>
    </w:rPr>
  </w:style>
  <w:style w:type="paragraph" w:styleId="Titre1">
    <w:name w:val="heading 1"/>
    <w:basedOn w:val="Normal"/>
    <w:next w:val="Normal"/>
    <w:link w:val="Titre1Car"/>
    <w:uiPriority w:val="9"/>
    <w:qFormat/>
    <w:rsid w:val="00A95E70"/>
    <w:pPr>
      <w:keepNext/>
      <w:keepLines/>
      <w:spacing w:before="480"/>
      <w:jc w:val="center"/>
      <w:outlineLvl w:val="0"/>
    </w:pPr>
    <w:rPr>
      <w:rFonts w:eastAsiaTheme="majorEastAsia" w:cstheme="majorBidi"/>
      <w:b/>
      <w:bCs/>
      <w:sz w:val="28"/>
      <w:szCs w:val="28"/>
    </w:rPr>
  </w:style>
  <w:style w:type="paragraph" w:styleId="Titre2">
    <w:name w:val="heading 2"/>
    <w:basedOn w:val="Normal"/>
    <w:next w:val="Normal"/>
    <w:link w:val="Titre2Car"/>
    <w:qFormat/>
    <w:rsid w:val="008E21F0"/>
    <w:pPr>
      <w:keepNext/>
      <w:spacing w:before="240" w:after="60" w:line="240" w:lineRule="auto"/>
      <w:outlineLvl w:val="1"/>
    </w:pPr>
    <w:rPr>
      <w:rFonts w:ascii="Arial" w:eastAsia="Times New Roman" w:hAnsi="Arial" w:cs="Arial"/>
      <w:b/>
      <w:bCs/>
      <w:i/>
      <w:iCs/>
      <w:sz w:val="26"/>
      <w:szCs w:val="28"/>
      <w:lang w:val="fr-FR" w:eastAsia="fr-FR"/>
    </w:rPr>
  </w:style>
  <w:style w:type="paragraph" w:styleId="Titre3">
    <w:name w:val="heading 3"/>
    <w:basedOn w:val="Normal"/>
    <w:next w:val="Normal"/>
    <w:link w:val="Titre3Car"/>
    <w:qFormat/>
    <w:rsid w:val="008E21F0"/>
    <w:pPr>
      <w:keepNext/>
      <w:spacing w:before="240" w:after="60" w:line="360" w:lineRule="auto"/>
      <w:outlineLvl w:val="2"/>
    </w:pPr>
    <w:rPr>
      <w:rFonts w:eastAsia="Times New Roman" w:cs="Times New Roman"/>
      <w:b/>
      <w:szCs w:val="24"/>
      <w:lang w:val="de-DE" w:eastAsia="fr-FR"/>
    </w:rPr>
  </w:style>
  <w:style w:type="paragraph" w:styleId="Titre4">
    <w:name w:val="heading 4"/>
    <w:basedOn w:val="Normal"/>
    <w:next w:val="Normal"/>
    <w:link w:val="Titre4Car"/>
    <w:qFormat/>
    <w:rsid w:val="008E21F0"/>
    <w:pPr>
      <w:keepNext/>
      <w:spacing w:before="240" w:after="60" w:line="360" w:lineRule="auto"/>
      <w:outlineLvl w:val="3"/>
    </w:pPr>
    <w:rPr>
      <w:rFonts w:eastAsia="Times New Roman" w:cs="Times New Roman"/>
      <w:i/>
      <w:szCs w:val="20"/>
      <w:lang w:val="fr-FR" w:eastAsia="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95E70"/>
    <w:rPr>
      <w:rFonts w:ascii="Times New Roman" w:eastAsiaTheme="majorEastAsia" w:hAnsi="Times New Roman" w:cstheme="majorBidi"/>
      <w:b/>
      <w:bCs/>
      <w:sz w:val="28"/>
      <w:szCs w:val="28"/>
    </w:rPr>
  </w:style>
  <w:style w:type="character" w:customStyle="1" w:styleId="Titre2Car">
    <w:name w:val="Titre 2 Car"/>
    <w:basedOn w:val="Policepardfaut"/>
    <w:link w:val="Titre2"/>
    <w:rsid w:val="008E21F0"/>
    <w:rPr>
      <w:rFonts w:ascii="Arial" w:eastAsia="Times New Roman" w:hAnsi="Arial" w:cs="Arial"/>
      <w:b/>
      <w:bCs/>
      <w:i/>
      <w:iCs/>
      <w:sz w:val="26"/>
      <w:szCs w:val="28"/>
      <w:lang w:val="fr-FR" w:eastAsia="fr-FR"/>
    </w:rPr>
  </w:style>
  <w:style w:type="character" w:customStyle="1" w:styleId="Titre3Car">
    <w:name w:val="Titre 3 Car"/>
    <w:basedOn w:val="Policepardfaut"/>
    <w:link w:val="Titre3"/>
    <w:rsid w:val="008E21F0"/>
    <w:rPr>
      <w:rFonts w:ascii="Times New Roman" w:eastAsia="Times New Roman" w:hAnsi="Times New Roman" w:cs="Times New Roman"/>
      <w:b/>
      <w:sz w:val="24"/>
      <w:szCs w:val="24"/>
      <w:lang w:val="de-DE" w:eastAsia="fr-FR"/>
    </w:rPr>
  </w:style>
  <w:style w:type="character" w:customStyle="1" w:styleId="Titre4Car">
    <w:name w:val="Titre 4 Car"/>
    <w:basedOn w:val="Policepardfaut"/>
    <w:link w:val="Titre4"/>
    <w:rsid w:val="008E21F0"/>
    <w:rPr>
      <w:rFonts w:ascii="Times New Roman" w:eastAsia="Times New Roman" w:hAnsi="Times New Roman" w:cs="Times New Roman"/>
      <w:i/>
      <w:sz w:val="24"/>
      <w:szCs w:val="20"/>
      <w:lang w:val="fr-FR" w:eastAsia="fr-CH"/>
    </w:rPr>
  </w:style>
  <w:style w:type="paragraph" w:styleId="Paragraphedeliste">
    <w:name w:val="List Paragraph"/>
    <w:basedOn w:val="Normal"/>
    <w:uiPriority w:val="34"/>
    <w:qFormat/>
    <w:rsid w:val="008E21F0"/>
    <w:pPr>
      <w:ind w:left="720"/>
      <w:contextualSpacing/>
    </w:pPr>
  </w:style>
  <w:style w:type="paragraph" w:styleId="Citation">
    <w:name w:val="Quote"/>
    <w:basedOn w:val="Normal"/>
    <w:next w:val="Normal"/>
    <w:link w:val="CitationCar"/>
    <w:qFormat/>
    <w:rsid w:val="00684A5C"/>
    <w:pPr>
      <w:ind w:left="567" w:right="567"/>
    </w:pPr>
    <w:rPr>
      <w:iCs/>
      <w:color w:val="000000" w:themeColor="text1"/>
    </w:rPr>
  </w:style>
  <w:style w:type="character" w:customStyle="1" w:styleId="CitationCar">
    <w:name w:val="Citation Car"/>
    <w:basedOn w:val="Policepardfaut"/>
    <w:link w:val="Citation"/>
    <w:rsid w:val="00684A5C"/>
    <w:rPr>
      <w:rFonts w:ascii="Times New Roman" w:hAnsi="Times New Roman"/>
      <w:iCs/>
      <w:color w:val="000000" w:themeColor="text1"/>
      <w:sz w:val="24"/>
    </w:rPr>
  </w:style>
  <w:style w:type="paragraph" w:styleId="Notedebasdepage">
    <w:name w:val="footnote text"/>
    <w:aliases w:val="VR_Fußnotentext, Char,Char"/>
    <w:basedOn w:val="Normal"/>
    <w:link w:val="NotedebasdepageCar"/>
    <w:uiPriority w:val="99"/>
    <w:unhideWhenUsed/>
    <w:qFormat/>
    <w:rsid w:val="008D00F6"/>
    <w:pPr>
      <w:spacing w:line="240" w:lineRule="auto"/>
    </w:pPr>
    <w:rPr>
      <w:sz w:val="20"/>
      <w:szCs w:val="20"/>
    </w:rPr>
  </w:style>
  <w:style w:type="character" w:customStyle="1" w:styleId="NotedebasdepageCar">
    <w:name w:val="Note de bas de page Car"/>
    <w:aliases w:val="VR_Fußnotentext Car, Char Car,Char Car"/>
    <w:basedOn w:val="Policepardfaut"/>
    <w:link w:val="Notedebasdepage"/>
    <w:uiPriority w:val="99"/>
    <w:rsid w:val="008D00F6"/>
    <w:rPr>
      <w:rFonts w:ascii="Times New Roman" w:hAnsi="Times New Roman"/>
      <w:sz w:val="20"/>
      <w:szCs w:val="20"/>
    </w:rPr>
  </w:style>
  <w:style w:type="character" w:styleId="Appelnotedebasdep">
    <w:name w:val="footnote reference"/>
    <w:aliases w:val="voetnoottekst"/>
    <w:basedOn w:val="Policepardfaut"/>
    <w:uiPriority w:val="99"/>
    <w:unhideWhenUsed/>
    <w:rsid w:val="008D00F6"/>
    <w:rPr>
      <w:vertAlign w:val="superscript"/>
    </w:rPr>
  </w:style>
  <w:style w:type="paragraph" w:styleId="TM1">
    <w:name w:val="toc 1"/>
    <w:basedOn w:val="Normal"/>
    <w:next w:val="Normal"/>
    <w:autoRedefine/>
    <w:uiPriority w:val="39"/>
    <w:unhideWhenUsed/>
    <w:rsid w:val="00157CAA"/>
    <w:pPr>
      <w:spacing w:before="360"/>
      <w:jc w:val="left"/>
    </w:pPr>
    <w:rPr>
      <w:rFonts w:asciiTheme="majorHAnsi" w:hAnsiTheme="majorHAnsi"/>
      <w:b/>
      <w:bCs/>
      <w:caps/>
      <w:szCs w:val="24"/>
    </w:rPr>
  </w:style>
  <w:style w:type="paragraph" w:styleId="TM2">
    <w:name w:val="toc 2"/>
    <w:basedOn w:val="Normal"/>
    <w:next w:val="Normal"/>
    <w:autoRedefine/>
    <w:uiPriority w:val="39"/>
    <w:unhideWhenUsed/>
    <w:rsid w:val="00157CAA"/>
    <w:pPr>
      <w:spacing w:before="240"/>
      <w:jc w:val="left"/>
    </w:pPr>
    <w:rPr>
      <w:rFonts w:asciiTheme="minorHAnsi" w:hAnsiTheme="minorHAnsi" w:cstheme="minorHAnsi"/>
      <w:b/>
      <w:bCs/>
      <w:sz w:val="20"/>
      <w:szCs w:val="20"/>
    </w:rPr>
  </w:style>
  <w:style w:type="paragraph" w:styleId="TM3">
    <w:name w:val="toc 3"/>
    <w:basedOn w:val="Normal"/>
    <w:next w:val="Normal"/>
    <w:autoRedefine/>
    <w:uiPriority w:val="39"/>
    <w:unhideWhenUsed/>
    <w:rsid w:val="00157CAA"/>
    <w:pPr>
      <w:ind w:left="240"/>
      <w:jc w:val="left"/>
    </w:pPr>
    <w:rPr>
      <w:rFonts w:asciiTheme="minorHAnsi" w:hAnsiTheme="minorHAnsi" w:cstheme="minorHAnsi"/>
      <w:sz w:val="20"/>
      <w:szCs w:val="20"/>
    </w:rPr>
  </w:style>
  <w:style w:type="paragraph" w:styleId="TM4">
    <w:name w:val="toc 4"/>
    <w:basedOn w:val="Normal"/>
    <w:next w:val="Normal"/>
    <w:autoRedefine/>
    <w:uiPriority w:val="39"/>
    <w:unhideWhenUsed/>
    <w:rsid w:val="00157CAA"/>
    <w:pPr>
      <w:ind w:left="480"/>
      <w:jc w:val="left"/>
    </w:pPr>
    <w:rPr>
      <w:rFonts w:asciiTheme="minorHAnsi" w:hAnsiTheme="minorHAnsi" w:cstheme="minorHAnsi"/>
      <w:sz w:val="20"/>
      <w:szCs w:val="20"/>
    </w:rPr>
  </w:style>
  <w:style w:type="paragraph" w:styleId="TM5">
    <w:name w:val="toc 5"/>
    <w:basedOn w:val="Normal"/>
    <w:next w:val="Normal"/>
    <w:autoRedefine/>
    <w:uiPriority w:val="39"/>
    <w:unhideWhenUsed/>
    <w:rsid w:val="00157CAA"/>
    <w:pPr>
      <w:ind w:left="720"/>
      <w:jc w:val="left"/>
    </w:pPr>
    <w:rPr>
      <w:rFonts w:asciiTheme="minorHAnsi" w:hAnsiTheme="minorHAnsi" w:cstheme="minorHAnsi"/>
      <w:sz w:val="20"/>
      <w:szCs w:val="20"/>
    </w:rPr>
  </w:style>
  <w:style w:type="paragraph" w:styleId="TM6">
    <w:name w:val="toc 6"/>
    <w:basedOn w:val="Normal"/>
    <w:next w:val="Normal"/>
    <w:autoRedefine/>
    <w:uiPriority w:val="39"/>
    <w:unhideWhenUsed/>
    <w:rsid w:val="00157CAA"/>
    <w:pPr>
      <w:ind w:left="960"/>
      <w:jc w:val="left"/>
    </w:pPr>
    <w:rPr>
      <w:rFonts w:asciiTheme="minorHAnsi" w:hAnsiTheme="minorHAnsi" w:cstheme="minorHAnsi"/>
      <w:sz w:val="20"/>
      <w:szCs w:val="20"/>
    </w:rPr>
  </w:style>
  <w:style w:type="paragraph" w:styleId="TM7">
    <w:name w:val="toc 7"/>
    <w:basedOn w:val="Normal"/>
    <w:next w:val="Normal"/>
    <w:autoRedefine/>
    <w:uiPriority w:val="39"/>
    <w:unhideWhenUsed/>
    <w:rsid w:val="00157CAA"/>
    <w:pPr>
      <w:ind w:left="1200"/>
      <w:jc w:val="left"/>
    </w:pPr>
    <w:rPr>
      <w:rFonts w:asciiTheme="minorHAnsi" w:hAnsiTheme="minorHAnsi" w:cstheme="minorHAnsi"/>
      <w:sz w:val="20"/>
      <w:szCs w:val="20"/>
    </w:rPr>
  </w:style>
  <w:style w:type="paragraph" w:styleId="TM8">
    <w:name w:val="toc 8"/>
    <w:basedOn w:val="Normal"/>
    <w:next w:val="Normal"/>
    <w:autoRedefine/>
    <w:uiPriority w:val="39"/>
    <w:unhideWhenUsed/>
    <w:rsid w:val="00157CAA"/>
    <w:pPr>
      <w:ind w:left="1440"/>
      <w:jc w:val="left"/>
    </w:pPr>
    <w:rPr>
      <w:rFonts w:asciiTheme="minorHAnsi" w:hAnsiTheme="minorHAnsi" w:cstheme="minorHAnsi"/>
      <w:sz w:val="20"/>
      <w:szCs w:val="20"/>
    </w:rPr>
  </w:style>
  <w:style w:type="paragraph" w:styleId="TM9">
    <w:name w:val="toc 9"/>
    <w:basedOn w:val="Normal"/>
    <w:next w:val="Normal"/>
    <w:autoRedefine/>
    <w:uiPriority w:val="39"/>
    <w:unhideWhenUsed/>
    <w:rsid w:val="00157CAA"/>
    <w:pPr>
      <w:ind w:left="1680"/>
      <w:jc w:val="left"/>
    </w:pPr>
    <w:rPr>
      <w:rFonts w:asciiTheme="minorHAnsi" w:hAnsiTheme="minorHAnsi" w:cstheme="minorHAnsi"/>
      <w:sz w:val="20"/>
      <w:szCs w:val="20"/>
    </w:rPr>
  </w:style>
  <w:style w:type="character" w:styleId="Lienhypertexte">
    <w:name w:val="Hyperlink"/>
    <w:basedOn w:val="Policepardfaut"/>
    <w:uiPriority w:val="99"/>
    <w:unhideWhenUsed/>
    <w:rsid w:val="00157CAA"/>
    <w:rPr>
      <w:color w:val="0000FF" w:themeColor="hyperlink"/>
      <w:u w:val="single"/>
    </w:rPr>
  </w:style>
  <w:style w:type="paragraph" w:styleId="NormalWeb">
    <w:name w:val="Normal (Web)"/>
    <w:basedOn w:val="Normal"/>
    <w:uiPriority w:val="99"/>
    <w:semiHidden/>
    <w:unhideWhenUsed/>
    <w:rsid w:val="002C0394"/>
    <w:pPr>
      <w:spacing w:before="100" w:beforeAutospacing="1" w:after="100" w:afterAutospacing="1" w:line="240" w:lineRule="auto"/>
      <w:ind w:firstLine="0"/>
      <w:jc w:val="left"/>
    </w:pPr>
    <w:rPr>
      <w:rFonts w:eastAsia="Times New Roman" w:cs="Times New Roman"/>
      <w:szCs w:val="24"/>
      <w:lang w:val="en-US"/>
    </w:rPr>
  </w:style>
  <w:style w:type="character" w:styleId="Textedelespacerserv">
    <w:name w:val="Placeholder Text"/>
    <w:basedOn w:val="Policepardfaut"/>
    <w:uiPriority w:val="99"/>
    <w:semiHidden/>
    <w:rsid w:val="00D54C9B"/>
    <w:rPr>
      <w:color w:val="808080"/>
    </w:rPr>
  </w:style>
  <w:style w:type="paragraph" w:styleId="En-tte">
    <w:name w:val="header"/>
    <w:basedOn w:val="Normal"/>
    <w:link w:val="En-tteCar"/>
    <w:uiPriority w:val="99"/>
    <w:unhideWhenUsed/>
    <w:rsid w:val="00141EE8"/>
    <w:pPr>
      <w:tabs>
        <w:tab w:val="center" w:pos="4703"/>
        <w:tab w:val="right" w:pos="9406"/>
      </w:tabs>
      <w:spacing w:line="240" w:lineRule="auto"/>
    </w:pPr>
  </w:style>
  <w:style w:type="character" w:customStyle="1" w:styleId="En-tteCar">
    <w:name w:val="En-tête Car"/>
    <w:basedOn w:val="Policepardfaut"/>
    <w:link w:val="En-tte"/>
    <w:uiPriority w:val="99"/>
    <w:rsid w:val="00141EE8"/>
    <w:rPr>
      <w:rFonts w:ascii="Times New Roman" w:hAnsi="Times New Roman"/>
      <w:sz w:val="24"/>
    </w:rPr>
  </w:style>
  <w:style w:type="paragraph" w:styleId="Pieddepage">
    <w:name w:val="footer"/>
    <w:basedOn w:val="Normal"/>
    <w:link w:val="PieddepageCar"/>
    <w:uiPriority w:val="99"/>
    <w:unhideWhenUsed/>
    <w:rsid w:val="00141EE8"/>
    <w:pPr>
      <w:tabs>
        <w:tab w:val="center" w:pos="4703"/>
        <w:tab w:val="right" w:pos="9406"/>
      </w:tabs>
      <w:spacing w:line="240" w:lineRule="auto"/>
    </w:pPr>
  </w:style>
  <w:style w:type="character" w:customStyle="1" w:styleId="PieddepageCar">
    <w:name w:val="Pied de page Car"/>
    <w:basedOn w:val="Policepardfaut"/>
    <w:link w:val="Pieddepage"/>
    <w:uiPriority w:val="99"/>
    <w:rsid w:val="00141EE8"/>
    <w:rPr>
      <w:rFonts w:ascii="Times New Roman" w:hAnsi="Times New Roman"/>
      <w:sz w:val="24"/>
    </w:rPr>
  </w:style>
  <w:style w:type="paragraph" w:styleId="Textedebulles">
    <w:name w:val="Balloon Text"/>
    <w:basedOn w:val="Normal"/>
    <w:link w:val="TextedebullesCar"/>
    <w:uiPriority w:val="99"/>
    <w:semiHidden/>
    <w:unhideWhenUsed/>
    <w:rsid w:val="00E0578E"/>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0578E"/>
    <w:rPr>
      <w:rFonts w:ascii="Segoe UI" w:hAnsi="Segoe UI" w:cs="Segoe UI"/>
      <w:sz w:val="18"/>
      <w:szCs w:val="18"/>
    </w:rPr>
  </w:style>
  <w:style w:type="paragraph" w:customStyle="1" w:styleId="Corps">
    <w:name w:val="Corps"/>
    <w:rsid w:val="00E4583D"/>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val="fr-FR" w:eastAsia="fr-BE"/>
    </w:rPr>
  </w:style>
  <w:style w:type="character" w:customStyle="1" w:styleId="tlfcplan">
    <w:name w:val="tlf_cplan"/>
    <w:basedOn w:val="Policepardfaut"/>
    <w:rsid w:val="00950947"/>
  </w:style>
  <w:style w:type="character" w:customStyle="1" w:styleId="tlfcemploi">
    <w:name w:val="tlf_cemploi"/>
    <w:basedOn w:val="Policepardfaut"/>
    <w:rsid w:val="00950947"/>
  </w:style>
  <w:style w:type="character" w:customStyle="1" w:styleId="tlfcdefinition">
    <w:name w:val="tlf_cdefinition"/>
    <w:basedOn w:val="Policepardfaut"/>
    <w:rsid w:val="00950947"/>
  </w:style>
  <w:style w:type="character" w:customStyle="1" w:styleId="tlfcsyntagme">
    <w:name w:val="tlf_csyntagme"/>
    <w:basedOn w:val="Policepardfaut"/>
    <w:rsid w:val="00950947"/>
  </w:style>
  <w:style w:type="character" w:customStyle="1" w:styleId="tlfcexemple">
    <w:name w:val="tlf_cexemple"/>
    <w:basedOn w:val="Policepardfaut"/>
    <w:rsid w:val="00950947"/>
  </w:style>
  <w:style w:type="character" w:customStyle="1" w:styleId="tlfsmallcaps">
    <w:name w:val="tlf_smallcaps"/>
    <w:basedOn w:val="Policepardfaut"/>
    <w:rsid w:val="00950947"/>
  </w:style>
  <w:style w:type="character" w:customStyle="1" w:styleId="tlfctitre">
    <w:name w:val="tlf_ctitre"/>
    <w:basedOn w:val="Policepardfaut"/>
    <w:rsid w:val="00950947"/>
  </w:style>
  <w:style w:type="character" w:customStyle="1" w:styleId="tlfcdate">
    <w:name w:val="tlf_cdate"/>
    <w:basedOn w:val="Policepardfaut"/>
    <w:rsid w:val="00950947"/>
  </w:style>
  <w:style w:type="character" w:styleId="Accentuation">
    <w:name w:val="Emphasis"/>
    <w:uiPriority w:val="20"/>
    <w:qFormat/>
    <w:rsid w:val="00871FBC"/>
    <w:rPr>
      <w:i/>
      <w:iCs/>
    </w:rPr>
  </w:style>
  <w:style w:type="paragraph" w:customStyle="1" w:styleId="Default">
    <w:name w:val="Default"/>
    <w:rsid w:val="00CB3404"/>
    <w:pPr>
      <w:autoSpaceDE w:val="0"/>
      <w:autoSpaceDN w:val="0"/>
      <w:adjustRightInd w:val="0"/>
      <w:spacing w:after="0" w:line="240" w:lineRule="auto"/>
    </w:pPr>
    <w:rPr>
      <w:rFonts w:ascii="Calibri" w:hAnsi="Calibri" w:cs="Calibri"/>
      <w:color w:val="000000"/>
      <w:sz w:val="24"/>
      <w:szCs w:val="24"/>
    </w:rPr>
  </w:style>
  <w:style w:type="character" w:customStyle="1" w:styleId="st">
    <w:name w:val="st"/>
    <w:basedOn w:val="Policepardfaut"/>
    <w:rsid w:val="00A56356"/>
  </w:style>
  <w:style w:type="paragraph" w:styleId="Titre">
    <w:name w:val="Title"/>
    <w:basedOn w:val="Normal"/>
    <w:next w:val="Normal"/>
    <w:link w:val="TitreCar"/>
    <w:uiPriority w:val="10"/>
    <w:qFormat/>
    <w:rsid w:val="00081F75"/>
    <w:pPr>
      <w:spacing w:line="240" w:lineRule="auto"/>
      <w:contextualSpacing/>
    </w:pPr>
    <w:rPr>
      <w:rFonts w:asciiTheme="majorHAnsi" w:eastAsiaTheme="majorEastAsia" w:hAnsiTheme="majorHAnsi" w:cstheme="majorBidi"/>
      <w:spacing w:val="-10"/>
      <w:kern w:val="28"/>
      <w:sz w:val="28"/>
      <w:szCs w:val="28"/>
    </w:rPr>
  </w:style>
  <w:style w:type="character" w:customStyle="1" w:styleId="TitreCar">
    <w:name w:val="Titre Car"/>
    <w:basedOn w:val="Policepardfaut"/>
    <w:link w:val="Titre"/>
    <w:uiPriority w:val="10"/>
    <w:rsid w:val="00081F75"/>
    <w:rPr>
      <w:rFonts w:asciiTheme="majorHAnsi" w:eastAsiaTheme="majorEastAsia" w:hAnsiTheme="majorHAnsi" w:cstheme="majorBidi"/>
      <w:spacing w:val="-10"/>
      <w:kern w:val="28"/>
      <w:sz w:val="28"/>
      <w:szCs w:val="28"/>
    </w:rPr>
  </w:style>
  <w:style w:type="character" w:styleId="Lienhypertextesuivivisit">
    <w:name w:val="FollowedHyperlink"/>
    <w:basedOn w:val="Policepardfaut"/>
    <w:uiPriority w:val="99"/>
    <w:semiHidden/>
    <w:unhideWhenUsed/>
    <w:rsid w:val="00E3389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573673">
      <w:bodyDiv w:val="1"/>
      <w:marLeft w:val="0"/>
      <w:marRight w:val="0"/>
      <w:marTop w:val="0"/>
      <w:marBottom w:val="0"/>
      <w:divBdr>
        <w:top w:val="none" w:sz="0" w:space="0" w:color="auto"/>
        <w:left w:val="none" w:sz="0" w:space="0" w:color="auto"/>
        <w:bottom w:val="none" w:sz="0" w:space="0" w:color="auto"/>
        <w:right w:val="none" w:sz="0" w:space="0" w:color="auto"/>
      </w:divBdr>
    </w:div>
    <w:div w:id="351997544">
      <w:bodyDiv w:val="1"/>
      <w:marLeft w:val="0"/>
      <w:marRight w:val="0"/>
      <w:marTop w:val="0"/>
      <w:marBottom w:val="0"/>
      <w:divBdr>
        <w:top w:val="none" w:sz="0" w:space="0" w:color="auto"/>
        <w:left w:val="none" w:sz="0" w:space="0" w:color="auto"/>
        <w:bottom w:val="none" w:sz="0" w:space="0" w:color="auto"/>
        <w:right w:val="none" w:sz="0" w:space="0" w:color="auto"/>
      </w:divBdr>
    </w:div>
    <w:div w:id="411313874">
      <w:bodyDiv w:val="1"/>
      <w:marLeft w:val="0"/>
      <w:marRight w:val="0"/>
      <w:marTop w:val="0"/>
      <w:marBottom w:val="0"/>
      <w:divBdr>
        <w:top w:val="none" w:sz="0" w:space="0" w:color="auto"/>
        <w:left w:val="none" w:sz="0" w:space="0" w:color="auto"/>
        <w:bottom w:val="none" w:sz="0" w:space="0" w:color="auto"/>
        <w:right w:val="none" w:sz="0" w:space="0" w:color="auto"/>
      </w:divBdr>
    </w:div>
    <w:div w:id="484395180">
      <w:bodyDiv w:val="1"/>
      <w:marLeft w:val="0"/>
      <w:marRight w:val="0"/>
      <w:marTop w:val="0"/>
      <w:marBottom w:val="0"/>
      <w:divBdr>
        <w:top w:val="none" w:sz="0" w:space="0" w:color="auto"/>
        <w:left w:val="none" w:sz="0" w:space="0" w:color="auto"/>
        <w:bottom w:val="none" w:sz="0" w:space="0" w:color="auto"/>
        <w:right w:val="none" w:sz="0" w:space="0" w:color="auto"/>
      </w:divBdr>
      <w:divsChild>
        <w:div w:id="1151561686">
          <w:marLeft w:val="0"/>
          <w:marRight w:val="0"/>
          <w:marTop w:val="0"/>
          <w:marBottom w:val="0"/>
          <w:divBdr>
            <w:top w:val="none" w:sz="0" w:space="0" w:color="auto"/>
            <w:left w:val="none" w:sz="0" w:space="0" w:color="auto"/>
            <w:bottom w:val="none" w:sz="0" w:space="0" w:color="auto"/>
            <w:right w:val="none" w:sz="0" w:space="0" w:color="auto"/>
          </w:divBdr>
          <w:divsChild>
            <w:div w:id="2076318410">
              <w:marLeft w:val="0"/>
              <w:marRight w:val="0"/>
              <w:marTop w:val="0"/>
              <w:marBottom w:val="0"/>
              <w:divBdr>
                <w:top w:val="none" w:sz="0" w:space="0" w:color="auto"/>
                <w:left w:val="none" w:sz="0" w:space="0" w:color="auto"/>
                <w:bottom w:val="none" w:sz="0" w:space="0" w:color="auto"/>
                <w:right w:val="none" w:sz="0" w:space="0" w:color="auto"/>
              </w:divBdr>
              <w:divsChild>
                <w:div w:id="1321032990">
                  <w:marLeft w:val="0"/>
                  <w:marRight w:val="0"/>
                  <w:marTop w:val="0"/>
                  <w:marBottom w:val="0"/>
                  <w:divBdr>
                    <w:top w:val="none" w:sz="0" w:space="0" w:color="auto"/>
                    <w:left w:val="none" w:sz="0" w:space="0" w:color="auto"/>
                    <w:bottom w:val="none" w:sz="0" w:space="0" w:color="auto"/>
                    <w:right w:val="none" w:sz="0" w:space="0" w:color="auto"/>
                  </w:divBdr>
                  <w:divsChild>
                    <w:div w:id="509025634">
                      <w:marLeft w:val="0"/>
                      <w:marRight w:val="0"/>
                      <w:marTop w:val="0"/>
                      <w:marBottom w:val="0"/>
                      <w:divBdr>
                        <w:top w:val="none" w:sz="0" w:space="0" w:color="auto"/>
                        <w:left w:val="none" w:sz="0" w:space="0" w:color="auto"/>
                        <w:bottom w:val="none" w:sz="0" w:space="0" w:color="auto"/>
                        <w:right w:val="none" w:sz="0" w:space="0" w:color="auto"/>
                      </w:divBdr>
                      <w:divsChild>
                        <w:div w:id="1563056288">
                          <w:marLeft w:val="0"/>
                          <w:marRight w:val="0"/>
                          <w:marTop w:val="0"/>
                          <w:marBottom w:val="0"/>
                          <w:divBdr>
                            <w:top w:val="none" w:sz="0" w:space="0" w:color="auto"/>
                            <w:left w:val="none" w:sz="0" w:space="0" w:color="auto"/>
                            <w:bottom w:val="none" w:sz="0" w:space="0" w:color="auto"/>
                            <w:right w:val="none" w:sz="0" w:space="0" w:color="auto"/>
                          </w:divBdr>
                          <w:divsChild>
                            <w:div w:id="702249645">
                              <w:marLeft w:val="0"/>
                              <w:marRight w:val="0"/>
                              <w:marTop w:val="0"/>
                              <w:marBottom w:val="0"/>
                              <w:divBdr>
                                <w:top w:val="none" w:sz="0" w:space="0" w:color="auto"/>
                                <w:left w:val="none" w:sz="0" w:space="0" w:color="auto"/>
                                <w:bottom w:val="none" w:sz="0" w:space="0" w:color="auto"/>
                                <w:right w:val="none" w:sz="0" w:space="0" w:color="auto"/>
                              </w:divBdr>
                              <w:divsChild>
                                <w:div w:id="47279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011088">
      <w:bodyDiv w:val="1"/>
      <w:marLeft w:val="0"/>
      <w:marRight w:val="0"/>
      <w:marTop w:val="0"/>
      <w:marBottom w:val="0"/>
      <w:divBdr>
        <w:top w:val="none" w:sz="0" w:space="0" w:color="auto"/>
        <w:left w:val="none" w:sz="0" w:space="0" w:color="auto"/>
        <w:bottom w:val="none" w:sz="0" w:space="0" w:color="auto"/>
        <w:right w:val="none" w:sz="0" w:space="0" w:color="auto"/>
      </w:divBdr>
    </w:div>
    <w:div w:id="525796678">
      <w:bodyDiv w:val="1"/>
      <w:marLeft w:val="0"/>
      <w:marRight w:val="0"/>
      <w:marTop w:val="0"/>
      <w:marBottom w:val="0"/>
      <w:divBdr>
        <w:top w:val="none" w:sz="0" w:space="0" w:color="auto"/>
        <w:left w:val="none" w:sz="0" w:space="0" w:color="auto"/>
        <w:bottom w:val="none" w:sz="0" w:space="0" w:color="auto"/>
        <w:right w:val="none" w:sz="0" w:space="0" w:color="auto"/>
      </w:divBdr>
    </w:div>
    <w:div w:id="1006328865">
      <w:bodyDiv w:val="1"/>
      <w:marLeft w:val="0"/>
      <w:marRight w:val="0"/>
      <w:marTop w:val="0"/>
      <w:marBottom w:val="0"/>
      <w:divBdr>
        <w:top w:val="none" w:sz="0" w:space="0" w:color="auto"/>
        <w:left w:val="none" w:sz="0" w:space="0" w:color="auto"/>
        <w:bottom w:val="none" w:sz="0" w:space="0" w:color="auto"/>
        <w:right w:val="none" w:sz="0" w:space="0" w:color="auto"/>
      </w:divBdr>
    </w:div>
    <w:div w:id="1167945233">
      <w:bodyDiv w:val="1"/>
      <w:marLeft w:val="0"/>
      <w:marRight w:val="0"/>
      <w:marTop w:val="0"/>
      <w:marBottom w:val="0"/>
      <w:divBdr>
        <w:top w:val="none" w:sz="0" w:space="0" w:color="auto"/>
        <w:left w:val="none" w:sz="0" w:space="0" w:color="auto"/>
        <w:bottom w:val="none" w:sz="0" w:space="0" w:color="auto"/>
        <w:right w:val="none" w:sz="0" w:space="0" w:color="auto"/>
      </w:divBdr>
      <w:divsChild>
        <w:div w:id="474685380">
          <w:marLeft w:val="0"/>
          <w:marRight w:val="0"/>
          <w:marTop w:val="0"/>
          <w:marBottom w:val="0"/>
          <w:divBdr>
            <w:top w:val="none" w:sz="0" w:space="0" w:color="auto"/>
            <w:left w:val="none" w:sz="0" w:space="0" w:color="auto"/>
            <w:bottom w:val="none" w:sz="0" w:space="0" w:color="auto"/>
            <w:right w:val="none" w:sz="0" w:space="0" w:color="auto"/>
          </w:divBdr>
          <w:divsChild>
            <w:div w:id="63360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696211">
      <w:bodyDiv w:val="1"/>
      <w:marLeft w:val="0"/>
      <w:marRight w:val="0"/>
      <w:marTop w:val="0"/>
      <w:marBottom w:val="0"/>
      <w:divBdr>
        <w:top w:val="none" w:sz="0" w:space="0" w:color="auto"/>
        <w:left w:val="none" w:sz="0" w:space="0" w:color="auto"/>
        <w:bottom w:val="none" w:sz="0" w:space="0" w:color="auto"/>
        <w:right w:val="none" w:sz="0" w:space="0" w:color="auto"/>
      </w:divBdr>
      <w:divsChild>
        <w:div w:id="1647006242">
          <w:marLeft w:val="0"/>
          <w:marRight w:val="0"/>
          <w:marTop w:val="0"/>
          <w:marBottom w:val="0"/>
          <w:divBdr>
            <w:top w:val="none" w:sz="0" w:space="0" w:color="auto"/>
            <w:left w:val="none" w:sz="0" w:space="0" w:color="auto"/>
            <w:bottom w:val="none" w:sz="0" w:space="0" w:color="auto"/>
            <w:right w:val="none" w:sz="0" w:space="0" w:color="auto"/>
          </w:divBdr>
        </w:div>
      </w:divsChild>
    </w:div>
    <w:div w:id="1960066757">
      <w:bodyDiv w:val="1"/>
      <w:marLeft w:val="0"/>
      <w:marRight w:val="0"/>
      <w:marTop w:val="0"/>
      <w:marBottom w:val="0"/>
      <w:divBdr>
        <w:top w:val="none" w:sz="0" w:space="0" w:color="auto"/>
        <w:left w:val="none" w:sz="0" w:space="0" w:color="auto"/>
        <w:bottom w:val="none" w:sz="0" w:space="0" w:color="auto"/>
        <w:right w:val="none" w:sz="0" w:space="0" w:color="auto"/>
      </w:divBdr>
    </w:div>
    <w:div w:id="1987276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262569-3185-486E-8C93-F995C3767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16</Pages>
  <Words>6873</Words>
  <Characters>39181</Characters>
  <Application>Microsoft Office Word</Application>
  <DocSecurity>0</DocSecurity>
  <Lines>326</Lines>
  <Paragraphs>91</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45963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SIWS</dc:creator>
  <cp:lastModifiedBy>Arnaud Join-Lambert</cp:lastModifiedBy>
  <cp:revision>8</cp:revision>
  <cp:lastPrinted>2019-09-06T16:37:00Z</cp:lastPrinted>
  <dcterms:created xsi:type="dcterms:W3CDTF">2019-11-28T13:31:00Z</dcterms:created>
  <dcterms:modified xsi:type="dcterms:W3CDTF">2020-02-28T15:11:00Z</dcterms:modified>
</cp:coreProperties>
</file>