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16B4E" w:rsidRPr="00B258D6" w:rsidRDefault="00216B4E" w:rsidP="00216B4E">
      <w:pPr>
        <w:pStyle w:val="Titel"/>
        <w:rPr>
          <w:lang w:val="en-US"/>
        </w:rPr>
      </w:pPr>
      <w:r w:rsidRPr="00B258D6">
        <w:rPr>
          <w:lang w:val="en-US"/>
        </w:rPr>
        <w:t xml:space="preserve">advanced characterization of the 3D morphology of the </w:t>
      </w:r>
      <w:r w:rsidR="00F02137">
        <w:rPr>
          <w:lang w:val="en-US"/>
        </w:rPr>
        <w:t>BONE-TENDON INTERFACE</w:t>
      </w:r>
    </w:p>
    <w:p w:rsidR="00216B4E" w:rsidRPr="00B258D6" w:rsidRDefault="00734CA8" w:rsidP="00216B4E">
      <w:pPr>
        <w:pStyle w:val="Authors"/>
      </w:pPr>
      <w:r w:rsidRPr="00B258D6">
        <w:t xml:space="preserve">Arne Maes (1), </w:t>
      </w:r>
      <w:r w:rsidR="00216B4E" w:rsidRPr="00B258D6">
        <w:t>Lisa Leyssens (</w:t>
      </w:r>
      <w:r w:rsidRPr="00B258D6">
        <w:t>2</w:t>
      </w:r>
      <w:r w:rsidR="00216B4E" w:rsidRPr="00B258D6">
        <w:t>), Greet Kerckhofs (1,2,3)</w:t>
      </w:r>
    </w:p>
    <w:p w:rsidR="00216B4E" w:rsidRPr="00B258D6" w:rsidRDefault="00216B4E" w:rsidP="00216B4E">
      <w:pPr>
        <w:pStyle w:val="Authors"/>
      </w:pPr>
    </w:p>
    <w:p w:rsidR="00216B4E" w:rsidRPr="00B258D6" w:rsidRDefault="00734CA8" w:rsidP="00216B4E">
      <w:pPr>
        <w:pStyle w:val="Affiliation"/>
        <w:rPr>
          <w:lang w:val="en-US"/>
        </w:rPr>
      </w:pPr>
      <w:r w:rsidRPr="00B258D6">
        <w:rPr>
          <w:lang w:val="en-US"/>
        </w:rPr>
        <w:t>1. Dept. Materials Science and Engineering, KU Leuven, Belgium 2</w:t>
      </w:r>
      <w:r w:rsidR="00216B4E" w:rsidRPr="00B258D6">
        <w:rPr>
          <w:lang w:val="en-US"/>
        </w:rPr>
        <w:t>. Biomechanics Lab, Institute of Mechanics, Materials, and Civil Engineering, UCLouvain, Belgium; 3 Prometheus, Division of Skeletal Tissue Engineering, KU Leuven, Belgium</w:t>
      </w:r>
    </w:p>
    <w:p w:rsidR="00216B4E" w:rsidRPr="00B258D6" w:rsidRDefault="00216B4E" w:rsidP="00216B4E">
      <w:pPr>
        <w:pStyle w:val="Affiliation"/>
        <w:rPr>
          <w:lang w:val="en-US"/>
        </w:rPr>
      </w:pPr>
    </w:p>
    <w:p w:rsidR="00216B4E" w:rsidRPr="00B258D6" w:rsidRDefault="00216B4E" w:rsidP="00216B4E">
      <w:pPr>
        <w:pStyle w:val="Affiliation"/>
        <w:rPr>
          <w:lang w:val="en-US"/>
        </w:rPr>
        <w:sectPr w:rsidR="00216B4E" w:rsidRPr="00B258D6" w:rsidSect="00216B4E">
          <w:footerReference w:type="default" r:id="rId8"/>
          <w:pgSz w:w="11907" w:h="16840" w:code="9"/>
          <w:pgMar w:top="1134" w:right="1134" w:bottom="1440" w:left="1134" w:header="709" w:footer="595" w:gutter="0"/>
          <w:cols w:space="708"/>
          <w:docGrid w:linePitch="360"/>
        </w:sectPr>
      </w:pPr>
    </w:p>
    <w:p w:rsidR="00216B4E" w:rsidRPr="00B258D6" w:rsidRDefault="00216B4E" w:rsidP="00216B4E">
      <w:pPr>
        <w:pStyle w:val="Heading"/>
        <w:rPr>
          <w:lang w:val="en-US"/>
        </w:rPr>
      </w:pPr>
      <w:r w:rsidRPr="00B258D6">
        <w:rPr>
          <w:lang w:val="en-US"/>
        </w:rPr>
        <w:t>Introduction</w:t>
      </w:r>
    </w:p>
    <w:p w:rsidR="00216B4E" w:rsidRPr="00A9679F" w:rsidRDefault="006E78F2" w:rsidP="00216B4E">
      <w:pPr>
        <w:rPr>
          <w:highlight w:val="yellow"/>
          <w:lang w:val="en-US"/>
        </w:rPr>
      </w:pPr>
      <w:r w:rsidRPr="00A9679F">
        <w:rPr>
          <w:lang w:val="en-US"/>
        </w:rPr>
        <w:t xml:space="preserve">The bone-tendon interface or the enthesis, is a highly specialized tissue connecting tendon to </w:t>
      </w:r>
      <w:r w:rsidR="003E4D67">
        <w:rPr>
          <w:lang w:val="en-US"/>
        </w:rPr>
        <w:t>bone</w:t>
      </w:r>
      <w:r w:rsidRPr="00A9679F">
        <w:rPr>
          <w:lang w:val="en-US"/>
        </w:rPr>
        <w:t xml:space="preserve">. Despite its </w:t>
      </w:r>
      <w:r w:rsidR="00755B1B">
        <w:rPr>
          <w:lang w:val="en-US"/>
        </w:rPr>
        <w:t>effectiveness</w:t>
      </w:r>
      <w:r w:rsidRPr="00A9679F">
        <w:rPr>
          <w:lang w:val="en-US"/>
        </w:rPr>
        <w:t xml:space="preserve"> </w:t>
      </w:r>
      <w:r w:rsidR="00755B1B">
        <w:rPr>
          <w:lang w:val="en-US"/>
        </w:rPr>
        <w:t>in</w:t>
      </w:r>
      <w:r w:rsidRPr="00A9679F">
        <w:rPr>
          <w:lang w:val="en-US"/>
        </w:rPr>
        <w:t xml:space="preserve"> reducing interfacial stress concentrations, injuries at the bone-tendon interface are </w:t>
      </w:r>
      <w:r w:rsidR="00755B1B">
        <w:rPr>
          <w:lang w:val="en-US"/>
        </w:rPr>
        <w:t xml:space="preserve">still </w:t>
      </w:r>
      <w:r w:rsidRPr="00A9679F">
        <w:rPr>
          <w:lang w:val="en-US"/>
        </w:rPr>
        <w:t>relatively common. These injuries are often induced by tissue degeneration</w:t>
      </w:r>
      <w:r w:rsidR="006C4152">
        <w:rPr>
          <w:lang w:val="en-US"/>
        </w:rPr>
        <w:t xml:space="preserve"> related to aging or pathologies</w:t>
      </w:r>
      <w:r w:rsidRPr="00A9679F">
        <w:rPr>
          <w:lang w:val="en-US"/>
        </w:rPr>
        <w:t xml:space="preserve"> but can also be caused by overuse</w:t>
      </w:r>
      <w:r w:rsidR="00A9679F" w:rsidRPr="00A9679F">
        <w:rPr>
          <w:lang w:val="en-US"/>
        </w:rPr>
        <w:t xml:space="preserve"> or trauma </w:t>
      </w:r>
      <w:r w:rsidR="00216B4E" w:rsidRPr="00A9679F">
        <w:rPr>
          <w:lang w:val="en-US"/>
        </w:rPr>
        <w:t>[1].</w:t>
      </w:r>
      <w:r w:rsidR="00734CA8" w:rsidRPr="00B258D6">
        <w:rPr>
          <w:lang w:val="en-US"/>
        </w:rPr>
        <w:t xml:space="preserve"> </w:t>
      </w:r>
      <w:r w:rsidR="00A9679F">
        <w:rPr>
          <w:lang w:val="en-US"/>
        </w:rPr>
        <w:t xml:space="preserve">Surgical </w:t>
      </w:r>
      <w:r w:rsidR="00216B4E" w:rsidRPr="00B258D6">
        <w:rPr>
          <w:lang w:val="en-US"/>
        </w:rPr>
        <w:t>reattachmen</w:t>
      </w:r>
      <w:r w:rsidR="00A9679F">
        <w:rPr>
          <w:lang w:val="en-US"/>
        </w:rPr>
        <w:t>t is characterized by</w:t>
      </w:r>
      <w:r w:rsidR="00216B4E" w:rsidRPr="00B258D6">
        <w:rPr>
          <w:lang w:val="en-US"/>
        </w:rPr>
        <w:t xml:space="preserve"> very </w:t>
      </w:r>
      <w:r w:rsidR="00734CA8" w:rsidRPr="00B258D6">
        <w:rPr>
          <w:lang w:val="en-US"/>
        </w:rPr>
        <w:t>poor</w:t>
      </w:r>
      <w:r w:rsidR="00A9679F">
        <w:rPr>
          <w:lang w:val="en-US"/>
        </w:rPr>
        <w:t xml:space="preserve"> outcomes due to the inability of reconstituting the original tissue</w:t>
      </w:r>
      <w:r w:rsidR="00216B4E" w:rsidRPr="00B258D6">
        <w:rPr>
          <w:lang w:val="en-US"/>
        </w:rPr>
        <w:t>,</w:t>
      </w:r>
      <w:r w:rsidR="00734CA8" w:rsidRPr="00B258D6">
        <w:rPr>
          <w:lang w:val="en-US"/>
        </w:rPr>
        <w:t xml:space="preserve"> </w:t>
      </w:r>
      <w:r w:rsidR="00A9679F">
        <w:rPr>
          <w:lang w:val="en-US"/>
        </w:rPr>
        <w:t>and results</w:t>
      </w:r>
      <w:r w:rsidR="00734CA8" w:rsidRPr="00B258D6">
        <w:rPr>
          <w:lang w:val="en-US"/>
        </w:rPr>
        <w:t xml:space="preserve"> most often in re-tearing of the </w:t>
      </w:r>
      <w:r w:rsidR="00A9679F">
        <w:rPr>
          <w:lang w:val="en-US"/>
        </w:rPr>
        <w:t>bone-tendon interface</w:t>
      </w:r>
      <w:r w:rsidR="00734CA8" w:rsidRPr="00B258D6">
        <w:rPr>
          <w:lang w:val="en-US"/>
        </w:rPr>
        <w:t>.</w:t>
      </w:r>
      <w:r w:rsidR="00216B4E" w:rsidRPr="00B258D6">
        <w:rPr>
          <w:lang w:val="en-US"/>
        </w:rPr>
        <w:t xml:space="preserve"> </w:t>
      </w:r>
      <w:r w:rsidR="00734CA8" w:rsidRPr="00B258D6">
        <w:rPr>
          <w:lang w:val="en-US"/>
        </w:rPr>
        <w:t>This</w:t>
      </w:r>
      <w:r w:rsidR="00216B4E" w:rsidRPr="00B258D6">
        <w:rPr>
          <w:lang w:val="en-US"/>
        </w:rPr>
        <w:t xml:space="preserve"> </w:t>
      </w:r>
      <w:r w:rsidR="00A9679F">
        <w:rPr>
          <w:lang w:val="en-US"/>
        </w:rPr>
        <w:t>renders</w:t>
      </w:r>
      <w:r w:rsidR="0012631B">
        <w:rPr>
          <w:lang w:val="en-US"/>
        </w:rPr>
        <w:t xml:space="preserve"> </w:t>
      </w:r>
      <w:r w:rsidR="00216B4E" w:rsidRPr="00B258D6">
        <w:rPr>
          <w:lang w:val="en-US"/>
        </w:rPr>
        <w:t xml:space="preserve">the bone-tendon </w:t>
      </w:r>
      <w:r w:rsidR="0012631B">
        <w:rPr>
          <w:lang w:val="en-US"/>
        </w:rPr>
        <w:t>interface</w:t>
      </w:r>
      <w:r w:rsidR="00216B4E" w:rsidRPr="00B258D6">
        <w:rPr>
          <w:lang w:val="en-US"/>
        </w:rPr>
        <w:t xml:space="preserve"> </w:t>
      </w:r>
      <w:r w:rsidR="00A9679F">
        <w:rPr>
          <w:lang w:val="en-US"/>
        </w:rPr>
        <w:t>an important research topic</w:t>
      </w:r>
      <w:r w:rsidR="00216B4E" w:rsidRPr="00B258D6">
        <w:rPr>
          <w:lang w:val="en-US"/>
        </w:rPr>
        <w:t xml:space="preserve">. </w:t>
      </w:r>
      <w:r w:rsidR="00A974D1">
        <w:rPr>
          <w:lang w:val="en-US"/>
        </w:rPr>
        <w:t>In order t</w:t>
      </w:r>
      <w:r w:rsidR="00216B4E" w:rsidRPr="00B258D6">
        <w:rPr>
          <w:lang w:val="en-US"/>
        </w:rPr>
        <w:t>o address this clinical issue, it is necessary to regenerate a tissue</w:t>
      </w:r>
      <w:r w:rsidR="00A974D1">
        <w:rPr>
          <w:lang w:val="en-US"/>
        </w:rPr>
        <w:t>, which</w:t>
      </w:r>
      <w:r w:rsidR="00216B4E" w:rsidRPr="00B258D6">
        <w:rPr>
          <w:lang w:val="en-US"/>
        </w:rPr>
        <w:t xml:space="preserve"> </w:t>
      </w:r>
      <w:r w:rsidR="0012631B">
        <w:rPr>
          <w:lang w:val="en-US"/>
        </w:rPr>
        <w:t>closely resembl</w:t>
      </w:r>
      <w:r w:rsidR="00A974D1">
        <w:rPr>
          <w:lang w:val="en-US"/>
        </w:rPr>
        <w:t>es</w:t>
      </w:r>
      <w:r w:rsidR="0012631B">
        <w:rPr>
          <w:lang w:val="en-US"/>
        </w:rPr>
        <w:t xml:space="preserve"> the original structure.</w:t>
      </w:r>
      <w:r w:rsidR="00216B4E" w:rsidRPr="00B258D6">
        <w:rPr>
          <w:lang w:val="en-US"/>
        </w:rPr>
        <w:t xml:space="preserve"> </w:t>
      </w:r>
      <w:r w:rsidR="0012631B">
        <w:rPr>
          <w:lang w:val="en-US"/>
        </w:rPr>
        <w:t xml:space="preserve">However, </w:t>
      </w:r>
      <w:r w:rsidR="001A61FB">
        <w:rPr>
          <w:lang w:val="en-US"/>
        </w:rPr>
        <w:t xml:space="preserve">an incomplete understanding of </w:t>
      </w:r>
      <w:r w:rsidR="0012631B">
        <w:rPr>
          <w:lang w:val="en-US"/>
        </w:rPr>
        <w:t xml:space="preserve">the complex, multi-tissue morphology </w:t>
      </w:r>
      <w:r w:rsidR="001A61FB">
        <w:rPr>
          <w:lang w:val="en-US"/>
        </w:rPr>
        <w:t>found at</w:t>
      </w:r>
      <w:r w:rsidR="0012631B">
        <w:rPr>
          <w:lang w:val="en-US"/>
        </w:rPr>
        <w:t xml:space="preserve"> the bone-tendon interface</w:t>
      </w:r>
      <w:r w:rsidR="00FB6079">
        <w:rPr>
          <w:lang w:val="en-US"/>
        </w:rPr>
        <w:t>,</w:t>
      </w:r>
      <w:r w:rsidR="0012631B">
        <w:rPr>
          <w:lang w:val="en-US"/>
        </w:rPr>
        <w:t xml:space="preserve"> </w:t>
      </w:r>
      <w:r w:rsidR="001A61FB">
        <w:rPr>
          <w:lang w:val="en-US"/>
        </w:rPr>
        <w:t>hampers</w:t>
      </w:r>
      <w:r w:rsidR="0012631B">
        <w:rPr>
          <w:lang w:val="en-US"/>
        </w:rPr>
        <w:t xml:space="preserve"> </w:t>
      </w:r>
      <w:r w:rsidR="001A61FB">
        <w:rPr>
          <w:lang w:val="en-US"/>
        </w:rPr>
        <w:t>significant break-throughs in the field of regenerative medicine</w:t>
      </w:r>
      <w:r w:rsidR="001E0C73">
        <w:rPr>
          <w:lang w:val="en-US"/>
        </w:rPr>
        <w:t xml:space="preserve"> [2]</w:t>
      </w:r>
      <w:r w:rsidR="001A61FB">
        <w:rPr>
          <w:lang w:val="en-US"/>
        </w:rPr>
        <w:t xml:space="preserve">. This study aims </w:t>
      </w:r>
      <w:r w:rsidR="00216B4E" w:rsidRPr="00B258D6">
        <w:rPr>
          <w:lang w:val="en-US"/>
        </w:rPr>
        <w:t>to develop and optimize advanced techniques</w:t>
      </w:r>
      <w:r w:rsidR="001A61FB">
        <w:rPr>
          <w:lang w:val="en-US"/>
        </w:rPr>
        <w:t xml:space="preserve"> in order to characterize</w:t>
      </w:r>
      <w:r w:rsidR="00216B4E" w:rsidRPr="00B258D6">
        <w:rPr>
          <w:lang w:val="en-US"/>
        </w:rPr>
        <w:t xml:space="preserve"> the </w:t>
      </w:r>
      <w:r w:rsidR="00734CA8" w:rsidRPr="00B258D6">
        <w:rPr>
          <w:lang w:val="en-US"/>
        </w:rPr>
        <w:t>micro</w:t>
      </w:r>
      <w:r w:rsidR="00216B4E" w:rsidRPr="00B258D6">
        <w:rPr>
          <w:lang w:val="en-US"/>
        </w:rPr>
        <w:t>structur</w:t>
      </w:r>
      <w:r w:rsidR="00734CA8" w:rsidRPr="00B258D6">
        <w:rPr>
          <w:lang w:val="en-US"/>
        </w:rPr>
        <w:t>al properties</w:t>
      </w:r>
      <w:r w:rsidR="00216B4E" w:rsidRPr="00B258D6">
        <w:rPr>
          <w:lang w:val="en-US"/>
        </w:rPr>
        <w:t xml:space="preserve"> of the murine Achilles </w:t>
      </w:r>
      <w:r w:rsidR="00E27B20" w:rsidRPr="00B258D6">
        <w:rPr>
          <w:lang w:val="en-US"/>
        </w:rPr>
        <w:t>bone-tendon</w:t>
      </w:r>
      <w:r w:rsidR="00216B4E" w:rsidRPr="00B258D6">
        <w:rPr>
          <w:lang w:val="en-US"/>
        </w:rPr>
        <w:t xml:space="preserve"> interface.</w:t>
      </w:r>
    </w:p>
    <w:p w:rsidR="00216B4E" w:rsidRPr="00B258D6" w:rsidRDefault="00216B4E" w:rsidP="00216B4E">
      <w:pPr>
        <w:rPr>
          <w:lang w:val="en-US"/>
        </w:rPr>
      </w:pPr>
    </w:p>
    <w:p w:rsidR="00216B4E" w:rsidRPr="00B258D6" w:rsidRDefault="00216B4E" w:rsidP="00216B4E">
      <w:pPr>
        <w:pStyle w:val="Heading"/>
        <w:rPr>
          <w:lang w:val="en-US"/>
        </w:rPr>
      </w:pPr>
      <w:r w:rsidRPr="00B258D6">
        <w:rPr>
          <w:lang w:val="en-US"/>
        </w:rPr>
        <w:t>Materials, methods and results</w:t>
      </w:r>
    </w:p>
    <w:p w:rsidR="00216B4E" w:rsidRPr="00B258D6" w:rsidRDefault="00216B4E" w:rsidP="00216B4E">
      <w:pPr>
        <w:rPr>
          <w:lang w:val="en-US"/>
        </w:rPr>
      </w:pPr>
      <w:r w:rsidRPr="00B258D6">
        <w:rPr>
          <w:lang w:val="en-US"/>
        </w:rPr>
        <w:t xml:space="preserve">Achilles </w:t>
      </w:r>
      <w:r w:rsidR="00E27B20" w:rsidRPr="00B258D6">
        <w:rPr>
          <w:lang w:val="en-US"/>
        </w:rPr>
        <w:t>bone-tendon</w:t>
      </w:r>
      <w:r w:rsidRPr="00B258D6">
        <w:rPr>
          <w:lang w:val="en-US"/>
        </w:rPr>
        <w:t xml:space="preserve"> interfaces were extracted from 8-weeks old mice, 30-weeks old lean mice and 30-weeks old diet-induced obese mice (induced by a 22-weeks long high fat diet). </w:t>
      </w:r>
      <w:r w:rsidR="00B258D6">
        <w:rPr>
          <w:lang w:val="en-US"/>
        </w:rPr>
        <w:t xml:space="preserve">High resolution X-ray microfocus (microCT) allowed the characterization of the </w:t>
      </w:r>
      <w:r w:rsidR="008F671B">
        <w:rPr>
          <w:lang w:val="en-US"/>
        </w:rPr>
        <w:t xml:space="preserve">3D morphology of the </w:t>
      </w:r>
      <w:r w:rsidR="00B258D6">
        <w:rPr>
          <w:lang w:val="en-US"/>
        </w:rPr>
        <w:t xml:space="preserve">mineralized </w:t>
      </w:r>
      <w:r w:rsidR="008F671B">
        <w:rPr>
          <w:lang w:val="en-US"/>
        </w:rPr>
        <w:t>tissues</w:t>
      </w:r>
      <w:r w:rsidR="00B258D6">
        <w:rPr>
          <w:lang w:val="en-US"/>
        </w:rPr>
        <w:t xml:space="preserve"> at the bone-tendon interface</w:t>
      </w:r>
      <w:r w:rsidR="008F671B">
        <w:rPr>
          <w:lang w:val="en-US"/>
        </w:rPr>
        <w:t>. Contrast-enhanced microstructure (CE-CT) was applied in order to study the soft tissues near the bone-tendon interface</w:t>
      </w:r>
      <w:r w:rsidR="009872FB">
        <w:rPr>
          <w:lang w:val="en-US"/>
        </w:rPr>
        <w:t>, including the collagen fiber orientation</w:t>
      </w:r>
      <w:r w:rsidR="008F671B">
        <w:rPr>
          <w:lang w:val="en-US"/>
        </w:rPr>
        <w:t xml:space="preserve">. </w:t>
      </w:r>
      <w:r w:rsidR="00A974D1">
        <w:rPr>
          <w:lang w:val="en-US"/>
        </w:rPr>
        <w:t>A</w:t>
      </w:r>
      <w:r w:rsidRPr="00B258D6">
        <w:rPr>
          <w:lang w:val="en-US"/>
        </w:rPr>
        <w:t xml:space="preserve"> voxel size of 1.25 µm</w:t>
      </w:r>
      <w:r w:rsidR="00A974D1">
        <w:rPr>
          <w:lang w:val="en-US"/>
        </w:rPr>
        <w:t xml:space="preserve"> was applied</w:t>
      </w:r>
      <w:r w:rsidRPr="00B258D6">
        <w:rPr>
          <w:lang w:val="en-US"/>
        </w:rPr>
        <w:t xml:space="preserve">, and </w:t>
      </w:r>
      <w:r w:rsidR="00B258D6">
        <w:rPr>
          <w:lang w:val="en-US"/>
        </w:rPr>
        <w:t>samples were stained with Lugol’s iodine for CE-CT</w:t>
      </w:r>
      <w:r w:rsidRPr="00B258D6">
        <w:rPr>
          <w:lang w:val="en-US"/>
        </w:rPr>
        <w:t xml:space="preserve">. </w:t>
      </w:r>
      <w:bookmarkStart w:id="0" w:name="_GoBack"/>
      <w:bookmarkEnd w:id="0"/>
    </w:p>
    <w:p w:rsidR="00216B4E" w:rsidRDefault="00216B4E" w:rsidP="00F02137">
      <w:pPr>
        <w:rPr>
          <w:lang w:val="en-US"/>
        </w:rPr>
      </w:pPr>
      <w:r w:rsidRPr="00B258D6">
        <w:rPr>
          <w:lang w:val="en-US"/>
        </w:rPr>
        <w:t>MicroCT revealed differences between the lean and the obese mice concerning the volume of the mineralized fibrocartilage layer and the surface of the connection between the mineralized and unmineralized fibrocartilage.</w:t>
      </w:r>
      <w:r w:rsidR="008F671B">
        <w:rPr>
          <w:lang w:val="en-US"/>
        </w:rPr>
        <w:t xml:space="preserve"> The increase in volume of the mineralized fibrocartilage observed in the obese mice was caused </w:t>
      </w:r>
      <w:r w:rsidR="00A974D1">
        <w:rPr>
          <w:lang w:val="en-US"/>
        </w:rPr>
        <w:t xml:space="preserve">rather </w:t>
      </w:r>
      <w:r w:rsidR="008F671B">
        <w:rPr>
          <w:lang w:val="en-US"/>
        </w:rPr>
        <w:t xml:space="preserve">by a </w:t>
      </w:r>
      <w:r w:rsidR="009872FB">
        <w:rPr>
          <w:lang w:val="en-US"/>
        </w:rPr>
        <w:t>broader</w:t>
      </w:r>
      <w:r w:rsidR="00411CFF">
        <w:rPr>
          <w:lang w:val="en-US"/>
        </w:rPr>
        <w:t xml:space="preserve"> connection surface</w:t>
      </w:r>
      <w:r w:rsidR="008F671B">
        <w:rPr>
          <w:lang w:val="en-US"/>
        </w:rPr>
        <w:t xml:space="preserve">, </w:t>
      </w:r>
      <w:r w:rsidR="00411CFF">
        <w:rPr>
          <w:lang w:val="en-US"/>
        </w:rPr>
        <w:t xml:space="preserve">instead of </w:t>
      </w:r>
      <w:r w:rsidR="008F671B">
        <w:rPr>
          <w:lang w:val="en-US"/>
        </w:rPr>
        <w:t>an increase in thickness.</w:t>
      </w:r>
      <w:r w:rsidR="00F02137">
        <w:rPr>
          <w:lang w:val="en-US"/>
        </w:rPr>
        <w:t xml:space="preserve"> </w:t>
      </w:r>
      <w:r w:rsidR="00F02137" w:rsidRPr="00F02137">
        <w:rPr>
          <w:lang w:val="en-US"/>
        </w:rPr>
        <w:t>Th</w:t>
      </w:r>
      <w:r w:rsidR="00F02137">
        <w:rPr>
          <w:lang w:val="en-US"/>
        </w:rPr>
        <w:t xml:space="preserve">e </w:t>
      </w:r>
      <w:r w:rsidR="009872FB">
        <w:rPr>
          <w:lang w:val="en-US"/>
        </w:rPr>
        <w:t>structural</w:t>
      </w:r>
      <w:r w:rsidR="00F02137">
        <w:rPr>
          <w:lang w:val="en-US"/>
        </w:rPr>
        <w:t xml:space="preserve"> differences </w:t>
      </w:r>
      <w:r w:rsidR="00F02137" w:rsidRPr="00F02137">
        <w:rPr>
          <w:lang w:val="en-US"/>
        </w:rPr>
        <w:t>between</w:t>
      </w:r>
      <w:r w:rsidR="00F02137">
        <w:rPr>
          <w:lang w:val="en-US"/>
        </w:rPr>
        <w:t xml:space="preserve"> obese and lean mice </w:t>
      </w:r>
      <w:r w:rsidR="00F02137" w:rsidRPr="00F02137">
        <w:rPr>
          <w:lang w:val="en-US"/>
        </w:rPr>
        <w:t>w</w:t>
      </w:r>
      <w:r w:rsidR="00F02137">
        <w:rPr>
          <w:lang w:val="en-US"/>
        </w:rPr>
        <w:t>ere</w:t>
      </w:r>
      <w:r w:rsidR="00F02137" w:rsidRPr="00F02137">
        <w:rPr>
          <w:lang w:val="en-US"/>
        </w:rPr>
        <w:t xml:space="preserve"> explained through biological and</w:t>
      </w:r>
      <w:r w:rsidR="00F02137">
        <w:rPr>
          <w:lang w:val="en-US"/>
        </w:rPr>
        <w:t xml:space="preserve"> </w:t>
      </w:r>
      <w:r w:rsidR="00F02137" w:rsidRPr="00F02137">
        <w:rPr>
          <w:lang w:val="en-US"/>
        </w:rPr>
        <w:t>physical effects: a delay in chondrogenesis and mechanobiology.</w:t>
      </w:r>
      <w:r w:rsidRPr="00B258D6">
        <w:rPr>
          <w:lang w:val="en-US"/>
        </w:rPr>
        <w:t xml:space="preserve"> Ageing</w:t>
      </w:r>
      <w:r w:rsidR="008F671B">
        <w:rPr>
          <w:lang w:val="en-US"/>
        </w:rPr>
        <w:t>, on the other hand,</w:t>
      </w:r>
      <w:r w:rsidRPr="00B258D6">
        <w:rPr>
          <w:lang w:val="en-US"/>
        </w:rPr>
        <w:t xml:space="preserve"> did not have a</w:t>
      </w:r>
      <w:r w:rsidR="00B258D6">
        <w:rPr>
          <w:lang w:val="en-US"/>
        </w:rPr>
        <w:t xml:space="preserve"> significant</w:t>
      </w:r>
      <w:r w:rsidRPr="00B258D6">
        <w:rPr>
          <w:lang w:val="en-US"/>
        </w:rPr>
        <w:t xml:space="preserve"> effect on the</w:t>
      </w:r>
      <w:r w:rsidR="00F02137">
        <w:rPr>
          <w:lang w:val="en-US"/>
        </w:rPr>
        <w:t xml:space="preserve"> aforementioned</w:t>
      </w:r>
      <w:r w:rsidRPr="00B258D6">
        <w:rPr>
          <w:lang w:val="en-US"/>
        </w:rPr>
        <w:t xml:space="preserve"> properties. CE-CT allowed </w:t>
      </w:r>
      <w:r w:rsidR="00B258D6">
        <w:rPr>
          <w:lang w:val="en-US"/>
        </w:rPr>
        <w:t>the observation of</w:t>
      </w:r>
      <w:r w:rsidRPr="00B258D6">
        <w:rPr>
          <w:lang w:val="en-US"/>
        </w:rPr>
        <w:t xml:space="preserve"> the collagen fiber orientation within the </w:t>
      </w:r>
      <w:r w:rsidRPr="00B258D6">
        <w:rPr>
          <w:lang w:val="en-US"/>
        </w:rPr>
        <w:t>unmineralized fibrocartilage and the connecting tendon</w:t>
      </w:r>
      <w:r w:rsidR="00F02137">
        <w:rPr>
          <w:lang w:val="en-US"/>
        </w:rPr>
        <w:t xml:space="preserve"> (Figure 1)</w:t>
      </w:r>
      <w:r w:rsidRPr="00B258D6">
        <w:rPr>
          <w:lang w:val="en-US"/>
        </w:rPr>
        <w:t>. Quantitative 3D analysis is ongoing, as well as further optimization of the contrasting method.</w:t>
      </w:r>
    </w:p>
    <w:p w:rsidR="00B914F5" w:rsidRPr="00B258D6" w:rsidRDefault="00B914F5" w:rsidP="00F02137">
      <w:pPr>
        <w:rPr>
          <w:lang w:val="en-US"/>
        </w:rPr>
      </w:pPr>
    </w:p>
    <w:p w:rsidR="00216B4E" w:rsidRPr="00B258D6" w:rsidRDefault="00216B4E" w:rsidP="00216B4E">
      <w:pPr>
        <w:pStyle w:val="Heading"/>
        <w:rPr>
          <w:lang w:val="en-US"/>
        </w:rPr>
      </w:pPr>
      <w:r w:rsidRPr="00B258D6">
        <w:rPr>
          <w:lang w:val="en-US"/>
        </w:rPr>
        <w:t>Conclusion</w:t>
      </w:r>
    </w:p>
    <w:p w:rsidR="00216B4E" w:rsidRDefault="00216B4E" w:rsidP="00216B4E">
      <w:pPr>
        <w:pStyle w:val="Captions"/>
        <w:rPr>
          <w:i w:val="0"/>
          <w:lang w:val="en-US"/>
        </w:rPr>
      </w:pPr>
      <w:r w:rsidRPr="00B258D6">
        <w:rPr>
          <w:i w:val="0"/>
          <w:lang w:val="en-US"/>
        </w:rPr>
        <w:t>The goal of this study was to</w:t>
      </w:r>
      <w:r w:rsidR="006E73BF">
        <w:rPr>
          <w:i w:val="0"/>
          <w:lang w:val="en-US"/>
        </w:rPr>
        <w:t xml:space="preserve"> develop and</w:t>
      </w:r>
      <w:r w:rsidRPr="00B258D6">
        <w:rPr>
          <w:i w:val="0"/>
          <w:lang w:val="en-US"/>
        </w:rPr>
        <w:t xml:space="preserve"> optimize</w:t>
      </w:r>
      <w:r w:rsidR="006E73BF">
        <w:rPr>
          <w:i w:val="0"/>
          <w:lang w:val="en-US"/>
        </w:rPr>
        <w:t xml:space="preserve"> microCT and CE-CT for the 3D structural characterization</w:t>
      </w:r>
      <w:r w:rsidRPr="00B258D6">
        <w:rPr>
          <w:i w:val="0"/>
          <w:lang w:val="en-US"/>
        </w:rPr>
        <w:t xml:space="preserve"> of the murine Achilles bone-tendon interface. MicroCT allowed highly detailed 3D visualization and quantification of the architecture of the mineralized structures at the interface. CE-CT allowed </w:t>
      </w:r>
      <w:r w:rsidR="009872FB">
        <w:rPr>
          <w:i w:val="0"/>
          <w:lang w:val="en-US"/>
        </w:rPr>
        <w:t xml:space="preserve">the </w:t>
      </w:r>
      <w:r w:rsidRPr="00B258D6">
        <w:rPr>
          <w:i w:val="0"/>
          <w:lang w:val="en-US"/>
        </w:rPr>
        <w:t>visuali</w:t>
      </w:r>
      <w:r w:rsidR="006C098C">
        <w:rPr>
          <w:i w:val="0"/>
          <w:lang w:val="en-US"/>
        </w:rPr>
        <w:t>zation</w:t>
      </w:r>
      <w:r w:rsidR="009872FB">
        <w:rPr>
          <w:i w:val="0"/>
          <w:lang w:val="en-US"/>
        </w:rPr>
        <w:t xml:space="preserve"> and the tracking of</w:t>
      </w:r>
      <w:r w:rsidRPr="00B258D6">
        <w:rPr>
          <w:i w:val="0"/>
          <w:lang w:val="en-US"/>
        </w:rPr>
        <w:t xml:space="preserve"> the</w:t>
      </w:r>
      <w:r w:rsidR="009872FB">
        <w:rPr>
          <w:i w:val="0"/>
          <w:lang w:val="en-US"/>
        </w:rPr>
        <w:t xml:space="preserve"> collagen</w:t>
      </w:r>
      <w:r w:rsidRPr="00B258D6">
        <w:rPr>
          <w:i w:val="0"/>
          <w:lang w:val="en-US"/>
        </w:rPr>
        <w:t xml:space="preserve"> fib</w:t>
      </w:r>
      <w:r w:rsidR="009872FB">
        <w:rPr>
          <w:i w:val="0"/>
          <w:lang w:val="en-US"/>
        </w:rPr>
        <w:t>er</w:t>
      </w:r>
      <w:r w:rsidRPr="00B258D6">
        <w:rPr>
          <w:i w:val="0"/>
          <w:lang w:val="en-US"/>
        </w:rPr>
        <w:t xml:space="preserve"> orientation both in the unmineralized cartilage a</w:t>
      </w:r>
      <w:r w:rsidR="00A974D1">
        <w:rPr>
          <w:i w:val="0"/>
          <w:lang w:val="en-US"/>
        </w:rPr>
        <w:t>nd</w:t>
      </w:r>
      <w:r w:rsidRPr="00B258D6">
        <w:rPr>
          <w:i w:val="0"/>
          <w:lang w:val="en-US"/>
        </w:rPr>
        <w:t xml:space="preserve"> in the tendon. Further research will involve the analysis of a large</w:t>
      </w:r>
      <w:r w:rsidR="00A974D1">
        <w:rPr>
          <w:i w:val="0"/>
          <w:lang w:val="en-US"/>
        </w:rPr>
        <w:t>r</w:t>
      </w:r>
      <w:r w:rsidRPr="00B258D6">
        <w:rPr>
          <w:i w:val="0"/>
          <w:lang w:val="en-US"/>
        </w:rPr>
        <w:t xml:space="preserve"> set of samples</w:t>
      </w:r>
      <w:r w:rsidR="00850B83">
        <w:rPr>
          <w:i w:val="0"/>
          <w:lang w:val="en-US"/>
        </w:rPr>
        <w:t xml:space="preserve"> to obtain more statistically reliable results</w:t>
      </w:r>
      <w:r w:rsidRPr="00B258D6">
        <w:rPr>
          <w:i w:val="0"/>
          <w:lang w:val="en-US"/>
        </w:rPr>
        <w:t>.</w:t>
      </w:r>
      <w:r w:rsidR="00F02137">
        <w:rPr>
          <w:i w:val="0"/>
          <w:lang w:val="en-US"/>
        </w:rPr>
        <w:t xml:space="preserve"> Furthermore, efforts are currently made to develop novel contrasting methods.</w:t>
      </w:r>
    </w:p>
    <w:p w:rsidR="00411CFF" w:rsidRDefault="00411CFF" w:rsidP="00216B4E">
      <w:pPr>
        <w:pStyle w:val="Captions"/>
        <w:rPr>
          <w:i w:val="0"/>
          <w:lang w:val="en-US"/>
        </w:rPr>
      </w:pPr>
    </w:p>
    <w:p w:rsidR="00411CFF" w:rsidRDefault="00411CFF" w:rsidP="00424325">
      <w:pPr>
        <w:pStyle w:val="Captions"/>
        <w:keepNext/>
        <w:jc w:val="center"/>
      </w:pPr>
      <w:r>
        <w:rPr>
          <w:noProof/>
        </w:rPr>
        <w:drawing>
          <wp:inline distT="0" distB="0" distL="0" distR="0">
            <wp:extent cx="2679255" cy="2890157"/>
            <wp:effectExtent l="0" t="0" r="6985" b="5715"/>
            <wp:docPr id="3" name="Afbeeldin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05618" cy="29185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6B4E" w:rsidRPr="00424325" w:rsidRDefault="00411CFF" w:rsidP="00424325">
      <w:pPr>
        <w:pStyle w:val="Bijschrift"/>
        <w:rPr>
          <w:i w:val="0"/>
          <w:color w:val="auto"/>
          <w:lang w:val="en-US"/>
        </w:rPr>
      </w:pPr>
      <w:r w:rsidRPr="00411CFF">
        <w:rPr>
          <w:b/>
          <w:color w:val="auto"/>
        </w:rPr>
        <w:t xml:space="preserve">Figure </w:t>
      </w:r>
      <w:r w:rsidRPr="00411CFF">
        <w:rPr>
          <w:b/>
          <w:color w:val="auto"/>
        </w:rPr>
        <w:fldChar w:fldCharType="begin"/>
      </w:r>
      <w:r w:rsidRPr="00411CFF">
        <w:rPr>
          <w:b/>
          <w:color w:val="auto"/>
        </w:rPr>
        <w:instrText xml:space="preserve"> SEQ Figure \* ARABIC </w:instrText>
      </w:r>
      <w:r w:rsidRPr="00411CFF">
        <w:rPr>
          <w:b/>
          <w:color w:val="auto"/>
        </w:rPr>
        <w:fldChar w:fldCharType="separate"/>
      </w:r>
      <w:r w:rsidR="003E4D67">
        <w:rPr>
          <w:b/>
          <w:noProof/>
          <w:color w:val="auto"/>
        </w:rPr>
        <w:t>1</w:t>
      </w:r>
      <w:r w:rsidRPr="00411CFF">
        <w:rPr>
          <w:b/>
          <w:color w:val="auto"/>
        </w:rPr>
        <w:fldChar w:fldCharType="end"/>
      </w:r>
      <w:r w:rsidRPr="00411CFF">
        <w:rPr>
          <w:b/>
          <w:color w:val="auto"/>
        </w:rPr>
        <w:t>:</w:t>
      </w:r>
      <w:r>
        <w:rPr>
          <w:b/>
          <w:color w:val="auto"/>
        </w:rPr>
        <w:t xml:space="preserve"> </w:t>
      </w:r>
      <w:r>
        <w:rPr>
          <w:color w:val="auto"/>
        </w:rPr>
        <w:t xml:space="preserve">Sagittal view of the bone-tendon interface of a murine Achilles tendon (30 weeks old lean) obtained through CE-CT. </w:t>
      </w:r>
      <w:r w:rsidR="00424325">
        <w:rPr>
          <w:color w:val="auto"/>
        </w:rPr>
        <w:t>The insets show the magnified image indicated by the white rectangle. The red lines indicate collagen fib</w:t>
      </w:r>
      <w:r w:rsidR="009872FB">
        <w:rPr>
          <w:color w:val="auto"/>
        </w:rPr>
        <w:t>er</w:t>
      </w:r>
      <w:r w:rsidR="00424325">
        <w:rPr>
          <w:color w:val="auto"/>
        </w:rPr>
        <w:t>s running from the tendon (T) through the mineralized fibrocartilage (MF) and ending at the bone (B).</w:t>
      </w:r>
    </w:p>
    <w:p w:rsidR="00216B4E" w:rsidRPr="00B258D6" w:rsidRDefault="00216B4E" w:rsidP="00216B4E">
      <w:pPr>
        <w:pStyle w:val="Heading"/>
        <w:rPr>
          <w:lang w:val="en-US"/>
        </w:rPr>
      </w:pPr>
      <w:r w:rsidRPr="00B258D6">
        <w:rPr>
          <w:lang w:val="en-US"/>
        </w:rPr>
        <w:t>References</w:t>
      </w:r>
    </w:p>
    <w:p w:rsidR="00216B4E" w:rsidRPr="001E0C73" w:rsidRDefault="00216B4E" w:rsidP="00216B4E">
      <w:pPr>
        <w:pStyle w:val="References"/>
        <w:numPr>
          <w:ilvl w:val="0"/>
          <w:numId w:val="0"/>
        </w:numPr>
        <w:tabs>
          <w:tab w:val="left" w:pos="540"/>
        </w:tabs>
      </w:pPr>
      <w:r w:rsidRPr="001E0C73">
        <w:t>[1]</w:t>
      </w:r>
      <w:r w:rsidR="00782BC7" w:rsidRPr="001E0C73">
        <w:t xml:space="preserve"> </w:t>
      </w:r>
      <w:r w:rsidR="001E0C73" w:rsidRPr="001E0C73">
        <w:t xml:space="preserve">Apostolakos, J. </w:t>
      </w:r>
      <w:r w:rsidR="001E0C73" w:rsidRPr="001E0C73">
        <w:rPr>
          <w:i/>
        </w:rPr>
        <w:t>et al.</w:t>
      </w:r>
      <w:r w:rsidR="001E0C73" w:rsidRPr="001E0C73">
        <w:t xml:space="preserve"> (2014). The </w:t>
      </w:r>
      <w:r w:rsidR="008268D4">
        <w:t>E</w:t>
      </w:r>
      <w:r w:rsidR="001E0C73" w:rsidRPr="001E0C73">
        <w:t xml:space="preserve">nthesis: </w:t>
      </w:r>
      <w:proofErr w:type="gramStart"/>
      <w:r w:rsidR="001E0C73" w:rsidRPr="001E0C73">
        <w:t>a</w:t>
      </w:r>
      <w:proofErr w:type="gramEnd"/>
      <w:r w:rsidR="001E0C73" w:rsidRPr="001E0C73">
        <w:t xml:space="preserve"> </w:t>
      </w:r>
      <w:r w:rsidR="008268D4">
        <w:t>R</w:t>
      </w:r>
      <w:r w:rsidR="001E0C73" w:rsidRPr="001E0C73">
        <w:t xml:space="preserve">eview of the </w:t>
      </w:r>
      <w:r w:rsidR="008268D4">
        <w:t>T</w:t>
      </w:r>
      <w:r w:rsidR="001E0C73" w:rsidRPr="001E0C73">
        <w:t>endon-to-</w:t>
      </w:r>
      <w:r w:rsidR="008268D4">
        <w:t>B</w:t>
      </w:r>
      <w:r w:rsidR="001E0C73" w:rsidRPr="001E0C73">
        <w:t xml:space="preserve">one </w:t>
      </w:r>
      <w:r w:rsidR="008268D4">
        <w:t>I</w:t>
      </w:r>
      <w:r w:rsidR="001E0C73" w:rsidRPr="001E0C73">
        <w:t>nsertion. Muscles, ligaments and tendons journal, 4(3), 333-42.</w:t>
      </w:r>
    </w:p>
    <w:p w:rsidR="001C0BE8" w:rsidRPr="001E0C73" w:rsidRDefault="00782BC7" w:rsidP="00B914F5">
      <w:pPr>
        <w:pStyle w:val="References"/>
        <w:numPr>
          <w:ilvl w:val="0"/>
          <w:numId w:val="0"/>
        </w:numPr>
        <w:tabs>
          <w:tab w:val="left" w:pos="540"/>
        </w:tabs>
      </w:pPr>
      <w:r w:rsidRPr="001E0C73">
        <w:t>[</w:t>
      </w:r>
      <w:r w:rsidR="0064278D" w:rsidRPr="001E0C73">
        <w:t>2</w:t>
      </w:r>
      <w:r w:rsidRPr="001E0C73">
        <w:t xml:space="preserve">] </w:t>
      </w:r>
      <w:r w:rsidR="001E0C73" w:rsidRPr="001E0C73">
        <w:t xml:space="preserve">Derwin, K. </w:t>
      </w:r>
      <w:r w:rsidR="001E0C73" w:rsidRPr="001E0C73">
        <w:rPr>
          <w:i/>
        </w:rPr>
        <w:t>et al.</w:t>
      </w:r>
      <w:r w:rsidR="001E0C73" w:rsidRPr="001E0C73">
        <w:t xml:space="preserve"> (2018) Enthesis Repair: Challenges and Opportunities for Effective Tendon-to-Bone Healing. The Journal of Bone and Joint Surgery, 100(16</w:t>
      </w:r>
      <w:proofErr w:type="gramStart"/>
      <w:r w:rsidR="001E0C73" w:rsidRPr="001E0C73">
        <w:t>):e</w:t>
      </w:r>
      <w:proofErr w:type="gramEnd"/>
      <w:r w:rsidR="001E0C73" w:rsidRPr="001E0C73">
        <w:t>109</w:t>
      </w:r>
    </w:p>
    <w:sectPr w:rsidR="001C0BE8" w:rsidRPr="001E0C73" w:rsidSect="00216B4E">
      <w:type w:val="continuous"/>
      <w:pgSz w:w="11907" w:h="16840" w:code="9"/>
      <w:pgMar w:top="1134" w:right="1134" w:bottom="1134" w:left="1134" w:header="709" w:footer="595" w:gutter="0"/>
      <w:cols w:num="2"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376A7" w:rsidRDefault="00E376A7">
      <w:r>
        <w:separator/>
      </w:r>
    </w:p>
  </w:endnote>
  <w:endnote w:type="continuationSeparator" w:id="0">
    <w:p w:rsidR="00E376A7" w:rsidRDefault="00E376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16B4E" w:rsidRPr="003606F3" w:rsidRDefault="00216B4E" w:rsidP="00216B4E">
    <w:pPr>
      <w:pStyle w:val="Voettekst"/>
      <w:tabs>
        <w:tab w:val="clear" w:pos="4680"/>
        <w:tab w:val="clear" w:pos="9360"/>
        <w:tab w:val="left" w:pos="851"/>
      </w:tabs>
    </w:pPr>
    <w:r w:rsidRPr="003606F3">
      <w:rPr>
        <w:noProof/>
        <w:lang w:eastAsia="en-GB"/>
      </w:rPr>
      <w:drawing>
        <wp:anchor distT="0" distB="0" distL="144145" distR="144145" simplePos="0" relativeHeight="251659264" behindDoc="0" locked="0" layoutInCell="0" allowOverlap="0" wp14:anchorId="754D2D6D" wp14:editId="2CD4A908">
          <wp:simplePos x="0" y="0"/>
          <wp:positionH relativeFrom="column">
            <wp:align>left</wp:align>
          </wp:positionH>
          <wp:positionV relativeFrom="bottomMargin">
            <wp:posOffset>71755</wp:posOffset>
          </wp:positionV>
          <wp:extent cx="550800" cy="511200"/>
          <wp:effectExtent l="0" t="0" r="1905" b="3175"/>
          <wp:wrapSquare wrapText="bothSides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50800" cy="511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ab/>
      <w:t>25</w:t>
    </w:r>
    <w:r w:rsidRPr="0074382D">
      <w:rPr>
        <w:vertAlign w:val="superscript"/>
      </w:rPr>
      <w:t>th</w:t>
    </w:r>
    <w:r>
      <w:t xml:space="preserve"> </w:t>
    </w:r>
    <w:r w:rsidRPr="00AB27F3">
      <w:t xml:space="preserve">Congress of the European </w:t>
    </w:r>
    <w:r>
      <w:t>Society of Biomechanics, July 7-10, 2019, Vienna, Austria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376A7" w:rsidRDefault="00E376A7">
      <w:r>
        <w:separator/>
      </w:r>
    </w:p>
  </w:footnote>
  <w:footnote w:type="continuationSeparator" w:id="0">
    <w:p w:rsidR="00E376A7" w:rsidRDefault="00E376A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24B10C6"/>
    <w:multiLevelType w:val="hybridMultilevel"/>
    <w:tmpl w:val="FD0AF42E"/>
    <w:lvl w:ilvl="0" w:tplc="277E907E">
      <w:start w:val="1"/>
      <w:numFmt w:val="decimal"/>
      <w:pStyle w:val="References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6B4E"/>
    <w:rsid w:val="0012631B"/>
    <w:rsid w:val="001A61FB"/>
    <w:rsid w:val="001C0BE8"/>
    <w:rsid w:val="001D28BA"/>
    <w:rsid w:val="001E0C73"/>
    <w:rsid w:val="001E7324"/>
    <w:rsid w:val="00216B4E"/>
    <w:rsid w:val="003924A8"/>
    <w:rsid w:val="003E4D67"/>
    <w:rsid w:val="00411CFF"/>
    <w:rsid w:val="00424325"/>
    <w:rsid w:val="005C6F8E"/>
    <w:rsid w:val="0064278D"/>
    <w:rsid w:val="006C098C"/>
    <w:rsid w:val="006C4152"/>
    <w:rsid w:val="006E73BF"/>
    <w:rsid w:val="006E78F2"/>
    <w:rsid w:val="00734CA8"/>
    <w:rsid w:val="00755B1B"/>
    <w:rsid w:val="00782BC7"/>
    <w:rsid w:val="008268D4"/>
    <w:rsid w:val="00850B83"/>
    <w:rsid w:val="008F671B"/>
    <w:rsid w:val="009872FB"/>
    <w:rsid w:val="00A30CF4"/>
    <w:rsid w:val="00A6421B"/>
    <w:rsid w:val="00A77DD1"/>
    <w:rsid w:val="00A9679F"/>
    <w:rsid w:val="00A974D1"/>
    <w:rsid w:val="00B258D6"/>
    <w:rsid w:val="00B914F5"/>
    <w:rsid w:val="00E27B20"/>
    <w:rsid w:val="00E376A7"/>
    <w:rsid w:val="00F02137"/>
    <w:rsid w:val="00FB60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654A66"/>
  <w15:chartTrackingRefBased/>
  <w15:docId w15:val="{FA50BED0-FE42-4959-AC74-CF5201D661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ard">
    <w:name w:val="Normal"/>
    <w:qFormat/>
    <w:rsid w:val="00216B4E"/>
    <w:pPr>
      <w:spacing w:after="0" w:line="240" w:lineRule="auto"/>
      <w:jc w:val="both"/>
    </w:pPr>
    <w:rPr>
      <w:rFonts w:ascii="Times New Roman" w:eastAsia="Times New Roman" w:hAnsi="Times New Roman" w:cs="Times New Roman"/>
      <w:sz w:val="20"/>
      <w:szCs w:val="24"/>
      <w:lang w:val="en-GB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216B4E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216B4E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Titel">
    <w:name w:val="Title"/>
    <w:basedOn w:val="Standaard"/>
    <w:link w:val="TitelChar"/>
    <w:qFormat/>
    <w:rsid w:val="00216B4E"/>
    <w:pPr>
      <w:spacing w:before="100" w:beforeAutospacing="1" w:after="100" w:afterAutospacing="1"/>
      <w:jc w:val="center"/>
      <w:outlineLvl w:val="0"/>
    </w:pPr>
    <w:rPr>
      <w:rFonts w:ascii="Arial" w:hAnsi="Arial" w:cs="Arial"/>
      <w:b/>
      <w:bCs/>
      <w:caps/>
      <w:kern w:val="28"/>
      <w:sz w:val="28"/>
      <w:szCs w:val="32"/>
    </w:rPr>
  </w:style>
  <w:style w:type="character" w:customStyle="1" w:styleId="TitelChar">
    <w:name w:val="Titel Char"/>
    <w:basedOn w:val="Standaardalinea-lettertype"/>
    <w:link w:val="Titel"/>
    <w:rsid w:val="00216B4E"/>
    <w:rPr>
      <w:rFonts w:ascii="Arial" w:eastAsia="Times New Roman" w:hAnsi="Arial" w:cs="Arial"/>
      <w:b/>
      <w:bCs/>
      <w:caps/>
      <w:kern w:val="28"/>
      <w:sz w:val="28"/>
      <w:szCs w:val="32"/>
      <w:lang w:val="en-GB"/>
    </w:rPr>
  </w:style>
  <w:style w:type="paragraph" w:customStyle="1" w:styleId="Authors">
    <w:name w:val="Authors"/>
    <w:basedOn w:val="Kop3"/>
    <w:qFormat/>
    <w:rsid w:val="00216B4E"/>
    <w:pPr>
      <w:keepLines w:val="0"/>
      <w:spacing w:before="0"/>
      <w:jc w:val="center"/>
    </w:pPr>
    <w:rPr>
      <w:rFonts w:ascii="Arial" w:eastAsia="Times New Roman" w:hAnsi="Arial" w:cs="Arial"/>
      <w:b/>
      <w:bCs/>
      <w:noProof/>
      <w:color w:val="auto"/>
      <w:sz w:val="20"/>
      <w:szCs w:val="20"/>
      <w:lang w:val="en-US"/>
    </w:rPr>
  </w:style>
  <w:style w:type="paragraph" w:customStyle="1" w:styleId="References">
    <w:name w:val="References"/>
    <w:basedOn w:val="Standaard"/>
    <w:qFormat/>
    <w:rsid w:val="00216B4E"/>
    <w:pPr>
      <w:numPr>
        <w:numId w:val="1"/>
      </w:numPr>
      <w:ind w:left="227" w:hanging="227"/>
    </w:pPr>
    <w:rPr>
      <w:sz w:val="18"/>
      <w:szCs w:val="18"/>
      <w:lang w:val="en-US"/>
    </w:rPr>
  </w:style>
  <w:style w:type="paragraph" w:customStyle="1" w:styleId="Affiliation">
    <w:name w:val="Affiliation"/>
    <w:basedOn w:val="Kop2"/>
    <w:qFormat/>
    <w:rsid w:val="00216B4E"/>
    <w:pPr>
      <w:keepLines w:val="0"/>
      <w:spacing w:before="0" w:after="60"/>
      <w:jc w:val="center"/>
    </w:pPr>
    <w:rPr>
      <w:rFonts w:ascii="Arial" w:eastAsia="Times New Roman" w:hAnsi="Arial" w:cs="Arial"/>
      <w:bCs/>
      <w:i/>
      <w:iCs/>
      <w:color w:val="auto"/>
      <w:sz w:val="20"/>
      <w:szCs w:val="20"/>
    </w:rPr>
  </w:style>
  <w:style w:type="paragraph" w:customStyle="1" w:styleId="Heading">
    <w:name w:val="Heading"/>
    <w:basedOn w:val="Kop2"/>
    <w:qFormat/>
    <w:rsid w:val="00216B4E"/>
    <w:pPr>
      <w:keepLines w:val="0"/>
      <w:spacing w:before="0" w:after="60"/>
    </w:pPr>
    <w:rPr>
      <w:rFonts w:ascii="Arial" w:eastAsia="Times New Roman" w:hAnsi="Arial" w:cs="Arial"/>
      <w:b/>
      <w:bCs/>
      <w:iCs/>
      <w:color w:val="auto"/>
      <w:sz w:val="24"/>
      <w:szCs w:val="28"/>
    </w:rPr>
  </w:style>
  <w:style w:type="paragraph" w:customStyle="1" w:styleId="Captions">
    <w:name w:val="Captions"/>
    <w:basedOn w:val="Standaard"/>
    <w:qFormat/>
    <w:rsid w:val="00216B4E"/>
    <w:rPr>
      <w:i/>
    </w:rPr>
  </w:style>
  <w:style w:type="paragraph" w:styleId="Voettekst">
    <w:name w:val="footer"/>
    <w:basedOn w:val="Standaard"/>
    <w:link w:val="VoettekstChar"/>
    <w:rsid w:val="00216B4E"/>
    <w:pPr>
      <w:tabs>
        <w:tab w:val="center" w:pos="4680"/>
        <w:tab w:val="right" w:pos="9360"/>
      </w:tabs>
    </w:pPr>
  </w:style>
  <w:style w:type="character" w:customStyle="1" w:styleId="VoettekstChar">
    <w:name w:val="Voettekst Char"/>
    <w:basedOn w:val="Standaardalinea-lettertype"/>
    <w:link w:val="Voettekst"/>
    <w:rsid w:val="00216B4E"/>
    <w:rPr>
      <w:rFonts w:ascii="Times New Roman" w:eastAsia="Times New Roman" w:hAnsi="Times New Roman" w:cs="Times New Roman"/>
      <w:sz w:val="20"/>
      <w:szCs w:val="24"/>
      <w:lang w:val="en-GB"/>
    </w:rPr>
  </w:style>
  <w:style w:type="character" w:customStyle="1" w:styleId="Kop3Char">
    <w:name w:val="Kop 3 Char"/>
    <w:basedOn w:val="Standaardalinea-lettertype"/>
    <w:link w:val="Kop3"/>
    <w:uiPriority w:val="9"/>
    <w:semiHidden/>
    <w:rsid w:val="00216B4E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val="en-GB"/>
    </w:rPr>
  </w:style>
  <w:style w:type="character" w:customStyle="1" w:styleId="Kop2Char">
    <w:name w:val="Kop 2 Char"/>
    <w:basedOn w:val="Standaardalinea-lettertype"/>
    <w:link w:val="Kop2"/>
    <w:uiPriority w:val="9"/>
    <w:semiHidden/>
    <w:rsid w:val="00216B4E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val="en-GB"/>
    </w:rPr>
  </w:style>
  <w:style w:type="paragraph" w:styleId="Bijschrift">
    <w:name w:val="caption"/>
    <w:basedOn w:val="Standaard"/>
    <w:next w:val="Standaard"/>
    <w:uiPriority w:val="35"/>
    <w:unhideWhenUsed/>
    <w:qFormat/>
    <w:rsid w:val="00411CFF"/>
    <w:pPr>
      <w:spacing w:after="200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IEEE2006OfficeOnline.xsl" StyleName="IEEE" Version="2006"/>
</file>

<file path=customXml/itemProps1.xml><?xml version="1.0" encoding="utf-8"?>
<ds:datastoreItem xmlns:ds="http://schemas.openxmlformats.org/officeDocument/2006/customXml" ds:itemID="{3DBEC4DC-513B-4A5F-A89C-09DED8DF98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664</Words>
  <Characters>3653</Characters>
  <Application>Microsoft Office Word</Application>
  <DocSecurity>0</DocSecurity>
  <Lines>30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Arne Maes</dc:creator>
  <cp:keywords/>
  <dc:description/>
  <cp:lastModifiedBy>Arne Maes</cp:lastModifiedBy>
  <cp:revision>13</cp:revision>
  <cp:lastPrinted>2019-01-31T15:45:00Z</cp:lastPrinted>
  <dcterms:created xsi:type="dcterms:W3CDTF">2019-01-31T11:34:00Z</dcterms:created>
  <dcterms:modified xsi:type="dcterms:W3CDTF">2019-01-31T17:35:00Z</dcterms:modified>
</cp:coreProperties>
</file>