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14B4C" w14:textId="36E55EDE" w:rsidR="00C80AA7" w:rsidRDefault="00C80AA7" w:rsidP="00C80AA7">
      <w:pPr>
        <w:jc w:val="center"/>
        <w:rPr>
          <w:rFonts w:ascii="Times New Roman" w:hAnsi="Times New Roman" w:cs="Times New Roman"/>
          <w:sz w:val="32"/>
          <w:szCs w:val="32"/>
          <w:lang w:val="en-US"/>
        </w:rPr>
      </w:pPr>
      <w:r w:rsidRPr="00030AF5">
        <w:rPr>
          <w:rFonts w:ascii="Times New Roman" w:hAnsi="Times New Roman" w:cs="Times New Roman"/>
          <w:sz w:val="32"/>
          <w:szCs w:val="32"/>
          <w:lang w:val="en-US"/>
        </w:rPr>
        <w:t>The relational conditions of democratic education through dialogue</w:t>
      </w:r>
    </w:p>
    <w:p w14:paraId="61A3F131" w14:textId="20A49653" w:rsidR="00030AF5" w:rsidRPr="00030AF5" w:rsidRDefault="00030AF5" w:rsidP="00C80AA7">
      <w:pPr>
        <w:jc w:val="center"/>
        <w:rPr>
          <w:sz w:val="24"/>
          <w:szCs w:val="24"/>
          <w:lang w:val="en-US"/>
        </w:rPr>
      </w:pPr>
      <w:r w:rsidRPr="00030AF5">
        <w:rPr>
          <w:rFonts w:ascii="Times New Roman" w:hAnsi="Times New Roman" w:cs="Times New Roman"/>
          <w:sz w:val="24"/>
          <w:szCs w:val="24"/>
          <w:lang w:val="en-US"/>
        </w:rPr>
        <w:t xml:space="preserve">Nicolas Cuneen </w:t>
      </w:r>
    </w:p>
    <w:p w14:paraId="33C100D5" w14:textId="77777777" w:rsidR="00DB49AA" w:rsidRDefault="00DB49AA" w:rsidP="000A1711">
      <w:pPr>
        <w:jc w:val="both"/>
        <w:rPr>
          <w:lang w:val="en-US"/>
        </w:rPr>
      </w:pPr>
    </w:p>
    <w:p w14:paraId="19CAF521" w14:textId="77777777" w:rsidR="00DB49AA" w:rsidRPr="00D45C33" w:rsidRDefault="00DB49AA" w:rsidP="00DB49AA">
      <w:pPr>
        <w:jc w:val="both"/>
        <w:rPr>
          <w:sz w:val="20"/>
          <w:szCs w:val="20"/>
          <w:lang w:val="en-US"/>
        </w:rPr>
      </w:pPr>
      <w:r w:rsidRPr="00DB49AA">
        <w:rPr>
          <w:b/>
          <w:bCs/>
          <w:sz w:val="20"/>
          <w:szCs w:val="20"/>
          <w:lang w:val="en-US"/>
        </w:rPr>
        <w:t>Abstract</w:t>
      </w:r>
      <w:r w:rsidRPr="00DB49AA">
        <w:rPr>
          <w:sz w:val="20"/>
          <w:szCs w:val="20"/>
          <w:lang w:val="en-US"/>
        </w:rPr>
        <w:t xml:space="preserve">: </w:t>
      </w:r>
      <w:r w:rsidRPr="00D45C33">
        <w:rPr>
          <w:sz w:val="20"/>
          <w:szCs w:val="20"/>
          <w:lang w:val="en-US"/>
        </w:rPr>
        <w:t xml:space="preserve">In democratic education, dialogue is often treated as a technique for </w:t>
      </w:r>
      <w:r w:rsidRPr="00DB49AA">
        <w:rPr>
          <w:sz w:val="20"/>
          <w:szCs w:val="20"/>
          <w:lang w:val="en-US"/>
        </w:rPr>
        <w:t>cultivating</w:t>
      </w:r>
      <w:r w:rsidRPr="00D45C33">
        <w:rPr>
          <w:sz w:val="20"/>
          <w:szCs w:val="20"/>
          <w:lang w:val="en-US"/>
        </w:rPr>
        <w:t xml:space="preserve"> deliberative skills</w:t>
      </w:r>
      <w:r w:rsidRPr="00DB49AA">
        <w:rPr>
          <w:sz w:val="20"/>
          <w:szCs w:val="20"/>
          <w:lang w:val="en-US"/>
        </w:rPr>
        <w:t xml:space="preserve"> and habits</w:t>
      </w:r>
      <w:r w:rsidRPr="00D45C33">
        <w:rPr>
          <w:sz w:val="20"/>
          <w:szCs w:val="20"/>
          <w:lang w:val="en-US"/>
        </w:rPr>
        <w:t xml:space="preserve">. This paper argues that such a framing </w:t>
      </w:r>
      <w:r w:rsidRPr="00DB49AA">
        <w:rPr>
          <w:sz w:val="20"/>
          <w:szCs w:val="20"/>
          <w:lang w:val="en-US"/>
        </w:rPr>
        <w:t xml:space="preserve">overlooks </w:t>
      </w:r>
      <w:r w:rsidRPr="00D45C33">
        <w:rPr>
          <w:sz w:val="20"/>
          <w:szCs w:val="20"/>
          <w:lang w:val="en-US"/>
        </w:rPr>
        <w:t xml:space="preserve">a crucial layer: the relational conditions that allow dialogue to do its deeper work. </w:t>
      </w:r>
      <w:r w:rsidRPr="00DB49AA">
        <w:rPr>
          <w:sz w:val="20"/>
          <w:szCs w:val="20"/>
          <w:lang w:val="en-US"/>
        </w:rPr>
        <w:t>By outlining the barriers that hinder dialogue from fulfilling its democratic promise</w:t>
      </w:r>
      <w:r w:rsidRPr="00D45C33">
        <w:rPr>
          <w:sz w:val="20"/>
          <w:szCs w:val="20"/>
          <w:lang w:val="en-US"/>
        </w:rPr>
        <w:t xml:space="preserve">, I show that meaningful dialogical transformation depends not just on protocols or content, but on the affective and normative climate in which encounters unfold. I </w:t>
      </w:r>
      <w:r w:rsidRPr="00DB49AA">
        <w:rPr>
          <w:sz w:val="20"/>
          <w:szCs w:val="20"/>
          <w:lang w:val="en-US"/>
        </w:rPr>
        <w:t>propose</w:t>
      </w:r>
      <w:r w:rsidRPr="00D45C33">
        <w:rPr>
          <w:sz w:val="20"/>
          <w:szCs w:val="20"/>
          <w:lang w:val="en-US"/>
        </w:rPr>
        <w:t xml:space="preserve"> a triadic account of </w:t>
      </w:r>
      <w:r w:rsidRPr="00D45C33">
        <w:rPr>
          <w:i/>
          <w:iCs/>
          <w:sz w:val="20"/>
          <w:szCs w:val="20"/>
          <w:lang w:val="en-US"/>
        </w:rPr>
        <w:t>relational qualities</w:t>
      </w:r>
      <w:r w:rsidRPr="00D45C33">
        <w:rPr>
          <w:sz w:val="20"/>
          <w:szCs w:val="20"/>
          <w:lang w:val="en-US"/>
        </w:rPr>
        <w:t xml:space="preserve"> that enable dialogue to reach its democratic potential: affection, authority, and attentiveness. These qualities help students remain open to otherness, navigate conflict without collapse</w:t>
      </w:r>
      <w:r w:rsidRPr="00DB49AA">
        <w:rPr>
          <w:sz w:val="20"/>
          <w:szCs w:val="20"/>
          <w:lang w:val="en-US"/>
        </w:rPr>
        <w:t xml:space="preserve"> into antagonism</w:t>
      </w:r>
      <w:r w:rsidRPr="00D45C33">
        <w:rPr>
          <w:sz w:val="20"/>
          <w:szCs w:val="20"/>
          <w:lang w:val="en-US"/>
        </w:rPr>
        <w:t xml:space="preserve">, and treat perspectives as transformable rather than fixed. Yet such qualities cannot be legislated </w:t>
      </w:r>
      <w:r w:rsidRPr="00DB49AA">
        <w:rPr>
          <w:sz w:val="20"/>
          <w:szCs w:val="20"/>
          <w:lang w:val="en-US"/>
        </w:rPr>
        <w:t xml:space="preserve">or measured </w:t>
      </w:r>
      <w:r w:rsidRPr="00D45C33">
        <w:rPr>
          <w:sz w:val="20"/>
          <w:szCs w:val="20"/>
          <w:lang w:val="en-US"/>
        </w:rPr>
        <w:t>into existence; they must be cultivated through pedagogical relationships and sustained through institutional affordances. The paper ends by arguing that relational conditions are not a soft supplement to democratic dialogue but its very infrastructure — the invisible architecture that allows difference to matter.</w:t>
      </w:r>
    </w:p>
    <w:p w14:paraId="3DF1F498" w14:textId="1A2ABC6C" w:rsidR="00DB49AA" w:rsidRDefault="00DB49AA" w:rsidP="000A1711">
      <w:pPr>
        <w:jc w:val="both"/>
        <w:rPr>
          <w:lang w:val="en-US"/>
        </w:rPr>
      </w:pPr>
    </w:p>
    <w:p w14:paraId="491B60E1" w14:textId="0E49BD5B" w:rsidR="00B8594A" w:rsidRDefault="000A1711" w:rsidP="000A1711">
      <w:pPr>
        <w:jc w:val="both"/>
        <w:rPr>
          <w:lang w:val="en-US"/>
        </w:rPr>
      </w:pPr>
      <w:r>
        <w:rPr>
          <w:lang w:val="en-US"/>
        </w:rPr>
        <w:t xml:space="preserve">Just as dialogue is central to democratic practices, it plays a key role in democratic education. As Dewey </w:t>
      </w:r>
      <w:r w:rsidR="00A00D27">
        <w:rPr>
          <w:lang w:val="en-US"/>
        </w:rPr>
        <w:t>(191</w:t>
      </w:r>
      <w:r w:rsidR="001641AB">
        <w:rPr>
          <w:lang w:val="en-US"/>
        </w:rPr>
        <w:t>6</w:t>
      </w:r>
      <w:r w:rsidR="00A00D27">
        <w:rPr>
          <w:lang w:val="en-US"/>
        </w:rPr>
        <w:t xml:space="preserve">) </w:t>
      </w:r>
      <w:r>
        <w:rPr>
          <w:lang w:val="en-US"/>
        </w:rPr>
        <w:t>argued more than a century ago</w:t>
      </w:r>
      <w:r w:rsidR="003D1C3F">
        <w:rPr>
          <w:lang w:val="en-US"/>
        </w:rPr>
        <w:t xml:space="preserve">, </w:t>
      </w:r>
      <w:r>
        <w:rPr>
          <w:lang w:val="en-US"/>
        </w:rPr>
        <w:t xml:space="preserve">democracy requires that we continually renew our ways of living through contact with novelty that challenges our thoughts. </w:t>
      </w:r>
      <w:r w:rsidR="00527428">
        <w:rPr>
          <w:lang w:val="en-US"/>
        </w:rPr>
        <w:t>One of the primary</w:t>
      </w:r>
      <w:r w:rsidR="0075036E">
        <w:rPr>
          <w:lang w:val="en-US"/>
        </w:rPr>
        <w:t xml:space="preserve"> way</w:t>
      </w:r>
      <w:r w:rsidR="00527428">
        <w:rPr>
          <w:lang w:val="en-US"/>
        </w:rPr>
        <w:t>s</w:t>
      </w:r>
      <w:r w:rsidR="0075036E">
        <w:rPr>
          <w:lang w:val="en-US"/>
        </w:rPr>
        <w:t xml:space="preserve"> that we do this is through dialogue. </w:t>
      </w:r>
      <w:r>
        <w:rPr>
          <w:lang w:val="en-US"/>
        </w:rPr>
        <w:t>Dialogue stands out from other forms of ‘talk’ in that it is exploratory and cooperative, providing “</w:t>
      </w:r>
      <w:r w:rsidRPr="00861658">
        <w:rPr>
          <w:lang w:val="en-US"/>
        </w:rPr>
        <w:t>space to agree/disagree, challenge, question, appeal to reason and allowing possible self</w:t>
      </w:r>
      <w:r>
        <w:rPr>
          <w:lang w:val="en-US"/>
        </w:rPr>
        <w:t>-</w:t>
      </w:r>
      <w:r w:rsidRPr="00861658">
        <w:rPr>
          <w:lang w:val="en-US"/>
        </w:rPr>
        <w:t>correction</w:t>
      </w:r>
      <w:r>
        <w:rPr>
          <w:lang w:val="en-US"/>
        </w:rPr>
        <w:t>” (Fisher, 2007</w:t>
      </w:r>
      <w:r w:rsidR="00A541E3">
        <w:rPr>
          <w:lang w:val="en-US"/>
        </w:rPr>
        <w:t xml:space="preserve">, p. </w:t>
      </w:r>
      <w:r>
        <w:rPr>
          <w:lang w:val="en-US"/>
        </w:rPr>
        <w:t xml:space="preserve">618). </w:t>
      </w:r>
      <w:r w:rsidRPr="002A1E24">
        <w:rPr>
          <w:lang w:val="en-US"/>
        </w:rPr>
        <w:t>Unlike conversation,</w:t>
      </w:r>
      <w:r w:rsidR="00071DE2">
        <w:rPr>
          <w:lang w:val="en-US"/>
        </w:rPr>
        <w:t xml:space="preserve"> which </w:t>
      </w:r>
      <w:r w:rsidR="00867941">
        <w:rPr>
          <w:lang w:val="en-US"/>
        </w:rPr>
        <w:t>seeks stability,</w:t>
      </w:r>
      <w:r w:rsidRPr="002A1E24">
        <w:rPr>
          <w:lang w:val="en-US"/>
        </w:rPr>
        <w:t xml:space="preserve"> dialogue enforces a </w:t>
      </w:r>
      <w:r>
        <w:rPr>
          <w:lang w:val="en-US"/>
        </w:rPr>
        <w:t>p</w:t>
      </w:r>
      <w:r w:rsidRPr="002A1E24">
        <w:rPr>
          <w:lang w:val="en-US"/>
        </w:rPr>
        <w:t xml:space="preserve">roductive </w:t>
      </w:r>
      <w:r w:rsidR="00143B2E">
        <w:rPr>
          <w:lang w:val="en-US"/>
        </w:rPr>
        <w:t>“</w:t>
      </w:r>
      <w:r w:rsidRPr="002A1E24">
        <w:rPr>
          <w:lang w:val="en-US"/>
        </w:rPr>
        <w:t xml:space="preserve">disequilibrium </w:t>
      </w:r>
      <w:r w:rsidR="00143B2E">
        <w:rPr>
          <w:lang w:val="en-US"/>
        </w:rPr>
        <w:t xml:space="preserve">… </w:t>
      </w:r>
      <w:r w:rsidRPr="002A1E24">
        <w:rPr>
          <w:lang w:val="en-US"/>
        </w:rPr>
        <w:t>to compel forward movement</w:t>
      </w:r>
      <w:r w:rsidR="001E6966">
        <w:rPr>
          <w:lang w:val="en-US"/>
        </w:rPr>
        <w:t>”</w:t>
      </w:r>
      <w:r w:rsidR="00A76A54">
        <w:rPr>
          <w:lang w:val="en-US"/>
        </w:rPr>
        <w:t xml:space="preserve"> (</w:t>
      </w:r>
      <w:r w:rsidR="001E6966">
        <w:rPr>
          <w:lang w:val="en-US"/>
        </w:rPr>
        <w:t>Lipman, 2003</w:t>
      </w:r>
      <w:r w:rsidR="00A541E3">
        <w:rPr>
          <w:lang w:val="en-US"/>
        </w:rPr>
        <w:t>, p.</w:t>
      </w:r>
      <w:r w:rsidR="001E6966">
        <w:rPr>
          <w:lang w:val="en-US"/>
        </w:rPr>
        <w:t xml:space="preserve"> </w:t>
      </w:r>
      <w:r w:rsidR="009515B3">
        <w:rPr>
          <w:lang w:val="en-US"/>
        </w:rPr>
        <w:t>87)</w:t>
      </w:r>
      <w:r w:rsidR="00674683">
        <w:rPr>
          <w:lang w:val="en-US"/>
        </w:rPr>
        <w:t xml:space="preserve">, </w:t>
      </w:r>
      <w:r w:rsidR="00C216B3">
        <w:rPr>
          <w:lang w:val="en-US"/>
        </w:rPr>
        <w:t xml:space="preserve">encouraging contact with </w:t>
      </w:r>
      <w:r w:rsidR="00C8265C" w:rsidRPr="0047385E">
        <w:rPr>
          <w:lang w:val="en-US"/>
        </w:rPr>
        <w:t>other viewpoints</w:t>
      </w:r>
      <w:r w:rsidR="00C8265C">
        <w:rPr>
          <w:lang w:val="en-US"/>
        </w:rPr>
        <w:t xml:space="preserve"> that </w:t>
      </w:r>
      <w:r w:rsidR="00282992" w:rsidRPr="00282992">
        <w:rPr>
          <w:lang w:val="en-US"/>
        </w:rPr>
        <w:t xml:space="preserve">can productively </w:t>
      </w:r>
      <w:r w:rsidR="00BF37E3" w:rsidRPr="0047385E">
        <w:rPr>
          <w:lang w:val="en-US"/>
        </w:rPr>
        <w:t>destabilize rigid epistemic postures</w:t>
      </w:r>
      <w:r w:rsidR="00BF37E3">
        <w:rPr>
          <w:lang w:val="en-US"/>
        </w:rPr>
        <w:t>.</w:t>
      </w:r>
    </w:p>
    <w:p w14:paraId="77E47C4F" w14:textId="43C6D747" w:rsidR="007407FD" w:rsidRDefault="007407FD" w:rsidP="000A1711">
      <w:pPr>
        <w:jc w:val="both"/>
        <w:rPr>
          <w:lang w:val="en-US"/>
        </w:rPr>
      </w:pPr>
      <w:r>
        <w:rPr>
          <w:lang w:val="en-US"/>
        </w:rPr>
        <w:t>I</w:t>
      </w:r>
      <w:r w:rsidR="005E39DF">
        <w:rPr>
          <w:lang w:val="en-US"/>
        </w:rPr>
        <w:t xml:space="preserve">nsofar as it </w:t>
      </w:r>
      <w:r w:rsidR="00C94D27">
        <w:rPr>
          <w:lang w:val="en-US"/>
        </w:rPr>
        <w:t>enables</w:t>
      </w:r>
      <w:r w:rsidR="005E39DF">
        <w:rPr>
          <w:lang w:val="en-US"/>
        </w:rPr>
        <w:t xml:space="preserve"> contact with otherness</w:t>
      </w:r>
      <w:r w:rsidR="00C94D27">
        <w:rPr>
          <w:lang w:val="en-US"/>
        </w:rPr>
        <w:t xml:space="preserve">, </w:t>
      </w:r>
      <w:r w:rsidR="00891880">
        <w:rPr>
          <w:lang w:val="en-US"/>
        </w:rPr>
        <w:t>dialogue</w:t>
      </w:r>
      <w:r w:rsidR="001B7D6A">
        <w:rPr>
          <w:lang w:val="en-US"/>
        </w:rPr>
        <w:t xml:space="preserve"> contributes</w:t>
      </w:r>
      <w:r w:rsidR="00891880">
        <w:rPr>
          <w:lang w:val="en-US"/>
        </w:rPr>
        <w:t xml:space="preserve"> </w:t>
      </w:r>
      <w:r w:rsidR="00343C33">
        <w:rPr>
          <w:lang w:val="en-US"/>
        </w:rPr>
        <w:t xml:space="preserve">holistically </w:t>
      </w:r>
      <w:r w:rsidR="001B7D6A">
        <w:rPr>
          <w:lang w:val="en-US"/>
        </w:rPr>
        <w:t xml:space="preserve">to </w:t>
      </w:r>
      <w:r w:rsidR="00510C2F">
        <w:rPr>
          <w:lang w:val="en-US"/>
        </w:rPr>
        <w:t>the formation of democratic citizenry</w:t>
      </w:r>
      <w:r w:rsidR="00164978">
        <w:rPr>
          <w:lang w:val="en-US"/>
        </w:rPr>
        <w:t xml:space="preserve">. </w:t>
      </w:r>
      <w:r w:rsidR="00C6352F" w:rsidRPr="00857457">
        <w:rPr>
          <w:lang w:val="en-US"/>
        </w:rPr>
        <w:t>Westheimer and Kahne</w:t>
      </w:r>
      <w:r w:rsidR="00C6352F">
        <w:rPr>
          <w:lang w:val="en-US"/>
        </w:rPr>
        <w:t xml:space="preserve"> (2004) define the democratic citizen </w:t>
      </w:r>
      <w:r w:rsidR="00975F74">
        <w:rPr>
          <w:lang w:val="en-US"/>
        </w:rPr>
        <w:t xml:space="preserve">as </w:t>
      </w:r>
      <w:r w:rsidR="00975F74" w:rsidRPr="00DE7ADD">
        <w:rPr>
          <w:i/>
          <w:iCs/>
          <w:lang w:val="en-US"/>
        </w:rPr>
        <w:t>responsible</w:t>
      </w:r>
      <w:r w:rsidR="00975F74">
        <w:rPr>
          <w:lang w:val="en-US"/>
        </w:rPr>
        <w:t xml:space="preserve">, </w:t>
      </w:r>
      <w:r w:rsidR="00975F74" w:rsidRPr="00DE7ADD">
        <w:rPr>
          <w:i/>
          <w:iCs/>
          <w:lang w:val="en-US"/>
        </w:rPr>
        <w:t>participatory</w:t>
      </w:r>
      <w:r w:rsidR="00975F74">
        <w:rPr>
          <w:lang w:val="en-US"/>
        </w:rPr>
        <w:t xml:space="preserve"> and </w:t>
      </w:r>
      <w:r w:rsidR="00975F74" w:rsidRPr="00DE7ADD">
        <w:rPr>
          <w:i/>
          <w:iCs/>
          <w:lang w:val="en-US"/>
        </w:rPr>
        <w:t>justice-oriented</w:t>
      </w:r>
      <w:r w:rsidR="000D71ED">
        <w:rPr>
          <w:lang w:val="en-US"/>
        </w:rPr>
        <w:t xml:space="preserve">: </w:t>
      </w:r>
      <w:r w:rsidR="00BB07C5" w:rsidRPr="00BB07C5">
        <w:rPr>
          <w:lang w:val="en-US"/>
        </w:rPr>
        <w:t>responsibility entails recognizing others’ needs and the effects of our actions on them</w:t>
      </w:r>
      <w:r w:rsidR="00060EFA">
        <w:rPr>
          <w:lang w:val="en-US"/>
        </w:rPr>
        <w:t xml:space="preserve">; </w:t>
      </w:r>
      <w:r w:rsidR="000A4DDA" w:rsidRPr="000A4DDA">
        <w:rPr>
          <w:lang w:val="en-US"/>
        </w:rPr>
        <w:t>participation calls for collective problem-solving within community structures; and a justice orientation demands awareness of how institutional norms</w:t>
      </w:r>
      <w:r w:rsidR="000A4DDA">
        <w:rPr>
          <w:lang w:val="en-US"/>
        </w:rPr>
        <w:t xml:space="preserve"> </w:t>
      </w:r>
      <w:r w:rsidR="00E022E1">
        <w:rPr>
          <w:lang w:val="en-US"/>
        </w:rPr>
        <w:t xml:space="preserve">and cultural habits may </w:t>
      </w:r>
      <w:r w:rsidR="00C05A10">
        <w:rPr>
          <w:lang w:val="en-US"/>
        </w:rPr>
        <w:t>sustain</w:t>
      </w:r>
      <w:r w:rsidR="00E022E1">
        <w:rPr>
          <w:lang w:val="en-US"/>
        </w:rPr>
        <w:t xml:space="preserve"> systemic injustice</w:t>
      </w:r>
      <w:r w:rsidR="00C05A10" w:rsidRPr="00C05A10">
        <w:rPr>
          <w:lang w:val="en-US"/>
        </w:rPr>
        <w:t>, particularly toward groups outside our own</w:t>
      </w:r>
      <w:r w:rsidR="00E022E1">
        <w:rPr>
          <w:lang w:val="en-US"/>
        </w:rPr>
        <w:t xml:space="preserve">. </w:t>
      </w:r>
      <w:r w:rsidR="00E25A00">
        <w:rPr>
          <w:lang w:val="en-US"/>
        </w:rPr>
        <w:t>The cultivation of a</w:t>
      </w:r>
      <w:r w:rsidR="00E022E1">
        <w:rPr>
          <w:lang w:val="en-US"/>
        </w:rPr>
        <w:t xml:space="preserve">ll </w:t>
      </w:r>
      <w:r w:rsidR="00E25A00">
        <w:rPr>
          <w:lang w:val="en-US"/>
        </w:rPr>
        <w:t>three</w:t>
      </w:r>
      <w:r w:rsidR="003736C7">
        <w:rPr>
          <w:lang w:val="en-US"/>
        </w:rPr>
        <w:t xml:space="preserve"> </w:t>
      </w:r>
      <w:r w:rsidR="003500D4">
        <w:rPr>
          <w:lang w:val="en-US"/>
        </w:rPr>
        <w:t xml:space="preserve">characteristics </w:t>
      </w:r>
      <w:r w:rsidR="00AA195A">
        <w:rPr>
          <w:lang w:val="en-US"/>
        </w:rPr>
        <w:t>requires us to</w:t>
      </w:r>
      <w:r w:rsidR="002C562D">
        <w:rPr>
          <w:lang w:val="en-US"/>
        </w:rPr>
        <w:t xml:space="preserve"> </w:t>
      </w:r>
      <w:r w:rsidR="003736C7">
        <w:rPr>
          <w:lang w:val="en-US"/>
        </w:rPr>
        <w:t xml:space="preserve">communicate with others in </w:t>
      </w:r>
      <w:r w:rsidR="006A0364">
        <w:rPr>
          <w:lang w:val="en-US"/>
        </w:rPr>
        <w:t>ways that regularly shake up our current perspectives.</w:t>
      </w:r>
      <w:r w:rsidR="001F79E5">
        <w:rPr>
          <w:lang w:val="en-US"/>
        </w:rPr>
        <w:t xml:space="preserve"> By embedding dialogical </w:t>
      </w:r>
      <w:r w:rsidR="008D0C67">
        <w:rPr>
          <w:lang w:val="en-US"/>
        </w:rPr>
        <w:t>activities</w:t>
      </w:r>
      <w:r w:rsidR="001F79E5">
        <w:rPr>
          <w:lang w:val="en-US"/>
        </w:rPr>
        <w:t xml:space="preserve"> into </w:t>
      </w:r>
      <w:r w:rsidR="008D0C67">
        <w:rPr>
          <w:lang w:val="en-US"/>
        </w:rPr>
        <w:t xml:space="preserve">democratic education, </w:t>
      </w:r>
      <w:r w:rsidR="00BD5573">
        <w:rPr>
          <w:lang w:val="en-US"/>
        </w:rPr>
        <w:t xml:space="preserve">it is hoped that young people will be equipped with the </w:t>
      </w:r>
      <w:r w:rsidR="003F2A42">
        <w:rPr>
          <w:lang w:val="en-US"/>
        </w:rPr>
        <w:t xml:space="preserve">tools required for </w:t>
      </w:r>
      <w:r w:rsidR="00CB584C">
        <w:rPr>
          <w:lang w:val="en-US"/>
        </w:rPr>
        <w:t xml:space="preserve">the </w:t>
      </w:r>
      <w:r w:rsidR="003F2A42">
        <w:rPr>
          <w:lang w:val="en-US"/>
        </w:rPr>
        <w:t xml:space="preserve">lifelong </w:t>
      </w:r>
      <w:r w:rsidR="00CB584C">
        <w:rPr>
          <w:lang w:val="en-US"/>
        </w:rPr>
        <w:t>openness that democracy requires.</w:t>
      </w:r>
    </w:p>
    <w:p w14:paraId="5C72AC4B" w14:textId="1ACF4C39" w:rsidR="000A1711" w:rsidRDefault="0096640F" w:rsidP="004E2915">
      <w:pPr>
        <w:jc w:val="both"/>
        <w:rPr>
          <w:lang w:val="en-US"/>
        </w:rPr>
      </w:pPr>
      <w:r w:rsidRPr="00AC0950">
        <w:rPr>
          <w:lang w:val="en-US"/>
        </w:rPr>
        <w:t>Beyond civic outcomes, dialogical practices can foster</w:t>
      </w:r>
      <w:r w:rsidRPr="0096640F">
        <w:rPr>
          <w:i/>
          <w:iCs/>
          <w:lang w:val="en-US"/>
        </w:rPr>
        <w:t xml:space="preserve"> </w:t>
      </w:r>
      <w:r w:rsidR="00B36314" w:rsidRPr="00BB19EC">
        <w:rPr>
          <w:i/>
          <w:iCs/>
          <w:lang w:val="en-US"/>
        </w:rPr>
        <w:t>fallibilist pluralism</w:t>
      </w:r>
      <w:r w:rsidR="00BB19EC">
        <w:rPr>
          <w:i/>
          <w:iCs/>
          <w:lang w:val="en-US"/>
        </w:rPr>
        <w:t xml:space="preserve"> </w:t>
      </w:r>
      <w:r w:rsidR="00BB19EC" w:rsidRPr="00B36314">
        <w:rPr>
          <w:lang w:val="en-US"/>
        </w:rPr>
        <w:t>(Holma</w:t>
      </w:r>
      <w:r w:rsidR="00F125AA">
        <w:rPr>
          <w:lang w:val="en-US"/>
        </w:rPr>
        <w:t>,</w:t>
      </w:r>
      <w:r w:rsidR="00BB19EC" w:rsidRPr="00B36314">
        <w:rPr>
          <w:lang w:val="en-US"/>
        </w:rPr>
        <w:t xml:space="preserve"> 2012)</w:t>
      </w:r>
      <w:r w:rsidR="00B36314" w:rsidRPr="00B36314">
        <w:rPr>
          <w:lang w:val="en-US"/>
        </w:rPr>
        <w:t xml:space="preserve">: </w:t>
      </w:r>
      <w:r w:rsidR="00AC0950" w:rsidRPr="00AC0950">
        <w:rPr>
          <w:lang w:val="en-US"/>
        </w:rPr>
        <w:t>a moral-epistemological posture of revisability in light of contact with other perspectives</w:t>
      </w:r>
      <w:r w:rsidR="00BB19EC">
        <w:rPr>
          <w:lang w:val="en-US"/>
        </w:rPr>
        <w:t xml:space="preserve">. </w:t>
      </w:r>
      <w:r w:rsidR="00F125AA">
        <w:rPr>
          <w:lang w:val="en-US"/>
        </w:rPr>
        <w:t xml:space="preserve">Once anchored as a </w:t>
      </w:r>
      <w:r w:rsidR="00F125AA" w:rsidRPr="00F125AA">
        <w:rPr>
          <w:i/>
          <w:iCs/>
          <w:lang w:val="en-US"/>
        </w:rPr>
        <w:t>habit of thought</w:t>
      </w:r>
      <w:r w:rsidR="00F125AA" w:rsidRPr="00F125AA">
        <w:rPr>
          <w:lang w:val="en-US"/>
        </w:rPr>
        <w:t xml:space="preserve"> (Holma, 2024</w:t>
      </w:r>
      <w:r w:rsidR="00F125AA">
        <w:rPr>
          <w:lang w:val="en-US"/>
        </w:rPr>
        <w:t>)</w:t>
      </w:r>
      <w:r w:rsidR="004E6582">
        <w:rPr>
          <w:lang w:val="en-US"/>
        </w:rPr>
        <w:t xml:space="preserve">, such a posture </w:t>
      </w:r>
      <w:r w:rsidR="0015127C">
        <w:rPr>
          <w:lang w:val="en-US"/>
        </w:rPr>
        <w:t xml:space="preserve">supports </w:t>
      </w:r>
      <w:r w:rsidR="008B0BB8">
        <w:rPr>
          <w:lang w:val="en-US"/>
        </w:rPr>
        <w:t xml:space="preserve">democratic life </w:t>
      </w:r>
      <w:r w:rsidR="0021630C">
        <w:rPr>
          <w:lang w:val="en-US"/>
        </w:rPr>
        <w:t xml:space="preserve">directly </w:t>
      </w:r>
      <w:r w:rsidR="007B7694">
        <w:rPr>
          <w:lang w:val="en-US"/>
        </w:rPr>
        <w:t>by en</w:t>
      </w:r>
      <w:r w:rsidR="000C485D">
        <w:rPr>
          <w:lang w:val="en-US"/>
        </w:rPr>
        <w:t xml:space="preserve">couraging </w:t>
      </w:r>
      <w:r w:rsidR="00E229B8">
        <w:rPr>
          <w:lang w:val="en-US"/>
        </w:rPr>
        <w:t>the</w:t>
      </w:r>
      <w:r w:rsidR="00B91D34">
        <w:rPr>
          <w:lang w:val="en-US"/>
        </w:rPr>
        <w:t xml:space="preserve"> </w:t>
      </w:r>
      <w:r w:rsidR="00F9567E">
        <w:rPr>
          <w:lang w:val="en-US"/>
        </w:rPr>
        <w:t xml:space="preserve">ongoing </w:t>
      </w:r>
      <w:r w:rsidR="00B91D34">
        <w:rPr>
          <w:lang w:val="en-US"/>
        </w:rPr>
        <w:t>adjust</w:t>
      </w:r>
      <w:r w:rsidR="00E229B8">
        <w:rPr>
          <w:lang w:val="en-US"/>
        </w:rPr>
        <w:t>ment of</w:t>
      </w:r>
      <w:r w:rsidR="00B91D34">
        <w:rPr>
          <w:lang w:val="en-US"/>
        </w:rPr>
        <w:t xml:space="preserve"> </w:t>
      </w:r>
      <w:r w:rsidR="00E229B8">
        <w:rPr>
          <w:lang w:val="en-US"/>
        </w:rPr>
        <w:t xml:space="preserve">positions and </w:t>
      </w:r>
      <w:r w:rsidR="00B91D34">
        <w:rPr>
          <w:lang w:val="en-US"/>
        </w:rPr>
        <w:t>preferences</w:t>
      </w:r>
      <w:r w:rsidR="0021630C">
        <w:rPr>
          <w:lang w:val="en-US"/>
        </w:rPr>
        <w:t>.</w:t>
      </w:r>
      <w:r w:rsidR="00F9567E">
        <w:rPr>
          <w:lang w:val="en-US"/>
        </w:rPr>
        <w:t xml:space="preserve"> </w:t>
      </w:r>
      <w:r w:rsidR="0069230E">
        <w:rPr>
          <w:lang w:val="en-US"/>
        </w:rPr>
        <w:t>It also</w:t>
      </w:r>
      <w:r w:rsidR="00227CC0">
        <w:rPr>
          <w:lang w:val="en-US"/>
        </w:rPr>
        <w:t xml:space="preserve"> </w:t>
      </w:r>
      <w:r w:rsidR="00373A5E">
        <w:rPr>
          <w:lang w:val="en-US"/>
        </w:rPr>
        <w:t xml:space="preserve">enables </w:t>
      </w:r>
      <w:r w:rsidR="004D73EF">
        <w:rPr>
          <w:lang w:val="en-US"/>
        </w:rPr>
        <w:t xml:space="preserve">subjective renewal – reflexive self-transformation through the assimilation of otherness (Rosa, 2019) </w:t>
      </w:r>
      <w:r w:rsidR="00AD6579">
        <w:rPr>
          <w:lang w:val="en-US"/>
        </w:rPr>
        <w:t>–</w:t>
      </w:r>
      <w:r w:rsidR="004D73EF">
        <w:rPr>
          <w:lang w:val="en-US"/>
        </w:rPr>
        <w:t xml:space="preserve"> </w:t>
      </w:r>
      <w:r w:rsidR="001A16CA">
        <w:rPr>
          <w:lang w:val="en-US"/>
        </w:rPr>
        <w:t xml:space="preserve">a key </w:t>
      </w:r>
      <w:r w:rsidR="00692654">
        <w:rPr>
          <w:lang w:val="en-US"/>
        </w:rPr>
        <w:t xml:space="preserve">lever of </w:t>
      </w:r>
      <w:r w:rsidR="00067200">
        <w:rPr>
          <w:lang w:val="en-US"/>
        </w:rPr>
        <w:t>sustainable moral motivation.</w:t>
      </w:r>
      <w:r w:rsidR="00533791">
        <w:rPr>
          <w:lang w:val="en-US"/>
        </w:rPr>
        <w:t xml:space="preserve"> On a more practical level, </w:t>
      </w:r>
      <w:r w:rsidR="00DE7ADD">
        <w:rPr>
          <w:lang w:val="en-US"/>
        </w:rPr>
        <w:t>dialogically cultivated</w:t>
      </w:r>
      <w:r w:rsidR="00C84BDC">
        <w:rPr>
          <w:lang w:val="en-US"/>
        </w:rPr>
        <w:t xml:space="preserve"> fallibilism </w:t>
      </w:r>
      <w:r w:rsidR="001E7E57">
        <w:rPr>
          <w:lang w:val="en-US"/>
        </w:rPr>
        <w:t>enhances collective problem-solving abilities by nurturing</w:t>
      </w:r>
      <w:r w:rsidR="00373FED">
        <w:rPr>
          <w:lang w:val="en-US"/>
        </w:rPr>
        <w:t xml:space="preserve"> </w:t>
      </w:r>
      <w:r w:rsidR="001E7E57">
        <w:rPr>
          <w:lang w:val="en-US"/>
        </w:rPr>
        <w:t>creativity (</w:t>
      </w:r>
      <w:r w:rsidR="005A39AF">
        <w:rPr>
          <w:lang w:val="en-US"/>
        </w:rPr>
        <w:t>Mercer, Wegerif</w:t>
      </w:r>
      <w:r w:rsidR="00184717">
        <w:rPr>
          <w:lang w:val="en-US"/>
        </w:rPr>
        <w:t>,</w:t>
      </w:r>
      <w:r w:rsidR="005A39AF">
        <w:rPr>
          <w:lang w:val="en-US"/>
        </w:rPr>
        <w:t xml:space="preserve"> &amp; </w:t>
      </w:r>
      <w:r w:rsidR="00D85429">
        <w:rPr>
          <w:lang w:val="en-US"/>
        </w:rPr>
        <w:t>Major, 2020) and stimulating curiosity (Papastephanou</w:t>
      </w:r>
      <w:r w:rsidR="00FD1D42">
        <w:rPr>
          <w:lang w:val="en-US"/>
        </w:rPr>
        <w:t>, 2023</w:t>
      </w:r>
      <w:r w:rsidR="00D85429">
        <w:rPr>
          <w:lang w:val="en-US"/>
        </w:rPr>
        <w:t>)</w:t>
      </w:r>
      <w:r w:rsidR="004E2915">
        <w:rPr>
          <w:lang w:val="en-US"/>
        </w:rPr>
        <w:t>.</w:t>
      </w:r>
    </w:p>
    <w:p w14:paraId="646DB682" w14:textId="77777777" w:rsidR="00D1298C" w:rsidRDefault="005D590C" w:rsidP="00D1298C">
      <w:pPr>
        <w:jc w:val="both"/>
        <w:rPr>
          <w:lang w:val="en-US"/>
        </w:rPr>
      </w:pPr>
      <w:r w:rsidRPr="005D590C">
        <w:rPr>
          <w:lang w:val="en-US"/>
        </w:rPr>
        <w:lastRenderedPageBreak/>
        <w:t xml:space="preserve">Yet this promise is fragile. In classrooms, dialogical activities often falter not only because techniques are misapplied (Kauppi &amp; Drerup, 2021), but because identity threats and organizational constraints make openness costly. My claim is that the success of educational dialogue depends less on deliberation protocols and more on a relational climate that makes openness livable. In such a climate, participants can risk self-disclosure, revise without losing face, and sustain inquiry when disagreement intensifies. </w:t>
      </w:r>
    </w:p>
    <w:p w14:paraId="6DE8A2F5" w14:textId="7BEA20A1" w:rsidR="00D1298C" w:rsidRPr="00D1298C" w:rsidRDefault="00D1298C" w:rsidP="00D1298C">
      <w:pPr>
        <w:jc w:val="both"/>
        <w:rPr>
          <w:lang w:val="en-US"/>
        </w:rPr>
      </w:pPr>
      <w:r w:rsidRPr="00D1298C">
        <w:rPr>
          <w:lang w:val="en-US"/>
        </w:rPr>
        <w:t>The paper proceeds in three steps. First, I map three recurring barriers to dialogical success</w:t>
      </w:r>
      <w:r>
        <w:rPr>
          <w:lang w:val="en-US"/>
        </w:rPr>
        <w:t xml:space="preserve"> – </w:t>
      </w:r>
      <w:r w:rsidRPr="00D1298C">
        <w:rPr>
          <w:lang w:val="en-US"/>
        </w:rPr>
        <w:t>semantic, emotional, and institutional</w:t>
      </w:r>
      <w:r>
        <w:rPr>
          <w:lang w:val="en-US"/>
        </w:rPr>
        <w:t xml:space="preserve"> – </w:t>
      </w:r>
      <w:r w:rsidRPr="00D1298C">
        <w:rPr>
          <w:lang w:val="en-US"/>
        </w:rPr>
        <w:t>that block uptake or shift dialogue toward performance rather than inquiry. Second, I argue that three relational qualities</w:t>
      </w:r>
      <w:r>
        <w:rPr>
          <w:lang w:val="en-US"/>
        </w:rPr>
        <w:t xml:space="preserve"> – </w:t>
      </w:r>
      <w:r w:rsidRPr="00D1298C">
        <w:rPr>
          <w:lang w:val="en-US"/>
        </w:rPr>
        <w:t>affection, authority, and attentiveness</w:t>
      </w:r>
      <w:r>
        <w:rPr>
          <w:lang w:val="en-US"/>
        </w:rPr>
        <w:t xml:space="preserve"> – </w:t>
      </w:r>
      <w:r w:rsidRPr="00D1298C">
        <w:rPr>
          <w:lang w:val="en-US"/>
        </w:rPr>
        <w:t xml:space="preserve">jointly weaken these barriers and reinforce one another; there is no one-to-one pairing, as each quality bears on all three barriers. Finally, I sketch institutional implications: how schools might afford the relational conditions under which dialogue educates, not merely communicates. This reframes democratic dialogue less as a technique to be mastered than as an ecology to be cultivated. </w:t>
      </w:r>
    </w:p>
    <w:p w14:paraId="2F5DED1D" w14:textId="74F81FCB" w:rsidR="00391394" w:rsidRDefault="00291211" w:rsidP="00291211">
      <w:pPr>
        <w:pStyle w:val="Heading2"/>
        <w:rPr>
          <w:lang w:val="en-US"/>
        </w:rPr>
      </w:pPr>
      <w:r>
        <w:rPr>
          <w:lang w:val="en-US"/>
        </w:rPr>
        <w:t>Three barriers to dialogical success</w:t>
      </w:r>
    </w:p>
    <w:p w14:paraId="1D431A59" w14:textId="77777777" w:rsidR="00A65E42" w:rsidRPr="00A65E42" w:rsidRDefault="00A65E42" w:rsidP="00A65E42">
      <w:pPr>
        <w:jc w:val="both"/>
        <w:rPr>
          <w:lang w:val="en-US"/>
        </w:rPr>
      </w:pPr>
      <w:r w:rsidRPr="00A65E42">
        <w:rPr>
          <w:lang w:val="en-US"/>
        </w:rPr>
        <w:t xml:space="preserve">Educational dialogue is hindered by three families of barriers: </w:t>
      </w:r>
      <w:r w:rsidRPr="00A65E42">
        <w:rPr>
          <w:i/>
          <w:iCs/>
          <w:lang w:val="en-US"/>
        </w:rPr>
        <w:t>semantic</w:t>
      </w:r>
      <w:r w:rsidRPr="00A65E42">
        <w:rPr>
          <w:lang w:val="en-US"/>
        </w:rPr>
        <w:t xml:space="preserve">, </w:t>
      </w:r>
      <w:r w:rsidRPr="00A65E42">
        <w:rPr>
          <w:i/>
          <w:iCs/>
          <w:lang w:val="en-US"/>
        </w:rPr>
        <w:t>emotional</w:t>
      </w:r>
      <w:r w:rsidRPr="00A65E42">
        <w:rPr>
          <w:lang w:val="en-US"/>
        </w:rPr>
        <w:t xml:space="preserve">, and </w:t>
      </w:r>
      <w:r w:rsidRPr="00A65E42">
        <w:rPr>
          <w:i/>
          <w:iCs/>
          <w:lang w:val="en-US"/>
        </w:rPr>
        <w:t>institutional</w:t>
      </w:r>
      <w:r w:rsidRPr="00A65E42">
        <w:rPr>
          <w:lang w:val="en-US"/>
        </w:rPr>
        <w:t>. Cognitive, linguistic, status, and framing obstacles are grouped under the umbrella of semantic barriers, following Gillespie (2008, 2015, 2020), who defines these as “processes through which semantic content blocks incoming meanings, or alternative ways of thinking, which are potentially destabilizing” (2015, p. 106). Second, the emotional undercurrents of classroom dialogue can discourage the subjective openness required for identity-laden beliefs to be called into question. Finally, two institutional conditions threaten the same transformative operation.</w:t>
      </w:r>
    </w:p>
    <w:p w14:paraId="003483D9" w14:textId="3FB3E689" w:rsidR="000A1711" w:rsidRDefault="00354466" w:rsidP="00680F2C">
      <w:pPr>
        <w:jc w:val="both"/>
        <w:rPr>
          <w:lang w:val="en-US"/>
        </w:rPr>
      </w:pPr>
      <w:r>
        <w:rPr>
          <w:lang w:val="en-US"/>
        </w:rPr>
        <w:t xml:space="preserve">Gillespie’s work on semantic barriers </w:t>
      </w:r>
      <w:r w:rsidR="00B41B80">
        <w:rPr>
          <w:lang w:val="en-US"/>
        </w:rPr>
        <w:t>tackles</w:t>
      </w:r>
      <w:r w:rsidR="00B47D81">
        <w:rPr>
          <w:lang w:val="en-US"/>
        </w:rPr>
        <w:t>, from the perspective of social psychology,</w:t>
      </w:r>
      <w:r w:rsidR="00B41B80">
        <w:rPr>
          <w:lang w:val="en-US"/>
        </w:rPr>
        <w:t xml:space="preserve"> the issue of </w:t>
      </w:r>
      <w:r w:rsidR="000E2E21">
        <w:rPr>
          <w:lang w:val="en-US"/>
        </w:rPr>
        <w:t>how “</w:t>
      </w:r>
      <w:r w:rsidR="000E2E21" w:rsidRPr="000E2E21">
        <w:rPr>
          <w:lang w:val="en-US"/>
        </w:rPr>
        <w:t>representations protect themselves from the potential change implied by dialogue with alternatives</w:t>
      </w:r>
      <w:r w:rsidR="000E2E21">
        <w:rPr>
          <w:lang w:val="en-US"/>
        </w:rPr>
        <w:t xml:space="preserve">” </w:t>
      </w:r>
      <w:r w:rsidR="00BA7CD7">
        <w:rPr>
          <w:lang w:val="en-US"/>
        </w:rPr>
        <w:t>(2008</w:t>
      </w:r>
      <w:r w:rsidR="00A541E3">
        <w:rPr>
          <w:lang w:val="en-US"/>
        </w:rPr>
        <w:t>, p.</w:t>
      </w:r>
      <w:r w:rsidR="00BA7CD7">
        <w:rPr>
          <w:lang w:val="en-US"/>
        </w:rPr>
        <w:t xml:space="preserve"> 384). </w:t>
      </w:r>
      <w:r w:rsidR="00817B0A">
        <w:rPr>
          <w:lang w:val="en-US"/>
        </w:rPr>
        <w:t xml:space="preserve">He notes that </w:t>
      </w:r>
      <w:r w:rsidR="006030EB">
        <w:rPr>
          <w:lang w:val="en-US"/>
        </w:rPr>
        <w:t>Gordon Allport’s (</w:t>
      </w:r>
      <w:r w:rsidR="00356001">
        <w:rPr>
          <w:lang w:val="en-US"/>
        </w:rPr>
        <w:t>1954</w:t>
      </w:r>
      <w:r w:rsidR="006030EB">
        <w:rPr>
          <w:lang w:val="en-US"/>
        </w:rPr>
        <w:t xml:space="preserve">) </w:t>
      </w:r>
      <w:r w:rsidR="007754B2">
        <w:rPr>
          <w:lang w:val="en-US"/>
        </w:rPr>
        <w:t>‘</w:t>
      </w:r>
      <w:r w:rsidR="006030EB">
        <w:rPr>
          <w:lang w:val="en-US"/>
        </w:rPr>
        <w:t>contact hypothesis</w:t>
      </w:r>
      <w:r w:rsidR="007754B2">
        <w:rPr>
          <w:lang w:val="en-US"/>
        </w:rPr>
        <w:t>’</w:t>
      </w:r>
      <w:r w:rsidR="006030EB">
        <w:rPr>
          <w:lang w:val="en-US"/>
        </w:rPr>
        <w:t xml:space="preserve">, according to which </w:t>
      </w:r>
      <w:r w:rsidR="00D72553">
        <w:rPr>
          <w:lang w:val="en-US"/>
        </w:rPr>
        <w:t xml:space="preserve">interaction between two groups </w:t>
      </w:r>
      <w:r w:rsidR="007754B2">
        <w:rPr>
          <w:lang w:val="en-US"/>
        </w:rPr>
        <w:t xml:space="preserve">is the best way to </w:t>
      </w:r>
      <w:r w:rsidR="00817B0A">
        <w:rPr>
          <w:lang w:val="en-US"/>
        </w:rPr>
        <w:t xml:space="preserve">undermine </w:t>
      </w:r>
      <w:r w:rsidR="000D0204">
        <w:rPr>
          <w:lang w:val="en-US"/>
        </w:rPr>
        <w:t xml:space="preserve">harmful stereotypes, seems to </w:t>
      </w:r>
      <w:r w:rsidR="00673691">
        <w:rPr>
          <w:lang w:val="en-US"/>
        </w:rPr>
        <w:t xml:space="preserve">have been falsified, since </w:t>
      </w:r>
      <w:r w:rsidR="001D0A8D">
        <w:rPr>
          <w:lang w:val="en-US"/>
        </w:rPr>
        <w:t xml:space="preserve">the </w:t>
      </w:r>
      <w:r w:rsidR="006C33D4">
        <w:rPr>
          <w:lang w:val="en-US"/>
        </w:rPr>
        <w:t>contemporary world’s increased contact “</w:t>
      </w:r>
      <w:r w:rsidR="006C33D4" w:rsidRPr="006C33D4">
        <w:rPr>
          <w:lang w:val="en-US"/>
        </w:rPr>
        <w:t>with alterity is not translating into more tolerance</w:t>
      </w:r>
      <w:r w:rsidR="00680F2C">
        <w:rPr>
          <w:lang w:val="en-US"/>
        </w:rPr>
        <w:t>” (Gillespie, 2015</w:t>
      </w:r>
      <w:r w:rsidR="00033D1E">
        <w:rPr>
          <w:lang w:val="en-US"/>
        </w:rPr>
        <w:t>, p.</w:t>
      </w:r>
      <w:r w:rsidR="00680F2C">
        <w:rPr>
          <w:lang w:val="en-US"/>
        </w:rPr>
        <w:t xml:space="preserve"> 104). </w:t>
      </w:r>
      <w:r w:rsidR="002F141D">
        <w:rPr>
          <w:lang w:val="en-US"/>
        </w:rPr>
        <w:t>He thus examines how meaning structures that pre</w:t>
      </w:r>
      <w:r w:rsidR="003332E6">
        <w:rPr>
          <w:lang w:val="en-US"/>
        </w:rPr>
        <w:t xml:space="preserve">-frame the contents of others’ perspectives </w:t>
      </w:r>
      <w:r w:rsidR="00FC5A01">
        <w:rPr>
          <w:lang w:val="en-US"/>
        </w:rPr>
        <w:t xml:space="preserve">manage to neutralize the validity of the content they </w:t>
      </w:r>
      <w:r w:rsidR="0038438F">
        <w:rPr>
          <w:lang w:val="en-US"/>
        </w:rPr>
        <w:t>convey</w:t>
      </w:r>
      <w:r w:rsidR="00FC5A01">
        <w:rPr>
          <w:lang w:val="en-US"/>
        </w:rPr>
        <w:t>.</w:t>
      </w:r>
    </w:p>
    <w:p w14:paraId="716486AD" w14:textId="47DAC4D7" w:rsidR="000A1711" w:rsidRPr="00B04EC2" w:rsidRDefault="00360616" w:rsidP="003B0626">
      <w:pPr>
        <w:jc w:val="both"/>
        <w:rPr>
          <w:i/>
          <w:iCs/>
          <w:lang w:val="en-US"/>
        </w:rPr>
      </w:pPr>
      <w:r>
        <w:rPr>
          <w:lang w:val="en-US"/>
        </w:rPr>
        <w:t>For Gillespie</w:t>
      </w:r>
      <w:r w:rsidR="000E123D">
        <w:rPr>
          <w:lang w:val="en-US"/>
        </w:rPr>
        <w:t xml:space="preserve"> (2020)</w:t>
      </w:r>
      <w:r>
        <w:rPr>
          <w:lang w:val="en-US"/>
        </w:rPr>
        <w:t xml:space="preserve">, this is done in roughly three ways. First, </w:t>
      </w:r>
      <w:r w:rsidR="009D70F7">
        <w:rPr>
          <w:lang w:val="en-US"/>
        </w:rPr>
        <w:t>acknowledg</w:t>
      </w:r>
      <w:r w:rsidR="0032478A">
        <w:rPr>
          <w:lang w:val="en-US"/>
        </w:rPr>
        <w:t>ement of</w:t>
      </w:r>
      <w:r w:rsidR="009D70F7">
        <w:rPr>
          <w:lang w:val="en-US"/>
        </w:rPr>
        <w:t xml:space="preserve"> alternative perspectives </w:t>
      </w:r>
      <w:r w:rsidR="0032478A">
        <w:rPr>
          <w:lang w:val="en-US"/>
        </w:rPr>
        <w:t xml:space="preserve">may be </w:t>
      </w:r>
      <w:r w:rsidR="0032478A" w:rsidRPr="00F95E85">
        <w:rPr>
          <w:i/>
          <w:iCs/>
          <w:lang w:val="en-US"/>
        </w:rPr>
        <w:t>avoided</w:t>
      </w:r>
      <w:r w:rsidR="0032478A">
        <w:rPr>
          <w:lang w:val="en-US"/>
        </w:rPr>
        <w:t xml:space="preserve"> if the idea</w:t>
      </w:r>
      <w:r w:rsidR="002A1B4C">
        <w:rPr>
          <w:lang w:val="en-US"/>
        </w:rPr>
        <w:t xml:space="preserve">s </w:t>
      </w:r>
      <w:r w:rsidR="00950183">
        <w:rPr>
          <w:lang w:val="en-US"/>
        </w:rPr>
        <w:t xml:space="preserve">have been labeled as taboo </w:t>
      </w:r>
      <w:r w:rsidR="002A1B4C">
        <w:rPr>
          <w:lang w:val="en-US"/>
        </w:rPr>
        <w:t xml:space="preserve">or their supposed bearers </w:t>
      </w:r>
      <w:r w:rsidR="00F95E85">
        <w:rPr>
          <w:lang w:val="en-US"/>
        </w:rPr>
        <w:t xml:space="preserve">dehumanized within a given social group’s common discourse. </w:t>
      </w:r>
      <w:r w:rsidR="00495546">
        <w:rPr>
          <w:lang w:val="en-US"/>
        </w:rPr>
        <w:t xml:space="preserve">This marks the alternative representation </w:t>
      </w:r>
      <w:r w:rsidR="00B51173">
        <w:rPr>
          <w:lang w:val="en-US"/>
        </w:rPr>
        <w:t xml:space="preserve">as being “for other people”, and thus not worth one’s attention. </w:t>
      </w:r>
      <w:r w:rsidR="009275EE">
        <w:rPr>
          <w:lang w:val="en-US"/>
        </w:rPr>
        <w:t xml:space="preserve">Second, outgroup perspectives that have been acknowledged may be </w:t>
      </w:r>
      <w:r w:rsidR="009275EE" w:rsidRPr="0040686D">
        <w:rPr>
          <w:i/>
          <w:iCs/>
          <w:lang w:val="en-US"/>
        </w:rPr>
        <w:t>delegitimized</w:t>
      </w:r>
      <w:r w:rsidR="009275EE">
        <w:rPr>
          <w:lang w:val="en-US"/>
        </w:rPr>
        <w:t xml:space="preserve"> in a </w:t>
      </w:r>
      <w:r w:rsidR="00974914">
        <w:rPr>
          <w:lang w:val="en-US"/>
        </w:rPr>
        <w:t>variety</w:t>
      </w:r>
      <w:r w:rsidR="009275EE">
        <w:rPr>
          <w:lang w:val="en-US"/>
        </w:rPr>
        <w:t xml:space="preserve"> of ways. </w:t>
      </w:r>
      <w:r w:rsidR="002D48A3">
        <w:rPr>
          <w:lang w:val="en-US"/>
        </w:rPr>
        <w:t xml:space="preserve">The views </w:t>
      </w:r>
      <w:r w:rsidR="00C938D1">
        <w:rPr>
          <w:lang w:val="en-US"/>
        </w:rPr>
        <w:t xml:space="preserve">of an outgroup </w:t>
      </w:r>
      <w:r w:rsidR="002D48A3">
        <w:rPr>
          <w:lang w:val="en-US"/>
        </w:rPr>
        <w:t xml:space="preserve">can be discredited by </w:t>
      </w:r>
      <w:r w:rsidR="00C938D1">
        <w:rPr>
          <w:lang w:val="en-US"/>
        </w:rPr>
        <w:t>arguing that the</w:t>
      </w:r>
      <w:r w:rsidR="00444458">
        <w:rPr>
          <w:lang w:val="en-US"/>
        </w:rPr>
        <w:t>ir holders</w:t>
      </w:r>
      <w:r w:rsidR="00C938D1">
        <w:rPr>
          <w:lang w:val="en-US"/>
        </w:rPr>
        <w:t xml:space="preserve"> are untrained, ignorant, </w:t>
      </w:r>
      <w:r w:rsidR="00EC0C4A">
        <w:rPr>
          <w:lang w:val="en-US"/>
        </w:rPr>
        <w:t xml:space="preserve">or motivated by dubious intentions. Finally, </w:t>
      </w:r>
      <w:r w:rsidR="00544C9F">
        <w:rPr>
          <w:lang w:val="en-US"/>
        </w:rPr>
        <w:t xml:space="preserve">when an outgroup perspective has made its way into the conversation, its impact on one’s existing beliefs can be </w:t>
      </w:r>
      <w:r w:rsidR="00544C9F" w:rsidRPr="0040686D">
        <w:rPr>
          <w:i/>
          <w:iCs/>
          <w:lang w:val="en-US"/>
        </w:rPr>
        <w:t>limited</w:t>
      </w:r>
      <w:r w:rsidR="00544C9F">
        <w:rPr>
          <w:lang w:val="en-US"/>
        </w:rPr>
        <w:t xml:space="preserve"> </w:t>
      </w:r>
      <w:r w:rsidR="0040686D">
        <w:rPr>
          <w:lang w:val="en-US"/>
        </w:rPr>
        <w:t xml:space="preserve">through </w:t>
      </w:r>
      <w:r w:rsidR="002126CC">
        <w:rPr>
          <w:lang w:val="en-US"/>
        </w:rPr>
        <w:t xml:space="preserve">recourse to rigid, misleading oppositions, </w:t>
      </w:r>
      <w:r w:rsidR="00D2141D">
        <w:rPr>
          <w:lang w:val="en-US"/>
        </w:rPr>
        <w:t xml:space="preserve">by </w:t>
      </w:r>
      <w:r w:rsidR="002C7366">
        <w:rPr>
          <w:lang w:val="en-US"/>
        </w:rPr>
        <w:t>casting</w:t>
      </w:r>
      <w:r w:rsidR="00D2141D">
        <w:rPr>
          <w:lang w:val="en-US"/>
        </w:rPr>
        <w:t xml:space="preserve"> their examples as one-off flukes, </w:t>
      </w:r>
      <w:r w:rsidR="002C7366">
        <w:rPr>
          <w:lang w:val="en-US"/>
        </w:rPr>
        <w:t xml:space="preserve">or by </w:t>
      </w:r>
      <w:r w:rsidR="00A327B4">
        <w:rPr>
          <w:lang w:val="en-US"/>
        </w:rPr>
        <w:t>arguing that whatever truth these perspectives hold belongs to another category of thought than the threatened beliefs.</w:t>
      </w:r>
      <w:r w:rsidR="000E123D">
        <w:rPr>
          <w:lang w:val="en-US"/>
        </w:rPr>
        <w:t xml:space="preserve"> These three types of semantic barriers thus </w:t>
      </w:r>
      <w:r w:rsidR="005B357D">
        <w:rPr>
          <w:lang w:val="en-US"/>
        </w:rPr>
        <w:t>articulate</w:t>
      </w:r>
      <w:r w:rsidR="00D20755">
        <w:rPr>
          <w:lang w:val="en-US"/>
        </w:rPr>
        <w:t xml:space="preserve"> </w:t>
      </w:r>
      <w:r w:rsidR="005B357D">
        <w:rPr>
          <w:lang w:val="en-US"/>
        </w:rPr>
        <w:t xml:space="preserve">cognitive-, status-, and linguistic-based identity defense mechanisms </w:t>
      </w:r>
      <w:r w:rsidR="005B4805">
        <w:rPr>
          <w:lang w:val="en-US"/>
        </w:rPr>
        <w:t xml:space="preserve">as subsets of a broader group. </w:t>
      </w:r>
      <w:r w:rsidR="00EE2288">
        <w:rPr>
          <w:lang w:val="en-US"/>
        </w:rPr>
        <w:t xml:space="preserve">In short, dialogue </w:t>
      </w:r>
      <w:r w:rsidR="00E324A1" w:rsidRPr="007B0CD8">
        <w:rPr>
          <w:lang w:val="en-US"/>
        </w:rPr>
        <w:t>fails when dominant frames</w:t>
      </w:r>
      <w:r w:rsidR="00B04EC2">
        <w:rPr>
          <w:lang w:val="en-US"/>
        </w:rPr>
        <w:t xml:space="preserve"> – </w:t>
      </w:r>
      <w:r w:rsidR="00B04EC2" w:rsidRPr="00387A70">
        <w:rPr>
          <w:lang w:val="en-US"/>
        </w:rPr>
        <w:t>the background schemata that pre-sort meanings</w:t>
      </w:r>
      <w:r w:rsidR="00B04EC2">
        <w:rPr>
          <w:i/>
          <w:iCs/>
          <w:lang w:val="en-US"/>
        </w:rPr>
        <w:t xml:space="preserve"> –</w:t>
      </w:r>
      <w:r w:rsidR="00E324A1" w:rsidRPr="007B0CD8">
        <w:rPr>
          <w:lang w:val="en-US"/>
        </w:rPr>
        <w:t xml:space="preserve"> prevent uptake of </w:t>
      </w:r>
      <w:r w:rsidR="00E324A1" w:rsidRPr="007B0CD8">
        <w:rPr>
          <w:lang w:val="en-US"/>
        </w:rPr>
        <w:lastRenderedPageBreak/>
        <w:t>alternative meanings</w:t>
      </w:r>
      <w:r w:rsidR="00E324A1">
        <w:rPr>
          <w:lang w:val="en-US"/>
        </w:rPr>
        <w:t xml:space="preserve"> (Lakoff, </w:t>
      </w:r>
      <w:r w:rsidR="00DE6F2F">
        <w:rPr>
          <w:lang w:val="en-US"/>
        </w:rPr>
        <w:t>2014</w:t>
      </w:r>
      <w:r w:rsidR="00E324A1">
        <w:rPr>
          <w:lang w:val="en-US"/>
        </w:rPr>
        <w:t>)</w:t>
      </w:r>
      <w:r w:rsidR="009857A1">
        <w:rPr>
          <w:lang w:val="en-US"/>
        </w:rPr>
        <w:t xml:space="preserve">, which are treated as </w:t>
      </w:r>
      <w:r w:rsidR="003B0626">
        <w:rPr>
          <w:lang w:val="en-US"/>
        </w:rPr>
        <w:t>“</w:t>
      </w:r>
      <w:r w:rsidR="003B0626" w:rsidRPr="003B0626">
        <w:rPr>
          <w:lang w:val="en-US"/>
        </w:rPr>
        <w:t>foreign bodies, isolated and quarantined</w:t>
      </w:r>
      <w:r w:rsidR="003B0626">
        <w:rPr>
          <w:lang w:val="en-US"/>
        </w:rPr>
        <w:t>” (Gillespie, 2015</w:t>
      </w:r>
      <w:r w:rsidR="00C95C04">
        <w:rPr>
          <w:lang w:val="en-US"/>
        </w:rPr>
        <w:t xml:space="preserve">, p. </w:t>
      </w:r>
      <w:r w:rsidR="00C86464">
        <w:rPr>
          <w:lang w:val="en-US"/>
        </w:rPr>
        <w:t>388).</w:t>
      </w:r>
    </w:p>
    <w:p w14:paraId="2273833D" w14:textId="36957CDE" w:rsidR="00131850" w:rsidRDefault="00C86464" w:rsidP="00B709CF">
      <w:pPr>
        <w:jc w:val="both"/>
        <w:rPr>
          <w:lang w:val="en-US"/>
        </w:rPr>
      </w:pPr>
      <w:r>
        <w:rPr>
          <w:lang w:val="en-US"/>
        </w:rPr>
        <w:t>A second set of barriers to dialogical success is found in the emotional</w:t>
      </w:r>
      <w:r w:rsidR="007C205B">
        <w:rPr>
          <w:lang w:val="en-US"/>
        </w:rPr>
        <w:t xml:space="preserve"> </w:t>
      </w:r>
      <w:r w:rsidR="00CB0A0B">
        <w:rPr>
          <w:lang w:val="en-US"/>
        </w:rPr>
        <w:t xml:space="preserve">dynamics that, upstream of meaning processing, prevent students from </w:t>
      </w:r>
      <w:r w:rsidR="007D1767">
        <w:rPr>
          <w:lang w:val="en-US"/>
        </w:rPr>
        <w:t xml:space="preserve">letting their guard down enough to </w:t>
      </w:r>
      <w:r w:rsidR="005A7EDC">
        <w:rPr>
          <w:lang w:val="en-US"/>
        </w:rPr>
        <w:t xml:space="preserve">engage in good-faith, open discussion. </w:t>
      </w:r>
      <w:r w:rsidR="007C567D" w:rsidRPr="007C567D">
        <w:rPr>
          <w:lang w:val="en-US"/>
        </w:rPr>
        <w:t xml:space="preserve">Emotional vulnerability can hinder the development of fallibilist pluralism (Holma, 2012); when educators fail to recognize and respond to students’ fragility, </w:t>
      </w:r>
      <w:r w:rsidR="00EE207A">
        <w:rPr>
          <w:lang w:val="en-US"/>
        </w:rPr>
        <w:t>the</w:t>
      </w:r>
      <w:r w:rsidR="00F403E1">
        <w:rPr>
          <w:lang w:val="en-US"/>
        </w:rPr>
        <w:t>ir students may</w:t>
      </w:r>
      <w:r w:rsidR="007C567D" w:rsidRPr="007C567D">
        <w:rPr>
          <w:lang w:val="en-US"/>
        </w:rPr>
        <w:t xml:space="preserve"> be less able to learn from those they perceive as ‘other’.</w:t>
      </w:r>
      <w:r w:rsidR="00B65678">
        <w:rPr>
          <w:lang w:val="en-US"/>
        </w:rPr>
        <w:t xml:space="preserve"> </w:t>
      </w:r>
      <w:r w:rsidR="002C0B37">
        <w:rPr>
          <w:lang w:val="en-US"/>
        </w:rPr>
        <w:t xml:space="preserve">In the classroom, </w:t>
      </w:r>
      <w:r w:rsidR="00B709CF">
        <w:rPr>
          <w:lang w:val="en-US"/>
        </w:rPr>
        <w:t xml:space="preserve">students may be anxious about inviting ridicule or harassment if they open up </w:t>
      </w:r>
      <w:r w:rsidR="00E80EC5">
        <w:rPr>
          <w:lang w:val="en-US"/>
        </w:rPr>
        <w:t>too much</w:t>
      </w:r>
      <w:r w:rsidR="00E24150">
        <w:rPr>
          <w:lang w:val="en-US"/>
        </w:rPr>
        <w:t xml:space="preserve">, preventing them from sharing perspectives that may be eye-opening to others. </w:t>
      </w:r>
      <w:r w:rsidR="00AC0226">
        <w:rPr>
          <w:lang w:val="en-US"/>
        </w:rPr>
        <w:t xml:space="preserve">But even when such viewpoints are made available, </w:t>
      </w:r>
      <w:r w:rsidR="0030002A">
        <w:rPr>
          <w:lang w:val="en-US"/>
        </w:rPr>
        <w:t xml:space="preserve">their uptake </w:t>
      </w:r>
      <w:r w:rsidR="005E7BBE">
        <w:rPr>
          <w:lang w:val="en-US"/>
        </w:rPr>
        <w:t>may be</w:t>
      </w:r>
      <w:r w:rsidR="0030002A">
        <w:rPr>
          <w:lang w:val="en-US"/>
        </w:rPr>
        <w:t xml:space="preserve"> </w:t>
      </w:r>
      <w:r w:rsidR="00B42CF0">
        <w:rPr>
          <w:lang w:val="en-US"/>
        </w:rPr>
        <w:t>hindered</w:t>
      </w:r>
      <w:r w:rsidR="0030002A">
        <w:rPr>
          <w:lang w:val="en-US"/>
        </w:rPr>
        <w:t xml:space="preserve"> by </w:t>
      </w:r>
      <w:r w:rsidR="008943C4">
        <w:rPr>
          <w:lang w:val="en-US"/>
        </w:rPr>
        <w:t xml:space="preserve">the emotional uncertainties </w:t>
      </w:r>
      <w:r w:rsidR="00015056">
        <w:rPr>
          <w:lang w:val="en-US"/>
        </w:rPr>
        <w:t>engendered by a</w:t>
      </w:r>
      <w:r w:rsidR="00430197">
        <w:rPr>
          <w:lang w:val="en-US"/>
        </w:rPr>
        <w:t>n</w:t>
      </w:r>
      <w:r w:rsidR="00015056">
        <w:rPr>
          <w:lang w:val="en-US"/>
        </w:rPr>
        <w:t xml:space="preserve"> </w:t>
      </w:r>
      <w:r w:rsidR="00430197">
        <w:rPr>
          <w:lang w:val="en-US"/>
        </w:rPr>
        <w:t>absence</w:t>
      </w:r>
      <w:r w:rsidR="00015056">
        <w:rPr>
          <w:lang w:val="en-US"/>
        </w:rPr>
        <w:t xml:space="preserve"> of trust in one’s environment</w:t>
      </w:r>
      <w:r w:rsidR="00F92FA8">
        <w:rPr>
          <w:lang w:val="en-US"/>
        </w:rPr>
        <w:t xml:space="preserve">; threat perception </w:t>
      </w:r>
      <w:r w:rsidR="00F92FA8" w:rsidRPr="00B40DF5">
        <w:rPr>
          <w:lang w:val="en-US"/>
        </w:rPr>
        <w:t>provokes defensive postures</w:t>
      </w:r>
      <w:r w:rsidR="00144262" w:rsidRPr="00B40DF5">
        <w:rPr>
          <w:lang w:val="en-US"/>
        </w:rPr>
        <w:t xml:space="preserve">. </w:t>
      </w:r>
      <w:r w:rsidR="002F3D8E" w:rsidRPr="00387A70">
        <w:rPr>
          <w:lang w:val="en-US"/>
        </w:rPr>
        <w:t>This does not require overt harassment: adolescence brings a characteristic, though variably experienced, structural alienation</w:t>
      </w:r>
      <w:r w:rsidR="00596380" w:rsidRPr="00B40DF5">
        <w:rPr>
          <w:lang w:val="en-US"/>
        </w:rPr>
        <w:t xml:space="preserve"> </w:t>
      </w:r>
      <w:r w:rsidR="00A1712A" w:rsidRPr="00B40DF5">
        <w:rPr>
          <w:lang w:val="en-US"/>
        </w:rPr>
        <w:t>(Rosa, 2019)</w:t>
      </w:r>
      <w:r w:rsidR="002F3D8E" w:rsidRPr="00B40DF5">
        <w:rPr>
          <w:lang w:val="en-US"/>
        </w:rPr>
        <w:t xml:space="preserve"> that amplifies uncertainties and strains emotional stability. D</w:t>
      </w:r>
      <w:r w:rsidR="00502ADA" w:rsidRPr="00B40DF5">
        <w:rPr>
          <w:lang w:val="en-US"/>
        </w:rPr>
        <w:t xml:space="preserve">uring puberty, </w:t>
      </w:r>
      <w:r w:rsidR="00A1712A" w:rsidRPr="00B40DF5">
        <w:rPr>
          <w:lang w:val="en-US"/>
        </w:rPr>
        <w:t>young people are suddenly compelled to scrutinize</w:t>
      </w:r>
      <w:r w:rsidR="00A1712A" w:rsidRPr="00A1712A">
        <w:rPr>
          <w:lang w:val="en-US"/>
        </w:rPr>
        <w:t xml:space="preserve"> a lifeworld that ha</w:t>
      </w:r>
      <w:r w:rsidR="00B40DF5">
        <w:rPr>
          <w:lang w:val="en-US"/>
        </w:rPr>
        <w:t>s</w:t>
      </w:r>
      <w:r w:rsidR="00A1712A" w:rsidRPr="00A1712A">
        <w:rPr>
          <w:lang w:val="en-US"/>
        </w:rPr>
        <w:t xml:space="preserve"> always seemed self-evident, </w:t>
      </w:r>
      <w:r w:rsidR="00B40DF5">
        <w:rPr>
          <w:lang w:val="en-US"/>
        </w:rPr>
        <w:t>while</w:t>
      </w:r>
      <w:r w:rsidR="00A1712A" w:rsidRPr="00A1712A">
        <w:rPr>
          <w:lang w:val="en-US"/>
        </w:rPr>
        <w:t xml:space="preserve"> they grow estranged from the bodies that once anchored their sense of self.</w:t>
      </w:r>
      <w:r w:rsidR="00A1712A">
        <w:rPr>
          <w:lang w:val="en-US"/>
        </w:rPr>
        <w:t xml:space="preserve"> </w:t>
      </w:r>
      <w:r w:rsidR="004D48D3">
        <w:rPr>
          <w:lang w:val="en-US"/>
        </w:rPr>
        <w:t>While this</w:t>
      </w:r>
      <w:r w:rsidR="00D735CB">
        <w:rPr>
          <w:lang w:val="en-US"/>
        </w:rPr>
        <w:t xml:space="preserve"> presents a precious opportunity to consciously construct a new, pre-adult identity, </w:t>
      </w:r>
      <w:r w:rsidR="008156FF">
        <w:rPr>
          <w:lang w:val="en-US"/>
        </w:rPr>
        <w:t xml:space="preserve">it also may encourage retreat into pockets of the familiar. </w:t>
      </w:r>
      <w:r w:rsidR="008412FF">
        <w:rPr>
          <w:lang w:val="en-US"/>
        </w:rPr>
        <w:t>O</w:t>
      </w:r>
      <w:r w:rsidR="00AB012E">
        <w:rPr>
          <w:lang w:val="en-US"/>
        </w:rPr>
        <w:t xml:space="preserve">n the larger scale of public discourse, </w:t>
      </w:r>
      <w:r w:rsidR="00935012">
        <w:rPr>
          <w:lang w:val="en-US"/>
        </w:rPr>
        <w:t xml:space="preserve">the </w:t>
      </w:r>
      <w:r w:rsidR="00935012">
        <w:rPr>
          <w:i/>
          <w:iCs/>
          <w:lang w:val="en-US"/>
        </w:rPr>
        <w:t>politics of fear</w:t>
      </w:r>
      <w:r w:rsidR="00647405">
        <w:rPr>
          <w:i/>
          <w:iCs/>
          <w:lang w:val="en-US"/>
        </w:rPr>
        <w:t xml:space="preserve"> </w:t>
      </w:r>
      <w:r w:rsidR="00647405">
        <w:rPr>
          <w:lang w:val="en-US"/>
        </w:rPr>
        <w:t xml:space="preserve">(Wodak, </w:t>
      </w:r>
      <w:r w:rsidR="008642D9">
        <w:rPr>
          <w:lang w:val="en-US"/>
        </w:rPr>
        <w:t>2021</w:t>
      </w:r>
      <w:r w:rsidR="00647405">
        <w:rPr>
          <w:lang w:val="en-US"/>
        </w:rPr>
        <w:t xml:space="preserve">) </w:t>
      </w:r>
      <w:r w:rsidR="004545FD">
        <w:rPr>
          <w:lang w:val="en-US"/>
        </w:rPr>
        <w:t xml:space="preserve">constitutes a contingent, </w:t>
      </w:r>
      <w:r w:rsidR="00406F28">
        <w:rPr>
          <w:lang w:val="en-US"/>
        </w:rPr>
        <w:t>yet now ubiquitous, source of self-closure that is structurally produced and disseminated into the cultural landscape that pre-s</w:t>
      </w:r>
      <w:r w:rsidR="00E50279">
        <w:rPr>
          <w:lang w:val="en-US"/>
        </w:rPr>
        <w:t>tructures</w:t>
      </w:r>
      <w:r w:rsidR="00BE0B6A">
        <w:rPr>
          <w:lang w:val="en-US"/>
        </w:rPr>
        <w:t xml:space="preserve"> emotional </w:t>
      </w:r>
      <w:r w:rsidR="00E50279">
        <w:rPr>
          <w:lang w:val="en-US"/>
        </w:rPr>
        <w:t>postures in and out of the classroom.</w:t>
      </w:r>
    </w:p>
    <w:p w14:paraId="44F0AC26" w14:textId="7530F489" w:rsidR="00131850" w:rsidRDefault="00F74B0E" w:rsidP="00B41690">
      <w:pPr>
        <w:jc w:val="both"/>
        <w:rPr>
          <w:lang w:val="en-US"/>
        </w:rPr>
      </w:pPr>
      <w:r>
        <w:rPr>
          <w:lang w:val="en-US"/>
        </w:rPr>
        <w:t>Finally, certain</w:t>
      </w:r>
      <w:r w:rsidR="004C2932">
        <w:rPr>
          <w:lang w:val="en-US"/>
        </w:rPr>
        <w:t xml:space="preserve"> institutional</w:t>
      </w:r>
      <w:r>
        <w:rPr>
          <w:lang w:val="en-US"/>
        </w:rPr>
        <w:t xml:space="preserve"> conditions specific to </w:t>
      </w:r>
      <w:r w:rsidR="004C2932">
        <w:rPr>
          <w:lang w:val="en-US"/>
        </w:rPr>
        <w:t>schools</w:t>
      </w:r>
      <w:r>
        <w:rPr>
          <w:lang w:val="en-US"/>
        </w:rPr>
        <w:t xml:space="preserve"> </w:t>
      </w:r>
      <w:r w:rsidR="00204D4A">
        <w:rPr>
          <w:lang w:val="en-US"/>
        </w:rPr>
        <w:t xml:space="preserve">may also contribute to dialogue’s neutered potential within democratic education. </w:t>
      </w:r>
      <w:r w:rsidR="00DC5285">
        <w:rPr>
          <w:lang w:val="en-US"/>
        </w:rPr>
        <w:t xml:space="preserve">D’Olimpio </w:t>
      </w:r>
      <w:r w:rsidR="00B41690">
        <w:rPr>
          <w:lang w:val="en-US"/>
        </w:rPr>
        <w:t>(</w:t>
      </w:r>
      <w:r w:rsidR="009D2E72">
        <w:rPr>
          <w:lang w:val="en-US"/>
        </w:rPr>
        <w:t>2024</w:t>
      </w:r>
      <w:r w:rsidR="00B41690">
        <w:rPr>
          <w:lang w:val="en-US"/>
        </w:rPr>
        <w:t xml:space="preserve">) </w:t>
      </w:r>
      <w:r w:rsidR="0035345C">
        <w:rPr>
          <w:lang w:val="en-US"/>
        </w:rPr>
        <w:t xml:space="preserve">highlights two such limits. </w:t>
      </w:r>
      <w:r w:rsidR="004039AE">
        <w:rPr>
          <w:lang w:val="en-US"/>
        </w:rPr>
        <w:t xml:space="preserve">First, </w:t>
      </w:r>
      <w:r w:rsidR="00456B92">
        <w:rPr>
          <w:lang w:val="en-US"/>
        </w:rPr>
        <w:t xml:space="preserve">there is the </w:t>
      </w:r>
      <w:r w:rsidR="00456B92">
        <w:rPr>
          <w:i/>
          <w:iCs/>
          <w:lang w:val="en-US"/>
        </w:rPr>
        <w:t>transfer problem</w:t>
      </w:r>
      <w:r w:rsidR="00456B92">
        <w:rPr>
          <w:lang w:val="en-US"/>
        </w:rPr>
        <w:t xml:space="preserve">: when </w:t>
      </w:r>
      <w:r w:rsidR="0022771B">
        <w:rPr>
          <w:lang w:val="en-US"/>
        </w:rPr>
        <w:t xml:space="preserve">dialogue is constrained to a specific class – be it a civic education class or a community of inquiry module </w:t>
      </w:r>
      <w:r w:rsidR="00F60A7E">
        <w:rPr>
          <w:lang w:val="en-US"/>
        </w:rPr>
        <w:t>–</w:t>
      </w:r>
      <w:r w:rsidR="0022771B">
        <w:rPr>
          <w:lang w:val="en-US"/>
        </w:rPr>
        <w:t xml:space="preserve"> </w:t>
      </w:r>
      <w:r w:rsidR="00F60A7E">
        <w:rPr>
          <w:lang w:val="en-US"/>
        </w:rPr>
        <w:t xml:space="preserve">the virtues and skills that are mobilized </w:t>
      </w:r>
      <w:r w:rsidR="005A3A8B" w:rsidRPr="005A3A8B">
        <w:rPr>
          <w:lang w:val="en-US"/>
        </w:rPr>
        <w:t xml:space="preserve">within that setting </w:t>
      </w:r>
      <w:r w:rsidR="00F60A7E">
        <w:rPr>
          <w:lang w:val="en-US"/>
        </w:rPr>
        <w:t xml:space="preserve">may not carry over to </w:t>
      </w:r>
      <w:r w:rsidR="00BC718D">
        <w:rPr>
          <w:lang w:val="en-US"/>
        </w:rPr>
        <w:t>o</w:t>
      </w:r>
      <w:r w:rsidR="00534102">
        <w:rPr>
          <w:lang w:val="en-US"/>
        </w:rPr>
        <w:t>ther classes</w:t>
      </w:r>
      <w:r w:rsidR="00802BAE">
        <w:rPr>
          <w:lang w:val="en-US"/>
        </w:rPr>
        <w:t xml:space="preserve"> or everyday contexts. </w:t>
      </w:r>
      <w:r w:rsidR="00AB199C">
        <w:rPr>
          <w:lang w:val="en-US"/>
        </w:rPr>
        <w:t>When dialogue is severely time-bound</w:t>
      </w:r>
      <w:r w:rsidR="00526F57">
        <w:rPr>
          <w:lang w:val="en-US"/>
        </w:rPr>
        <w:t xml:space="preserve">, </w:t>
      </w:r>
      <w:r w:rsidR="003E0162">
        <w:rPr>
          <w:lang w:val="en-US"/>
        </w:rPr>
        <w:t xml:space="preserve">the postures it develops are unlikely to become </w:t>
      </w:r>
      <w:r w:rsidR="003E0162">
        <w:rPr>
          <w:i/>
          <w:iCs/>
          <w:lang w:val="en-US"/>
        </w:rPr>
        <w:t>habitual</w:t>
      </w:r>
      <w:r w:rsidR="003E0162">
        <w:rPr>
          <w:lang w:val="en-US"/>
        </w:rPr>
        <w:t xml:space="preserve">, since dispositions </w:t>
      </w:r>
      <w:r w:rsidR="00887D4A">
        <w:rPr>
          <w:lang w:val="en-US"/>
        </w:rPr>
        <w:t xml:space="preserve">established in other classes have </w:t>
      </w:r>
      <w:r w:rsidR="00C83CFD">
        <w:rPr>
          <w:lang w:val="en-US"/>
        </w:rPr>
        <w:t xml:space="preserve">a quantitative temporal advantage. </w:t>
      </w:r>
      <w:r w:rsidR="006636E8">
        <w:rPr>
          <w:lang w:val="en-US"/>
        </w:rPr>
        <w:t xml:space="preserve">Second, when dialogical activities are graded, </w:t>
      </w:r>
      <w:r w:rsidR="00427573">
        <w:rPr>
          <w:lang w:val="en-US"/>
        </w:rPr>
        <w:t xml:space="preserve">the behaviors they call for may become </w:t>
      </w:r>
      <w:r w:rsidR="00427573" w:rsidRPr="00474316">
        <w:rPr>
          <w:i/>
          <w:iCs/>
          <w:lang w:val="en-US"/>
        </w:rPr>
        <w:t>performative</w:t>
      </w:r>
      <w:r w:rsidR="007876FD">
        <w:rPr>
          <w:lang w:val="en-US"/>
        </w:rPr>
        <w:t xml:space="preserve">: the perceived goal is no longer </w:t>
      </w:r>
      <w:r w:rsidR="00A84E6D">
        <w:rPr>
          <w:lang w:val="en-US"/>
        </w:rPr>
        <w:t xml:space="preserve">to access other viewpoints, but to demonstrate mastery of a skill. </w:t>
      </w:r>
      <w:r w:rsidR="00C61EB0">
        <w:rPr>
          <w:lang w:val="en-US"/>
        </w:rPr>
        <w:t>This can lead to lip-service</w:t>
      </w:r>
      <w:r w:rsidR="00212A96">
        <w:rPr>
          <w:lang w:val="en-US"/>
        </w:rPr>
        <w:t xml:space="preserve"> </w:t>
      </w:r>
      <w:r w:rsidR="007E5161">
        <w:rPr>
          <w:lang w:val="en-US"/>
        </w:rPr>
        <w:t>a</w:t>
      </w:r>
      <w:r w:rsidR="000503E1">
        <w:rPr>
          <w:lang w:val="en-US"/>
        </w:rPr>
        <w:t xml:space="preserve">cknowledgement of alterity </w:t>
      </w:r>
      <w:r w:rsidR="00212A96">
        <w:rPr>
          <w:lang w:val="en-US"/>
        </w:rPr>
        <w:t>or, at wors</w:t>
      </w:r>
      <w:r w:rsidR="000503E1">
        <w:rPr>
          <w:lang w:val="en-US"/>
        </w:rPr>
        <w:t>t</w:t>
      </w:r>
      <w:r w:rsidR="00212A96">
        <w:rPr>
          <w:lang w:val="en-US"/>
        </w:rPr>
        <w:t xml:space="preserve">, cynical strategies of </w:t>
      </w:r>
      <w:r w:rsidR="00D62582">
        <w:rPr>
          <w:lang w:val="en-US"/>
        </w:rPr>
        <w:t xml:space="preserve">beginning a dialogue with a simplistic viewpoint </w:t>
      </w:r>
      <w:r w:rsidR="000503E1">
        <w:rPr>
          <w:lang w:val="en-US"/>
        </w:rPr>
        <w:t xml:space="preserve">in order to undergo a ‘radical transformation’, if perspective-changing </w:t>
      </w:r>
      <w:r w:rsidR="00767006">
        <w:rPr>
          <w:lang w:val="en-US"/>
        </w:rPr>
        <w:t>earns extra points.</w:t>
      </w:r>
      <w:r w:rsidR="0075375E">
        <w:rPr>
          <w:lang w:val="en-US"/>
        </w:rPr>
        <w:t xml:space="preserve"> Students who are worried about their academic future may thus prefer to </w:t>
      </w:r>
      <w:r w:rsidR="00130754">
        <w:rPr>
          <w:lang w:val="en-US"/>
        </w:rPr>
        <w:t>‘</w:t>
      </w:r>
      <w:r w:rsidR="0075375E">
        <w:rPr>
          <w:lang w:val="en-US"/>
        </w:rPr>
        <w:t xml:space="preserve">perform </w:t>
      </w:r>
      <w:r w:rsidR="00130754">
        <w:rPr>
          <w:lang w:val="en-US"/>
        </w:rPr>
        <w:t>understanding’ rather than ‘risk learning’.</w:t>
      </w:r>
    </w:p>
    <w:p w14:paraId="6AA79737" w14:textId="3B68C6F3" w:rsidR="00130754" w:rsidRDefault="00F01973" w:rsidP="00D473CA">
      <w:pPr>
        <w:pStyle w:val="Heading2"/>
        <w:rPr>
          <w:lang w:val="en-US"/>
        </w:rPr>
      </w:pPr>
      <w:r>
        <w:rPr>
          <w:lang w:val="en-US"/>
        </w:rPr>
        <w:t xml:space="preserve">Relational </w:t>
      </w:r>
      <w:r w:rsidR="00D473CA">
        <w:rPr>
          <w:lang w:val="en-US"/>
        </w:rPr>
        <w:t>qualities for overcoming dialogical barriers</w:t>
      </w:r>
    </w:p>
    <w:p w14:paraId="6BD9C078" w14:textId="22DC7CBF" w:rsidR="00434F18" w:rsidRPr="00434F18" w:rsidRDefault="00434F18" w:rsidP="00434F18">
      <w:pPr>
        <w:jc w:val="both"/>
        <w:rPr>
          <w:lang w:val="en-US"/>
        </w:rPr>
      </w:pPr>
      <w:r w:rsidRPr="00434F18">
        <w:rPr>
          <w:lang w:val="en-US"/>
        </w:rPr>
        <w:t xml:space="preserve">These barriers cannot all be addressed in the same way. Some may admit direct institutional solutions, particularly those rooted in organizational parameters, while others have been targeted through specific pedagogical strategies. For example, proactive framing techniques (Kindlinger &amp; Hahn-Laudenberg, 2023) or discussion formats geared toward collective problem-solving without requiring identity revision (Leiviskä, 2023) have been proposed to reduce dialogical friction. Without discounting the value of these approaches, my aim in this section is to highlight how three </w:t>
      </w:r>
      <w:r w:rsidRPr="00434F18">
        <w:rPr>
          <w:i/>
          <w:iCs/>
          <w:lang w:val="en-US"/>
        </w:rPr>
        <w:t>relational qualities</w:t>
      </w:r>
      <w:r w:rsidRPr="00434F18">
        <w:rPr>
          <w:lang w:val="en-US"/>
        </w:rPr>
        <w:t xml:space="preserve"> – affection, authority, and attentiveness – may uniquely support dialogue’s capacity to foster transformative contact with otherness.</w:t>
      </w:r>
    </w:p>
    <w:p w14:paraId="1BB9ABB0" w14:textId="77777777" w:rsidR="00434F18" w:rsidRPr="00434F18" w:rsidRDefault="00434F18" w:rsidP="00434F18">
      <w:pPr>
        <w:jc w:val="both"/>
        <w:rPr>
          <w:lang w:val="en-US"/>
        </w:rPr>
      </w:pPr>
      <w:r w:rsidRPr="00434F18">
        <w:rPr>
          <w:lang w:val="en-US"/>
        </w:rPr>
        <w:t xml:space="preserve">By </w:t>
      </w:r>
      <w:r w:rsidRPr="00434F18">
        <w:rPr>
          <w:i/>
          <w:iCs/>
          <w:lang w:val="en-US"/>
        </w:rPr>
        <w:t>relational qualities</w:t>
      </w:r>
      <w:r w:rsidRPr="00434F18">
        <w:rPr>
          <w:lang w:val="en-US"/>
        </w:rPr>
        <w:t xml:space="preserve">, I mean characteristics of pedagogical relationships that enhance their overall quality: these are expressed through concrete practices, but not reducible to private feelings, interpersonal skill, job titles, or isolated techniques. As mentioned above, there is no </w:t>
      </w:r>
      <w:r w:rsidRPr="00434F18">
        <w:rPr>
          <w:lang w:val="en-US"/>
        </w:rPr>
        <w:lastRenderedPageBreak/>
        <w:t>one-to-one correspondence between the qualities and the barriers they help address; each quality bears on all three types of barrier, and they reinforce one another in practice. While these qualities primarily describe desirable aspects of teacher–student relationships, they also have spillover effects: by shaping the relational atmosphere, they influence how students relate to one another as well.</w:t>
      </w:r>
    </w:p>
    <w:p w14:paraId="7C5A08E2" w14:textId="7C2266F1" w:rsidR="00640BC4" w:rsidRPr="00C94F60" w:rsidRDefault="00640BC4" w:rsidP="00A2645D">
      <w:pPr>
        <w:jc w:val="both"/>
        <w:rPr>
          <w:lang w:val="en-US"/>
        </w:rPr>
      </w:pPr>
      <w:r>
        <w:rPr>
          <w:lang w:val="en-US"/>
        </w:rPr>
        <w:t>Affection</w:t>
      </w:r>
      <w:r w:rsidR="0023326D">
        <w:rPr>
          <w:lang w:val="en-US"/>
        </w:rPr>
        <w:t>, understood as</w:t>
      </w:r>
      <w:r w:rsidR="002F684E">
        <w:rPr>
          <w:lang w:val="en-US"/>
        </w:rPr>
        <w:t xml:space="preserve"> </w:t>
      </w:r>
      <w:r w:rsidR="002F684E" w:rsidRPr="002F684E">
        <w:rPr>
          <w:lang w:val="en-US"/>
        </w:rPr>
        <w:t xml:space="preserve">mutual </w:t>
      </w:r>
      <w:r w:rsidR="002F684E">
        <w:rPr>
          <w:lang w:val="en-US"/>
        </w:rPr>
        <w:t>appreciation</w:t>
      </w:r>
      <w:r w:rsidR="002F684E" w:rsidRPr="002F684E">
        <w:rPr>
          <w:lang w:val="en-US"/>
        </w:rPr>
        <w:t xml:space="preserve"> and warmth</w:t>
      </w:r>
      <w:r w:rsidR="0023326D">
        <w:rPr>
          <w:lang w:val="en-US"/>
        </w:rPr>
        <w:t>,</w:t>
      </w:r>
      <w:r w:rsidR="0082391B">
        <w:rPr>
          <w:lang w:val="en-US"/>
        </w:rPr>
        <w:t xml:space="preserve"> is a relational quality that has received a fair amount of </w:t>
      </w:r>
      <w:r w:rsidR="00D3188F">
        <w:rPr>
          <w:lang w:val="en-US"/>
        </w:rPr>
        <w:t xml:space="preserve">attention in care ethics (Noddings, 2013) and educational philosophy </w:t>
      </w:r>
      <w:r w:rsidR="004A5213">
        <w:rPr>
          <w:lang w:val="en-US"/>
        </w:rPr>
        <w:t xml:space="preserve">and theory </w:t>
      </w:r>
      <w:r w:rsidR="00D3188F">
        <w:rPr>
          <w:lang w:val="en-US"/>
        </w:rPr>
        <w:t>more broadly (Sidorkin, 2023</w:t>
      </w:r>
      <w:r w:rsidR="00E3227B">
        <w:rPr>
          <w:lang w:val="en-US"/>
        </w:rPr>
        <w:t xml:space="preserve">; </w:t>
      </w:r>
      <w:r w:rsidR="004A5213" w:rsidRPr="004A5213">
        <w:rPr>
          <w:lang w:val="en-US"/>
        </w:rPr>
        <w:t>Hammond, 2015</w:t>
      </w:r>
      <w:r w:rsidR="004A5213">
        <w:rPr>
          <w:lang w:val="en-US"/>
        </w:rPr>
        <w:t xml:space="preserve">; </w:t>
      </w:r>
      <w:r w:rsidR="00134D8F" w:rsidRPr="00134D8F">
        <w:rPr>
          <w:lang w:val="en-US"/>
        </w:rPr>
        <w:t>Saavedra</w:t>
      </w:r>
      <w:r w:rsidR="00134D8F">
        <w:rPr>
          <w:lang w:val="en-US"/>
        </w:rPr>
        <w:t>, 2021</w:t>
      </w:r>
      <w:r w:rsidR="00D3188F">
        <w:rPr>
          <w:lang w:val="en-US"/>
        </w:rPr>
        <w:t>)</w:t>
      </w:r>
      <w:r w:rsidR="00647E86">
        <w:rPr>
          <w:lang w:val="en-US"/>
        </w:rPr>
        <w:t xml:space="preserve">. </w:t>
      </w:r>
      <w:r w:rsidR="002E1795">
        <w:rPr>
          <w:lang w:val="en-US"/>
        </w:rPr>
        <w:t xml:space="preserve">As Noddings puts it, </w:t>
      </w:r>
      <w:r w:rsidR="00BE1126">
        <w:rPr>
          <w:lang w:val="en-US"/>
        </w:rPr>
        <w:t>it “</w:t>
      </w:r>
      <w:r w:rsidR="00BE1126" w:rsidRPr="00BE1126">
        <w:rPr>
          <w:i/>
          <w:iCs/>
          <w:lang w:val="en-US"/>
        </w:rPr>
        <w:t>matters whether or not students like their teachers and teachers like their students</w:t>
      </w:r>
      <w:r w:rsidR="00BE1126" w:rsidRPr="00BE1126">
        <w:rPr>
          <w:lang w:val="en-US"/>
        </w:rPr>
        <w:t>”</w:t>
      </w:r>
      <w:r w:rsidR="00F86CAE">
        <w:rPr>
          <w:lang w:val="en-US"/>
        </w:rPr>
        <w:t xml:space="preserve"> (</w:t>
      </w:r>
      <w:r w:rsidR="002000D2">
        <w:rPr>
          <w:lang w:val="en-US"/>
        </w:rPr>
        <w:t xml:space="preserve">Noddings, </w:t>
      </w:r>
      <w:r w:rsidR="00F86CAE" w:rsidRPr="00F86CAE">
        <w:rPr>
          <w:lang w:val="en-US"/>
        </w:rPr>
        <w:t>2002</w:t>
      </w:r>
      <w:r w:rsidR="00A541E3">
        <w:rPr>
          <w:lang w:val="en-US"/>
        </w:rPr>
        <w:t>, p.</w:t>
      </w:r>
      <w:r w:rsidR="00F86CAE" w:rsidRPr="00F86CAE">
        <w:rPr>
          <w:lang w:val="en-US"/>
        </w:rPr>
        <w:t xml:space="preserve"> 144</w:t>
      </w:r>
      <w:r w:rsidR="00F86CAE">
        <w:rPr>
          <w:lang w:val="en-US"/>
        </w:rPr>
        <w:t>). Mutual affection plays a</w:t>
      </w:r>
      <w:r w:rsidR="00E1343B">
        <w:rPr>
          <w:lang w:val="en-US"/>
        </w:rPr>
        <w:t xml:space="preserve">n important role in sustaining everyone’s motivation to keep working together. </w:t>
      </w:r>
      <w:r w:rsidR="0066514A">
        <w:rPr>
          <w:lang w:val="en-US"/>
        </w:rPr>
        <w:t>In the context of dialogue, it</w:t>
      </w:r>
      <w:r w:rsidR="009169A9">
        <w:rPr>
          <w:lang w:val="en-US"/>
        </w:rPr>
        <w:t xml:space="preserve">s most straightforward role is </w:t>
      </w:r>
      <w:r w:rsidR="00D14A10">
        <w:rPr>
          <w:lang w:val="en-US"/>
        </w:rPr>
        <w:t>as an antidote to emotional barriers</w:t>
      </w:r>
      <w:r w:rsidR="00071994">
        <w:rPr>
          <w:lang w:val="en-US"/>
        </w:rPr>
        <w:t xml:space="preserve">. </w:t>
      </w:r>
      <w:r w:rsidR="00A4155D" w:rsidRPr="00A3101F">
        <w:rPr>
          <w:lang w:val="en-US"/>
        </w:rPr>
        <w:t xml:space="preserve">Affection </w:t>
      </w:r>
      <w:r w:rsidR="001E76B7">
        <w:rPr>
          <w:lang w:val="en-US"/>
        </w:rPr>
        <w:t>provides safety to be unsettled</w:t>
      </w:r>
      <w:r w:rsidR="00A4155D" w:rsidRPr="00A3101F">
        <w:rPr>
          <w:lang w:val="en-US"/>
        </w:rPr>
        <w:t>, so students can risk self-disclosure and revision</w:t>
      </w:r>
      <w:r w:rsidR="00D167A1">
        <w:rPr>
          <w:lang w:val="en-US"/>
        </w:rPr>
        <w:t xml:space="preserve">; </w:t>
      </w:r>
      <w:r w:rsidR="00730EA5">
        <w:rPr>
          <w:lang w:val="en-US"/>
        </w:rPr>
        <w:t>it acts as a counter-</w:t>
      </w:r>
      <w:r w:rsidR="001A141E">
        <w:rPr>
          <w:lang w:val="en-US"/>
        </w:rPr>
        <w:t>climate</w:t>
      </w:r>
      <w:r w:rsidR="00730EA5">
        <w:rPr>
          <w:lang w:val="en-US"/>
        </w:rPr>
        <w:t xml:space="preserve"> to fear</w:t>
      </w:r>
      <w:r w:rsidR="00B01170">
        <w:rPr>
          <w:lang w:val="en-US"/>
        </w:rPr>
        <w:t xml:space="preserve">, </w:t>
      </w:r>
      <w:r w:rsidR="00DD2DE2" w:rsidRPr="000873B4">
        <w:rPr>
          <w:lang w:val="en-US"/>
        </w:rPr>
        <w:t>reducing defensive arousal</w:t>
      </w:r>
      <w:r w:rsidR="00DD2DE2">
        <w:rPr>
          <w:lang w:val="en-US"/>
        </w:rPr>
        <w:t xml:space="preserve"> </w:t>
      </w:r>
      <w:r w:rsidR="0005348B">
        <w:rPr>
          <w:lang w:val="en-US"/>
        </w:rPr>
        <w:t xml:space="preserve">so that students don’t have to </w:t>
      </w:r>
      <w:r w:rsidR="004207C6">
        <w:rPr>
          <w:lang w:val="en-US"/>
        </w:rPr>
        <w:t xml:space="preserve">prioritize </w:t>
      </w:r>
      <w:r w:rsidR="004207C6" w:rsidRPr="00C66086">
        <w:rPr>
          <w:lang w:val="en-US"/>
        </w:rPr>
        <w:t>protecting the self</w:t>
      </w:r>
      <w:r w:rsidR="00C66086" w:rsidRPr="00C66086">
        <w:rPr>
          <w:lang w:val="en-US"/>
        </w:rPr>
        <w:t>. It also functions as a motivational ballast, sustaining the desire to stay in difficult exchanges beyond the first jolt of conflict.</w:t>
      </w:r>
      <w:r w:rsidR="00C66086">
        <w:rPr>
          <w:lang w:val="en-US"/>
        </w:rPr>
        <w:t xml:space="preserve"> </w:t>
      </w:r>
      <w:r w:rsidR="00621A8A" w:rsidRPr="00621A8A">
        <w:rPr>
          <w:lang w:val="en-US"/>
        </w:rPr>
        <w:t xml:space="preserve">Affection </w:t>
      </w:r>
      <w:r w:rsidR="00855739">
        <w:rPr>
          <w:lang w:val="en-US"/>
        </w:rPr>
        <w:t xml:space="preserve">then </w:t>
      </w:r>
      <w:r w:rsidR="00621A8A" w:rsidRPr="00621A8A">
        <w:rPr>
          <w:lang w:val="en-US"/>
        </w:rPr>
        <w:t>undermines semantic barriers by fostering trust and charitable interpretation</w:t>
      </w:r>
      <w:r w:rsidR="006D7441">
        <w:rPr>
          <w:lang w:val="en-US"/>
        </w:rPr>
        <w:t xml:space="preserve">. </w:t>
      </w:r>
      <w:r w:rsidR="003F41D4">
        <w:rPr>
          <w:lang w:val="en-US"/>
        </w:rPr>
        <w:t>F</w:t>
      </w:r>
      <w:r w:rsidR="00094186">
        <w:rPr>
          <w:lang w:val="en-US"/>
        </w:rPr>
        <w:t xml:space="preserve">riendly feelings beget trust, which </w:t>
      </w:r>
      <w:r w:rsidR="009B54CA">
        <w:rPr>
          <w:lang w:val="en-US"/>
        </w:rPr>
        <w:t xml:space="preserve">widens the semantic field by </w:t>
      </w:r>
      <w:r w:rsidR="001112D6" w:rsidRPr="001112D6">
        <w:rPr>
          <w:lang w:val="en-US"/>
        </w:rPr>
        <w:t>reducing the need to enforce a fixed identity and softening the “us/them” edge</w:t>
      </w:r>
      <w:r w:rsidR="00A3260A">
        <w:rPr>
          <w:lang w:val="en-US"/>
        </w:rPr>
        <w:t xml:space="preserve"> through humanization</w:t>
      </w:r>
      <w:r w:rsidR="007915B0">
        <w:rPr>
          <w:lang w:val="en-US"/>
        </w:rPr>
        <w:t xml:space="preserve">. </w:t>
      </w:r>
      <w:r w:rsidR="00CB1A5F" w:rsidRPr="00653C49">
        <w:rPr>
          <w:lang w:val="en-US"/>
        </w:rPr>
        <w:t>Affection also helps undercut institutional barriers</w:t>
      </w:r>
      <w:r w:rsidR="0070562D">
        <w:rPr>
          <w:lang w:val="en-US"/>
        </w:rPr>
        <w:t xml:space="preserve">. First, it </w:t>
      </w:r>
      <w:r w:rsidR="00653C49">
        <w:rPr>
          <w:lang w:val="en-US"/>
        </w:rPr>
        <w:t xml:space="preserve">may </w:t>
      </w:r>
      <w:r w:rsidR="0070562D">
        <w:rPr>
          <w:lang w:val="en-US"/>
        </w:rPr>
        <w:t xml:space="preserve">anchor dialogical postures as </w:t>
      </w:r>
      <w:r w:rsidR="0070562D" w:rsidRPr="00811215">
        <w:rPr>
          <w:i/>
          <w:iCs/>
          <w:lang w:val="en-US"/>
        </w:rPr>
        <w:t>habits</w:t>
      </w:r>
      <w:r w:rsidR="0070562D">
        <w:rPr>
          <w:lang w:val="en-US"/>
        </w:rPr>
        <w:t xml:space="preserve"> that transfer beyond the </w:t>
      </w:r>
      <w:r w:rsidR="00BB7FC7">
        <w:rPr>
          <w:lang w:val="en-US"/>
        </w:rPr>
        <w:t>classroom session</w:t>
      </w:r>
      <w:r w:rsidR="000317A6">
        <w:rPr>
          <w:lang w:val="en-US"/>
        </w:rPr>
        <w:t xml:space="preserve"> </w:t>
      </w:r>
      <w:r w:rsidR="005C39F9">
        <w:rPr>
          <w:lang w:val="en-US"/>
        </w:rPr>
        <w:t xml:space="preserve">by nurturing feelings of belonging and connection with the teacher and group. Second, </w:t>
      </w:r>
      <w:r w:rsidR="00FA08B0">
        <w:rPr>
          <w:lang w:val="en-US"/>
        </w:rPr>
        <w:t xml:space="preserve">it may help </w:t>
      </w:r>
      <w:r w:rsidR="00D32A13" w:rsidRPr="00D32A13">
        <w:rPr>
          <w:lang w:val="en-US"/>
        </w:rPr>
        <w:t xml:space="preserve">counteract performance pressure </w:t>
      </w:r>
      <w:r w:rsidR="00FA08B0">
        <w:rPr>
          <w:lang w:val="en-US"/>
        </w:rPr>
        <w:t xml:space="preserve">in </w:t>
      </w:r>
      <w:r w:rsidR="007423DB">
        <w:rPr>
          <w:lang w:val="en-US"/>
        </w:rPr>
        <w:t>graded contexts</w:t>
      </w:r>
      <w:r w:rsidR="00110318">
        <w:rPr>
          <w:lang w:val="en-US"/>
        </w:rPr>
        <w:t xml:space="preserve"> by shifting the perceived point of the activity to </w:t>
      </w:r>
      <w:r w:rsidR="00D242DA">
        <w:rPr>
          <w:lang w:val="en-US"/>
        </w:rPr>
        <w:t>‘</w:t>
      </w:r>
      <w:r w:rsidR="00D242DA" w:rsidRPr="00A3101F">
        <w:rPr>
          <w:lang w:val="en-US"/>
        </w:rPr>
        <w:t>being understood by people who matter to me</w:t>
      </w:r>
      <w:r w:rsidR="00D242DA">
        <w:rPr>
          <w:lang w:val="en-US"/>
        </w:rPr>
        <w:t xml:space="preserve">’. </w:t>
      </w:r>
      <w:r w:rsidR="00E653A3" w:rsidRPr="00E653A3">
        <w:rPr>
          <w:lang w:val="en-US"/>
        </w:rPr>
        <w:t>As Nussbaum (2013) suggests, compassion and love sustain democratic practices by rooting receptivity in emotion rather than pure reason</w:t>
      </w:r>
      <w:r w:rsidR="00E653A3">
        <w:rPr>
          <w:lang w:val="en-US"/>
        </w:rPr>
        <w:t xml:space="preserve">, </w:t>
      </w:r>
      <w:r w:rsidR="00E653A3" w:rsidRPr="00E653A3">
        <w:rPr>
          <w:lang w:val="en-US"/>
        </w:rPr>
        <w:t>grounding openness in durable, affective soil.</w:t>
      </w:r>
      <w:r w:rsidR="00E653A3">
        <w:rPr>
          <w:lang w:val="en-US"/>
        </w:rPr>
        <w:t xml:space="preserve"> </w:t>
      </w:r>
      <w:r w:rsidR="00E653A3" w:rsidRPr="00E653A3">
        <w:rPr>
          <w:lang w:val="en-US"/>
        </w:rPr>
        <w:t>Affection, in this sense, is not</w:t>
      </w:r>
      <w:r w:rsidR="00A263CD">
        <w:rPr>
          <w:lang w:val="en-US"/>
        </w:rPr>
        <w:t xml:space="preserve"> </w:t>
      </w:r>
      <w:r w:rsidR="00E653A3" w:rsidRPr="00E653A3">
        <w:rPr>
          <w:lang w:val="en-US"/>
        </w:rPr>
        <w:t>sentimentality</w:t>
      </w:r>
      <w:r w:rsidR="00E653A3">
        <w:rPr>
          <w:lang w:val="en-US"/>
        </w:rPr>
        <w:t xml:space="preserve"> – </w:t>
      </w:r>
      <w:r w:rsidR="00E653A3" w:rsidRPr="00E653A3">
        <w:rPr>
          <w:lang w:val="en-US"/>
        </w:rPr>
        <w:t>it’s the relational glue of belonging that makes democratic habits stick.</w:t>
      </w:r>
      <w:r w:rsidR="00C94F60">
        <w:rPr>
          <w:lang w:val="en-US"/>
        </w:rPr>
        <w:t xml:space="preserve"> </w:t>
      </w:r>
      <w:r w:rsidR="00C94F60" w:rsidRPr="00C94F60">
        <w:rPr>
          <w:lang w:val="en-US"/>
        </w:rPr>
        <w:t>Yet affection alone cannot uphold shared norms or protect meaning when conflict intensifies</w:t>
      </w:r>
      <w:r w:rsidR="00C94F60">
        <w:rPr>
          <w:lang w:val="en-US"/>
        </w:rPr>
        <w:t xml:space="preserve">; </w:t>
      </w:r>
      <w:r w:rsidR="00C94F60" w:rsidRPr="00C94F60">
        <w:rPr>
          <w:lang w:val="en-US"/>
        </w:rPr>
        <w:t>this is where authority plays a crucial role.</w:t>
      </w:r>
    </w:p>
    <w:p w14:paraId="6C33EEFE" w14:textId="663FD145" w:rsidR="00BC562E" w:rsidRDefault="00C70BBC" w:rsidP="000D7EC0">
      <w:pPr>
        <w:jc w:val="both"/>
        <w:rPr>
          <w:lang w:val="en-US"/>
        </w:rPr>
      </w:pPr>
      <w:commentRangeStart w:id="0"/>
      <w:r w:rsidRPr="00C70BBC">
        <w:rPr>
          <w:lang w:val="en-US"/>
        </w:rPr>
        <w:t>Authority, in relational terms (Bingham, 2008), involves legitimate norm-guidance exercised through steady, fair guardianship.</w:t>
      </w:r>
      <w:r>
        <w:rPr>
          <w:lang w:val="en-US"/>
        </w:rPr>
        <w:t xml:space="preserve"> </w:t>
      </w:r>
      <w:r w:rsidR="00BC562E" w:rsidRPr="00BC562E">
        <w:rPr>
          <w:lang w:val="en-US"/>
        </w:rPr>
        <w:t>As Fisher argues, ground rules are a crucial condition of dialogical success: they “need to be made explicit if children are to internalize them as habits of behaviour when in discussion with others” (Fisher</w:t>
      </w:r>
      <w:r w:rsidR="00EF0AEC">
        <w:rPr>
          <w:lang w:val="en-US"/>
        </w:rPr>
        <w:t>,</w:t>
      </w:r>
      <w:r w:rsidR="00BC562E" w:rsidRPr="00BC562E">
        <w:rPr>
          <w:lang w:val="en-US"/>
        </w:rPr>
        <w:t xml:space="preserve"> 2007</w:t>
      </w:r>
      <w:r w:rsidR="00033D1E">
        <w:rPr>
          <w:lang w:val="en-US"/>
        </w:rPr>
        <w:t>, p.</w:t>
      </w:r>
      <w:r w:rsidR="00BC562E" w:rsidRPr="00BC562E">
        <w:rPr>
          <w:lang w:val="en-US"/>
        </w:rPr>
        <w:t xml:space="preserve"> 621), and they must then be upheld by a recognized authority if they are to carry real weight. </w:t>
      </w:r>
      <w:r w:rsidR="00FF3704" w:rsidRPr="00FF3704">
        <w:rPr>
          <w:lang w:val="en-US"/>
        </w:rPr>
        <w:t>When participants</w:t>
      </w:r>
      <w:r w:rsidR="00FF3704">
        <w:rPr>
          <w:lang w:val="en-US"/>
        </w:rPr>
        <w:t xml:space="preserve"> (</w:t>
      </w:r>
      <w:r w:rsidR="00FF3704" w:rsidRPr="00FF3704">
        <w:rPr>
          <w:lang w:val="en-US"/>
        </w:rPr>
        <w:t>including the teacher</w:t>
      </w:r>
      <w:r w:rsidR="00FF3704">
        <w:rPr>
          <w:lang w:val="en-US"/>
        </w:rPr>
        <w:t xml:space="preserve">) </w:t>
      </w:r>
      <w:r w:rsidR="00FF3704" w:rsidRPr="00FF3704">
        <w:rPr>
          <w:lang w:val="en-US"/>
        </w:rPr>
        <w:t>jointly recognize and respect the rules of engagement, purposeful safeguards against semantic barriers can be established. For instance, one might require public reasons and charitable uptake prior to contestation.</w:t>
      </w:r>
      <w:r w:rsidR="00083D30">
        <w:rPr>
          <w:lang w:val="en-US"/>
        </w:rPr>
        <w:t xml:space="preserve"> </w:t>
      </w:r>
      <w:r w:rsidR="003C62A6" w:rsidRPr="003C62A6">
        <w:rPr>
          <w:lang w:val="en-US"/>
        </w:rPr>
        <w:t>When</w:t>
      </w:r>
      <w:r w:rsidR="00083D30">
        <w:rPr>
          <w:lang w:val="en-US"/>
        </w:rPr>
        <w:t xml:space="preserve"> </w:t>
      </w:r>
      <w:r w:rsidR="003C62A6" w:rsidRPr="003C62A6">
        <w:rPr>
          <w:lang w:val="en-US"/>
        </w:rPr>
        <w:t>exercised with dialogical awareness, authority can temper the impulse to slot others’ words into ready-made identity frames by legitimizing clarification (“What exactly is meant by X?”) and supporting challenges to dominant reframings that might distort a speaker’s intent. In this way, it helps preserve the semantic integrity of less powerful voices, allowing their claims to be considered rather than dismissed</w:t>
      </w:r>
      <w:r w:rsidR="005B7901">
        <w:rPr>
          <w:lang w:val="en-US"/>
        </w:rPr>
        <w:t xml:space="preserve"> ahead of time</w:t>
      </w:r>
      <w:r w:rsidR="003C62A6" w:rsidRPr="003C62A6">
        <w:rPr>
          <w:lang w:val="en-US"/>
        </w:rPr>
        <w:t>.</w:t>
      </w:r>
      <w:r w:rsidR="004152AF">
        <w:rPr>
          <w:lang w:val="en-US"/>
        </w:rPr>
        <w:t xml:space="preserve"> P</w:t>
      </w:r>
      <w:r w:rsidR="002950DC">
        <w:rPr>
          <w:lang w:val="en-US"/>
        </w:rPr>
        <w:t xml:space="preserve">reexisting </w:t>
      </w:r>
      <w:r w:rsidR="00187A18">
        <w:rPr>
          <w:lang w:val="en-US"/>
        </w:rPr>
        <w:t xml:space="preserve">power dynamics reproduce themselves in dialogue </w:t>
      </w:r>
      <w:r w:rsidR="001B0ABC">
        <w:rPr>
          <w:lang w:val="en-US"/>
        </w:rPr>
        <w:t>(Burgh &amp; Yorshansky</w:t>
      </w:r>
      <w:r w:rsidR="00957F68">
        <w:rPr>
          <w:lang w:val="en-US"/>
        </w:rPr>
        <w:t>,</w:t>
      </w:r>
      <w:r w:rsidR="001B0ABC">
        <w:rPr>
          <w:lang w:val="en-US"/>
        </w:rPr>
        <w:t xml:space="preserve"> </w:t>
      </w:r>
      <w:r w:rsidR="00957F68">
        <w:rPr>
          <w:lang w:val="en-US"/>
        </w:rPr>
        <w:t>2011; D’Olimpio</w:t>
      </w:r>
      <w:r w:rsidR="00871DD6">
        <w:rPr>
          <w:lang w:val="en-US"/>
        </w:rPr>
        <w:t>,</w:t>
      </w:r>
      <w:r w:rsidR="00957F68">
        <w:rPr>
          <w:lang w:val="en-US"/>
        </w:rPr>
        <w:t xml:space="preserve"> </w:t>
      </w:r>
      <w:r w:rsidR="00957F68" w:rsidRPr="004E34B4">
        <w:rPr>
          <w:lang w:val="en-US"/>
        </w:rPr>
        <w:t>202</w:t>
      </w:r>
      <w:r w:rsidR="004E34B4" w:rsidRPr="004E34B4">
        <w:rPr>
          <w:lang w:val="en-US"/>
        </w:rPr>
        <w:t>4</w:t>
      </w:r>
      <w:r w:rsidR="00957F68">
        <w:rPr>
          <w:lang w:val="en-US"/>
        </w:rPr>
        <w:t>)</w:t>
      </w:r>
      <w:r w:rsidR="00383324">
        <w:rPr>
          <w:lang w:val="en-US"/>
        </w:rPr>
        <w:t xml:space="preserve">, </w:t>
      </w:r>
      <w:r w:rsidR="00903C66" w:rsidRPr="00903C66">
        <w:rPr>
          <w:lang w:val="en-US"/>
        </w:rPr>
        <w:t>shap</w:t>
      </w:r>
      <w:r w:rsidR="00903C66">
        <w:rPr>
          <w:lang w:val="en-US"/>
        </w:rPr>
        <w:t>ing</w:t>
      </w:r>
      <w:r w:rsidR="00903C66" w:rsidRPr="00903C66">
        <w:rPr>
          <w:lang w:val="en-US"/>
        </w:rPr>
        <w:t xml:space="preserve"> who speaks</w:t>
      </w:r>
      <w:r w:rsidR="00903C66">
        <w:rPr>
          <w:lang w:val="en-US"/>
        </w:rPr>
        <w:t xml:space="preserve"> and</w:t>
      </w:r>
      <w:r w:rsidR="00903C66" w:rsidRPr="00903C66">
        <w:rPr>
          <w:lang w:val="en-US"/>
        </w:rPr>
        <w:t xml:space="preserve"> who is heard</w:t>
      </w:r>
      <w:r w:rsidR="00903C66">
        <w:rPr>
          <w:lang w:val="en-US"/>
        </w:rPr>
        <w:t xml:space="preserve">, thus </w:t>
      </w:r>
      <w:r w:rsidR="008A5069">
        <w:rPr>
          <w:lang w:val="en-US"/>
        </w:rPr>
        <w:t xml:space="preserve">posing a </w:t>
      </w:r>
      <w:r w:rsidR="00053ABE">
        <w:rPr>
          <w:lang w:val="en-US"/>
        </w:rPr>
        <w:t>risk</w:t>
      </w:r>
      <w:r w:rsidR="008A5069">
        <w:rPr>
          <w:lang w:val="en-US"/>
        </w:rPr>
        <w:t xml:space="preserve"> of epistemic </w:t>
      </w:r>
      <w:r w:rsidR="008A5069" w:rsidRPr="00927EDA">
        <w:rPr>
          <w:lang w:val="en-US"/>
        </w:rPr>
        <w:t xml:space="preserve">injustice (Fricker, </w:t>
      </w:r>
      <w:r w:rsidR="009E6721" w:rsidRPr="00927EDA">
        <w:rPr>
          <w:lang w:val="en-US"/>
        </w:rPr>
        <w:t>2007</w:t>
      </w:r>
      <w:r w:rsidR="008A5069">
        <w:rPr>
          <w:lang w:val="en-US"/>
        </w:rPr>
        <w:t>) that must be guarded against.</w:t>
      </w:r>
      <w:r w:rsidR="00903C66">
        <w:rPr>
          <w:lang w:val="en-US"/>
        </w:rPr>
        <w:t xml:space="preserve"> </w:t>
      </w:r>
      <w:r w:rsidR="00BC562E" w:rsidRPr="00BC562E">
        <w:rPr>
          <w:lang w:val="en-US"/>
        </w:rPr>
        <w:t>Emotionally, predictable authority contains escalation, holding the space when conflict rises so that passion fuels agonism rather than antagonism (Mouffe</w:t>
      </w:r>
      <w:r w:rsidR="00EF0AEC">
        <w:rPr>
          <w:lang w:val="en-US"/>
        </w:rPr>
        <w:t>,</w:t>
      </w:r>
      <w:r w:rsidR="00BC562E" w:rsidRPr="00BC562E">
        <w:rPr>
          <w:lang w:val="en-US"/>
        </w:rPr>
        <w:t xml:space="preserve"> 2000)</w:t>
      </w:r>
      <w:r w:rsidR="00B3046A">
        <w:rPr>
          <w:lang w:val="en-US"/>
        </w:rPr>
        <w:t>. I</w:t>
      </w:r>
      <w:r w:rsidR="00FA502D">
        <w:rPr>
          <w:lang w:val="en-US"/>
        </w:rPr>
        <w:t>ndeed,</w:t>
      </w:r>
      <w:r w:rsidR="000077F2">
        <w:rPr>
          <w:lang w:val="en-US"/>
        </w:rPr>
        <w:t xml:space="preserve"> the</w:t>
      </w:r>
      <w:r w:rsidR="00FA502D">
        <w:rPr>
          <w:lang w:val="en-US"/>
        </w:rPr>
        <w:t xml:space="preserve"> </w:t>
      </w:r>
      <w:r w:rsidR="00FA502D" w:rsidRPr="00BB1794">
        <w:rPr>
          <w:lang w:val="en-US"/>
        </w:rPr>
        <w:t>ultimate value of this a</w:t>
      </w:r>
      <w:r w:rsidR="00FA502D">
        <w:rPr>
          <w:lang w:val="en-US"/>
        </w:rPr>
        <w:t xml:space="preserve">gonism </w:t>
      </w:r>
      <w:r w:rsidR="000077F2">
        <w:rPr>
          <w:lang w:val="en-US"/>
        </w:rPr>
        <w:t>depends on</w:t>
      </w:r>
      <w:r w:rsidR="00FA502D">
        <w:rPr>
          <w:lang w:val="en-US"/>
        </w:rPr>
        <w:t xml:space="preserve"> “</w:t>
      </w:r>
      <w:r w:rsidR="00FA502D" w:rsidRPr="00DF63A3">
        <w:rPr>
          <w:lang w:val="en-US"/>
        </w:rPr>
        <w:t>students’ adherence to the core principles and values of democratic society</w:t>
      </w:r>
      <w:r w:rsidR="00FA502D">
        <w:rPr>
          <w:lang w:val="en-US"/>
        </w:rPr>
        <w:t>” (</w:t>
      </w:r>
      <w:r w:rsidR="004E7075" w:rsidRPr="00BB1794">
        <w:rPr>
          <w:lang w:val="en-US"/>
        </w:rPr>
        <w:t>Leiviskä</w:t>
      </w:r>
      <w:r w:rsidR="004E7075">
        <w:rPr>
          <w:lang w:val="en-US"/>
        </w:rPr>
        <w:t>, 2019</w:t>
      </w:r>
      <w:r w:rsidR="00C95C04">
        <w:rPr>
          <w:lang w:val="en-US"/>
        </w:rPr>
        <w:t xml:space="preserve">, p. </w:t>
      </w:r>
      <w:r w:rsidR="00FA502D">
        <w:rPr>
          <w:lang w:val="en-US"/>
        </w:rPr>
        <w:t>508)</w:t>
      </w:r>
      <w:r w:rsidR="00AD3C7F">
        <w:rPr>
          <w:lang w:val="en-US"/>
        </w:rPr>
        <w:t>,</w:t>
      </w:r>
      <w:r w:rsidR="008279BB" w:rsidRPr="008279BB">
        <w:rPr>
          <w:lang w:val="en-US"/>
        </w:rPr>
        <w:t xml:space="preserve"> and authority plays a key role in cultivating respect for those norms.</w:t>
      </w:r>
      <w:r w:rsidR="00BC562E" w:rsidRPr="00BC562E">
        <w:rPr>
          <w:lang w:val="en-US"/>
        </w:rPr>
        <w:t xml:space="preserve"> It</w:t>
      </w:r>
      <w:r w:rsidR="00847E59">
        <w:rPr>
          <w:lang w:val="en-US"/>
        </w:rPr>
        <w:t xml:space="preserve"> may</w:t>
      </w:r>
      <w:r w:rsidR="00BC562E" w:rsidRPr="00BC562E">
        <w:rPr>
          <w:lang w:val="en-US"/>
        </w:rPr>
        <w:t xml:space="preserve"> further lower the price of changing one’s mind by normalizing revision as an ordinary move rather than a loss of face. Institutionally, under </w:t>
      </w:r>
      <w:r w:rsidR="00BC562E" w:rsidRPr="00BC562E">
        <w:rPr>
          <w:lang w:val="en-US"/>
        </w:rPr>
        <w:lastRenderedPageBreak/>
        <w:t xml:space="preserve">pressures toward lip-service and grade-chasing, </w:t>
      </w:r>
      <w:r w:rsidR="0070597A">
        <w:rPr>
          <w:lang w:val="en-US"/>
        </w:rPr>
        <w:t>steady norm-guidance</w:t>
      </w:r>
      <w:r w:rsidR="00BC562E" w:rsidRPr="00BC562E">
        <w:rPr>
          <w:lang w:val="en-US"/>
        </w:rPr>
        <w:t xml:space="preserve"> keeps the point of dialogue in view (inquiry over display), aligning participation with learning rather than performance. In short, authority sets the epistemic terms of uptake</w:t>
      </w:r>
      <w:r w:rsidR="00BA1CB6">
        <w:rPr>
          <w:lang w:val="en-US"/>
        </w:rPr>
        <w:t xml:space="preserve"> (Sprod</w:t>
      </w:r>
      <w:r w:rsidR="00BC562E" w:rsidRPr="00BC562E">
        <w:rPr>
          <w:lang w:val="en-US"/>
        </w:rPr>
        <w:t>,</w:t>
      </w:r>
      <w:r w:rsidR="00EF16B9">
        <w:rPr>
          <w:lang w:val="en-US"/>
        </w:rPr>
        <w:t xml:space="preserve"> </w:t>
      </w:r>
      <w:r w:rsidR="00655ACC">
        <w:rPr>
          <w:lang w:val="en-US"/>
        </w:rPr>
        <w:t>2001</w:t>
      </w:r>
      <w:r w:rsidR="00A541E3">
        <w:rPr>
          <w:lang w:val="en-US"/>
        </w:rPr>
        <w:t xml:space="preserve">, p. </w:t>
      </w:r>
      <w:r w:rsidR="00F01C6E">
        <w:rPr>
          <w:lang w:val="en-US"/>
        </w:rPr>
        <w:t>160)</w:t>
      </w:r>
      <w:r w:rsidR="00D463E5">
        <w:rPr>
          <w:lang w:val="en-US"/>
        </w:rPr>
        <w:t>,</w:t>
      </w:r>
      <w:r w:rsidR="00BC562E" w:rsidRPr="00BC562E">
        <w:rPr>
          <w:lang w:val="en-US"/>
        </w:rPr>
        <w:t xml:space="preserve"> guards the emotional climate, and protects the activity’s purpose, so conflict can educate rather than ossify.</w:t>
      </w:r>
      <w:r w:rsidR="009F6173">
        <w:rPr>
          <w:lang w:val="en-US"/>
        </w:rPr>
        <w:t xml:space="preserve"> </w:t>
      </w:r>
      <w:r w:rsidR="009F6173" w:rsidRPr="009F6173">
        <w:rPr>
          <w:lang w:val="en-US"/>
        </w:rPr>
        <w:t>But dialogue also depends on how meanings are held</w:t>
      </w:r>
      <w:r w:rsidR="009F6173">
        <w:rPr>
          <w:lang w:val="en-US"/>
        </w:rPr>
        <w:t xml:space="preserve">, </w:t>
      </w:r>
      <w:r w:rsidR="009F6173" w:rsidRPr="009F6173">
        <w:rPr>
          <w:lang w:val="en-US"/>
        </w:rPr>
        <w:t>not just what norms are enforced. This is where attentiveness comes in.</w:t>
      </w:r>
      <w:commentRangeEnd w:id="0"/>
      <w:r w:rsidR="00D05C0C">
        <w:rPr>
          <w:rStyle w:val="CommentReference"/>
          <w:sz w:val="22"/>
          <w:szCs w:val="22"/>
          <w:lang w:val="en-US"/>
        </w:rPr>
        <w:commentReference w:id="0"/>
      </w:r>
    </w:p>
    <w:p w14:paraId="147CC619" w14:textId="7060C4BE" w:rsidR="000E437E" w:rsidRPr="00410B55" w:rsidRDefault="00A83B8A" w:rsidP="00A2645D">
      <w:pPr>
        <w:jc w:val="both"/>
        <w:rPr>
          <w:lang w:val="en-US"/>
        </w:rPr>
      </w:pPr>
      <w:r>
        <w:rPr>
          <w:lang w:val="en-US"/>
        </w:rPr>
        <w:t>Attentiveness</w:t>
      </w:r>
      <w:r w:rsidR="00F14D25">
        <w:rPr>
          <w:lang w:val="en-US"/>
        </w:rPr>
        <w:t xml:space="preserve">, as a relational quality, involves </w:t>
      </w:r>
      <w:r w:rsidR="00222705" w:rsidRPr="00222705">
        <w:rPr>
          <w:lang w:val="en-US"/>
        </w:rPr>
        <w:t>patient</w:t>
      </w:r>
      <w:r w:rsidR="009B201A">
        <w:rPr>
          <w:lang w:val="en-US"/>
        </w:rPr>
        <w:t>ly and collectively</w:t>
      </w:r>
      <w:r w:rsidR="00222705" w:rsidRPr="00222705">
        <w:rPr>
          <w:lang w:val="en-US"/>
        </w:rPr>
        <w:t xml:space="preserve"> </w:t>
      </w:r>
      <w:r w:rsidR="009B201A" w:rsidRPr="00222705">
        <w:rPr>
          <w:lang w:val="en-US"/>
        </w:rPr>
        <w:t>noticing</w:t>
      </w:r>
      <w:r w:rsidR="007213B6">
        <w:rPr>
          <w:lang w:val="en-US"/>
        </w:rPr>
        <w:t xml:space="preserve"> </w:t>
      </w:r>
      <w:r w:rsidR="007213B6" w:rsidRPr="007213B6">
        <w:rPr>
          <w:lang w:val="en-US"/>
        </w:rPr>
        <w:t xml:space="preserve">not only </w:t>
      </w:r>
      <w:r w:rsidR="007213B6">
        <w:rPr>
          <w:lang w:val="en-US"/>
        </w:rPr>
        <w:t>others’</w:t>
      </w:r>
      <w:r w:rsidR="007213B6" w:rsidRPr="007213B6">
        <w:rPr>
          <w:lang w:val="en-US"/>
        </w:rPr>
        <w:t xml:space="preserve"> words and actions</w:t>
      </w:r>
      <w:r w:rsidR="007213B6">
        <w:rPr>
          <w:lang w:val="en-US"/>
        </w:rPr>
        <w:t>,</w:t>
      </w:r>
      <w:r w:rsidR="007213B6" w:rsidRPr="007213B6">
        <w:rPr>
          <w:lang w:val="en-US"/>
        </w:rPr>
        <w:t xml:space="preserve"> but </w:t>
      </w:r>
      <w:r w:rsidR="007213B6">
        <w:rPr>
          <w:lang w:val="en-US"/>
        </w:rPr>
        <w:t>also</w:t>
      </w:r>
      <w:r w:rsidR="007213B6" w:rsidRPr="007213B6">
        <w:rPr>
          <w:lang w:val="en-US"/>
        </w:rPr>
        <w:t xml:space="preserve"> where they come from</w:t>
      </w:r>
      <w:r w:rsidR="00EB4EE6">
        <w:rPr>
          <w:lang w:val="en-US"/>
        </w:rPr>
        <w:t>.</w:t>
      </w:r>
      <w:r w:rsidR="005C3144">
        <w:rPr>
          <w:lang w:val="en-US"/>
        </w:rPr>
        <w:t xml:space="preserve"> </w:t>
      </w:r>
      <w:r w:rsidR="00894456">
        <w:rPr>
          <w:lang w:val="en-US"/>
        </w:rPr>
        <w:t xml:space="preserve">Attentive relationships </w:t>
      </w:r>
      <w:r w:rsidR="00032D87">
        <w:rPr>
          <w:lang w:val="en-US"/>
        </w:rPr>
        <w:t xml:space="preserve">are built on a stance of </w:t>
      </w:r>
      <w:r w:rsidR="002C54F7" w:rsidRPr="0046553C">
        <w:rPr>
          <w:lang w:val="en-US"/>
        </w:rPr>
        <w:t xml:space="preserve">disciplined, charitable uptake: making </w:t>
      </w:r>
      <w:r w:rsidR="0046553C" w:rsidRPr="0046553C">
        <w:rPr>
          <w:lang w:val="en-US"/>
        </w:rPr>
        <w:t>a</w:t>
      </w:r>
      <w:r w:rsidR="002905DB">
        <w:rPr>
          <w:lang w:val="en-US"/>
        </w:rPr>
        <w:t xml:space="preserve"> </w:t>
      </w:r>
      <w:r w:rsidR="0046553C" w:rsidRPr="0046553C">
        <w:rPr>
          <w:lang w:val="en-US"/>
        </w:rPr>
        <w:t xml:space="preserve">sincere effort to grasp others’ </w:t>
      </w:r>
      <w:r w:rsidR="0046553C" w:rsidRPr="0046553C">
        <w:rPr>
          <w:i/>
          <w:iCs/>
          <w:lang w:val="en-US"/>
        </w:rPr>
        <w:t>intended meaning</w:t>
      </w:r>
      <w:r w:rsidR="002C54F7" w:rsidRPr="0046553C">
        <w:rPr>
          <w:lang w:val="en-US"/>
        </w:rPr>
        <w:t>, treating them as a source of reasons, and keeping one’s own judgment provisionally open</w:t>
      </w:r>
      <w:r w:rsidR="002C54F7">
        <w:rPr>
          <w:lang w:val="en-US"/>
        </w:rPr>
        <w:t xml:space="preserve">. </w:t>
      </w:r>
      <w:r w:rsidR="005C3144">
        <w:rPr>
          <w:lang w:val="en-US"/>
        </w:rPr>
        <w:t>On a very basic level, attention to others is an obvious</w:t>
      </w:r>
      <w:r w:rsidR="00EB4EE6">
        <w:rPr>
          <w:lang w:val="en-US"/>
        </w:rPr>
        <w:t xml:space="preserve"> </w:t>
      </w:r>
      <w:r w:rsidR="001C087A">
        <w:rPr>
          <w:lang w:val="en-US"/>
        </w:rPr>
        <w:t xml:space="preserve">requirement for dialogical success – you can’t be affected by viewpoints you don’t attend to </w:t>
      </w:r>
      <w:r w:rsidR="008A31A0">
        <w:rPr>
          <w:lang w:val="en-US"/>
        </w:rPr>
        <w:t>–</w:t>
      </w:r>
      <w:r w:rsidR="001C087A">
        <w:rPr>
          <w:lang w:val="en-US"/>
        </w:rPr>
        <w:t xml:space="preserve"> </w:t>
      </w:r>
      <w:r w:rsidR="008A31A0">
        <w:rPr>
          <w:lang w:val="en-US"/>
        </w:rPr>
        <w:t xml:space="preserve">but its efficacy </w:t>
      </w:r>
      <w:r w:rsidR="00D703F0">
        <w:rPr>
          <w:lang w:val="en-US"/>
        </w:rPr>
        <w:t xml:space="preserve">is more nuanced than this. </w:t>
      </w:r>
      <w:r w:rsidR="00041869">
        <w:rPr>
          <w:lang w:val="en-US"/>
        </w:rPr>
        <w:t>Semantically, a</w:t>
      </w:r>
      <w:r w:rsidR="004938C6" w:rsidRPr="00B1360B">
        <w:rPr>
          <w:lang w:val="en-US"/>
        </w:rPr>
        <w:t xml:space="preserve">ttentiveness disrupts the rush to slot claims into ready-made categories; it holds </w:t>
      </w:r>
      <w:r w:rsidR="00041869" w:rsidRPr="00041869">
        <w:rPr>
          <w:lang w:val="en-US"/>
        </w:rPr>
        <w:t>others’</w:t>
      </w:r>
      <w:r w:rsidR="004938C6" w:rsidRPr="00041869">
        <w:rPr>
          <w:lang w:val="en-US"/>
        </w:rPr>
        <w:t xml:space="preserve"> meaning</w:t>
      </w:r>
      <w:r w:rsidR="00041869" w:rsidRPr="00041869">
        <w:rPr>
          <w:lang w:val="en-US"/>
        </w:rPr>
        <w:t>s</w:t>
      </w:r>
      <w:r w:rsidR="004938C6" w:rsidRPr="00B1360B">
        <w:rPr>
          <w:lang w:val="en-US"/>
        </w:rPr>
        <w:t xml:space="preserve"> in view long enough to be </w:t>
      </w:r>
      <w:r w:rsidR="00A27E18">
        <w:rPr>
          <w:lang w:val="en-US"/>
        </w:rPr>
        <w:t xml:space="preserve">dialogically </w:t>
      </w:r>
      <w:r w:rsidR="00476A4B" w:rsidRPr="00017BF0">
        <w:rPr>
          <w:lang w:val="en-US"/>
        </w:rPr>
        <w:t>worked through</w:t>
      </w:r>
      <w:r w:rsidR="004938C6" w:rsidRPr="00B1360B">
        <w:rPr>
          <w:lang w:val="en-US"/>
        </w:rPr>
        <w:t>, rather than neutralized by caricature, motive-dumping, or stigma</w:t>
      </w:r>
      <w:r w:rsidR="00701082">
        <w:rPr>
          <w:lang w:val="en-US"/>
        </w:rPr>
        <w:t>.</w:t>
      </w:r>
      <w:r w:rsidR="00586CBB">
        <w:rPr>
          <w:lang w:val="en-US"/>
        </w:rPr>
        <w:t xml:space="preserve"> </w:t>
      </w:r>
      <w:r w:rsidR="00D75790" w:rsidRPr="00D75790">
        <w:rPr>
          <w:lang w:val="en-US"/>
        </w:rPr>
        <w:t>Patient listening lets a group explore the history of a shared perspective, making its non-essential nature salient; noticing how viewpoints emerge from contingent life histories</w:t>
      </w:r>
      <w:r w:rsidR="00D75790">
        <w:rPr>
          <w:lang w:val="en-US"/>
        </w:rPr>
        <w:t xml:space="preserve"> </w:t>
      </w:r>
      <w:r w:rsidR="005B4581">
        <w:rPr>
          <w:lang w:val="en-US"/>
        </w:rPr>
        <w:t xml:space="preserve">reinforces </w:t>
      </w:r>
      <w:r w:rsidR="00931335">
        <w:rPr>
          <w:lang w:val="en-US"/>
        </w:rPr>
        <w:t xml:space="preserve">perception of the self as fundamentally transformable, </w:t>
      </w:r>
      <w:r w:rsidR="006A3255">
        <w:rPr>
          <w:lang w:val="en-US"/>
        </w:rPr>
        <w:t xml:space="preserve">a crucial </w:t>
      </w:r>
      <w:r w:rsidR="0022757B">
        <w:rPr>
          <w:lang w:val="en-US"/>
        </w:rPr>
        <w:t>vector</w:t>
      </w:r>
      <w:r w:rsidR="006A3255">
        <w:rPr>
          <w:lang w:val="en-US"/>
        </w:rPr>
        <w:t xml:space="preserve"> of fallibilism (Holma, </w:t>
      </w:r>
      <w:r w:rsidR="00053076">
        <w:rPr>
          <w:lang w:val="en-US"/>
        </w:rPr>
        <w:t>2012</w:t>
      </w:r>
      <w:r w:rsidR="006A3255">
        <w:rPr>
          <w:lang w:val="en-US"/>
        </w:rPr>
        <w:t>)</w:t>
      </w:r>
      <w:r w:rsidR="00053076">
        <w:rPr>
          <w:lang w:val="en-US"/>
        </w:rPr>
        <w:t>, growth (Dweck</w:t>
      </w:r>
      <w:r w:rsidR="00E17AB6">
        <w:rPr>
          <w:lang w:val="en-US"/>
        </w:rPr>
        <w:t>, 2000) and reflexivity (Cuneen, 2021</w:t>
      </w:r>
      <w:r w:rsidR="00D75DF0">
        <w:rPr>
          <w:lang w:val="en-US"/>
        </w:rPr>
        <w:t>a</w:t>
      </w:r>
      <w:r w:rsidR="00E17AB6">
        <w:rPr>
          <w:lang w:val="en-US"/>
        </w:rPr>
        <w:t xml:space="preserve">). </w:t>
      </w:r>
      <w:r w:rsidR="006C372B">
        <w:rPr>
          <w:lang w:val="en-US"/>
        </w:rPr>
        <w:t xml:space="preserve">Indeed, </w:t>
      </w:r>
      <w:r w:rsidR="00B7273A">
        <w:rPr>
          <w:lang w:val="en-US"/>
        </w:rPr>
        <w:t xml:space="preserve">when </w:t>
      </w:r>
      <w:r w:rsidR="00AB5C1B">
        <w:rPr>
          <w:lang w:val="en-US"/>
        </w:rPr>
        <w:t>one</w:t>
      </w:r>
      <w:r w:rsidR="00B7273A">
        <w:rPr>
          <w:lang w:val="en-US"/>
        </w:rPr>
        <w:t xml:space="preserve"> allow</w:t>
      </w:r>
      <w:r w:rsidR="00AB5C1B">
        <w:rPr>
          <w:lang w:val="en-US"/>
        </w:rPr>
        <w:t>s</w:t>
      </w:r>
      <w:r w:rsidR="00B7273A">
        <w:rPr>
          <w:lang w:val="en-US"/>
        </w:rPr>
        <w:t xml:space="preserve"> </w:t>
      </w:r>
      <w:r w:rsidR="00B7273A" w:rsidRPr="00A82D46">
        <w:rPr>
          <w:i/>
          <w:iCs/>
          <w:lang w:val="en-US"/>
        </w:rPr>
        <w:t>otherness</w:t>
      </w:r>
      <w:r w:rsidR="00B7273A">
        <w:rPr>
          <w:lang w:val="en-US"/>
        </w:rPr>
        <w:t xml:space="preserve"> to persist as </w:t>
      </w:r>
      <w:r w:rsidR="00B7273A" w:rsidRPr="00A82D46">
        <w:rPr>
          <w:i/>
          <w:iCs/>
          <w:lang w:val="en-US"/>
        </w:rPr>
        <w:t>strangeness</w:t>
      </w:r>
      <w:r w:rsidR="00A82D46">
        <w:rPr>
          <w:lang w:val="en-US"/>
        </w:rPr>
        <w:t xml:space="preserve"> before pigeonholing it into known categories, contingent aspects of </w:t>
      </w:r>
      <w:r w:rsidR="00AB5C1B">
        <w:rPr>
          <w:lang w:val="en-US"/>
        </w:rPr>
        <w:t>one’s</w:t>
      </w:r>
      <w:r w:rsidR="00A82D46">
        <w:rPr>
          <w:lang w:val="en-US"/>
        </w:rPr>
        <w:t xml:space="preserve"> </w:t>
      </w:r>
      <w:r w:rsidR="000448B2">
        <w:rPr>
          <w:lang w:val="en-US"/>
        </w:rPr>
        <w:t xml:space="preserve">own </w:t>
      </w:r>
      <w:r w:rsidR="002158F4">
        <w:rPr>
          <w:lang w:val="en-US"/>
        </w:rPr>
        <w:t>spontaneity</w:t>
      </w:r>
      <w:r w:rsidR="00A82D46">
        <w:rPr>
          <w:lang w:val="en-US"/>
        </w:rPr>
        <w:t xml:space="preserve"> are called into question </w:t>
      </w:r>
      <w:r w:rsidR="00D75DF0">
        <w:rPr>
          <w:lang w:val="en-US"/>
        </w:rPr>
        <w:t>(</w:t>
      </w:r>
      <w:r w:rsidR="002B2C92">
        <w:rPr>
          <w:lang w:val="en-US"/>
        </w:rPr>
        <w:t>Castillo, Kukkola &amp; Siljander</w:t>
      </w:r>
      <w:r w:rsidR="009A7AED">
        <w:rPr>
          <w:lang w:val="en-US"/>
        </w:rPr>
        <w:t xml:space="preserve">, 2022) </w:t>
      </w:r>
      <w:r w:rsidR="00A82D46">
        <w:rPr>
          <w:lang w:val="en-US"/>
        </w:rPr>
        <w:t xml:space="preserve">and </w:t>
      </w:r>
      <w:r w:rsidR="002158F4">
        <w:rPr>
          <w:lang w:val="en-US"/>
        </w:rPr>
        <w:t xml:space="preserve">the self </w:t>
      </w:r>
      <w:r w:rsidR="003A6A73">
        <w:rPr>
          <w:lang w:val="en-US"/>
        </w:rPr>
        <w:t>become</w:t>
      </w:r>
      <w:r w:rsidR="002158F4">
        <w:rPr>
          <w:lang w:val="en-US"/>
        </w:rPr>
        <w:t>s</w:t>
      </w:r>
      <w:r w:rsidR="003A6A73">
        <w:rPr>
          <w:lang w:val="en-US"/>
        </w:rPr>
        <w:t xml:space="preserve"> </w:t>
      </w:r>
      <w:r w:rsidR="00C14CF4">
        <w:rPr>
          <w:lang w:val="en-US"/>
        </w:rPr>
        <w:t>available</w:t>
      </w:r>
      <w:r w:rsidR="00175F6F">
        <w:rPr>
          <w:lang w:val="en-US"/>
        </w:rPr>
        <w:t xml:space="preserve"> to critical attention (Cuneen, 2021</w:t>
      </w:r>
      <w:r w:rsidR="00D75DF0">
        <w:rPr>
          <w:lang w:val="en-US"/>
        </w:rPr>
        <w:t>b</w:t>
      </w:r>
      <w:r w:rsidR="004A0641">
        <w:rPr>
          <w:lang w:val="en-US"/>
        </w:rPr>
        <w:t>)</w:t>
      </w:r>
      <w:r w:rsidR="00175F6F">
        <w:rPr>
          <w:lang w:val="en-US"/>
        </w:rPr>
        <w:t xml:space="preserve">. </w:t>
      </w:r>
      <w:r w:rsidR="00F3092A" w:rsidRPr="00F3092A">
        <w:rPr>
          <w:lang w:val="en-US"/>
        </w:rPr>
        <w:t>Emotionally, attentiveness plays two roles: being accurately heard affirms recognition, lowering defensiveness and making vulnerability livable; conversely, precise uptake reduces misrecognition-driven escalation</w:t>
      </w:r>
      <w:r w:rsidR="00212C20" w:rsidRPr="00B1360B">
        <w:rPr>
          <w:lang w:val="en-US"/>
        </w:rPr>
        <w:t>, tempering the emotional climate without dampening conflict</w:t>
      </w:r>
      <w:r w:rsidR="00212C20">
        <w:rPr>
          <w:lang w:val="en-US"/>
        </w:rPr>
        <w:t>.</w:t>
      </w:r>
      <w:r w:rsidR="008F75CA">
        <w:rPr>
          <w:lang w:val="en-US"/>
        </w:rPr>
        <w:t xml:space="preserve"> </w:t>
      </w:r>
      <w:r w:rsidR="006F3312" w:rsidRPr="006F3312">
        <w:rPr>
          <w:lang w:val="en-US"/>
        </w:rPr>
        <w:t>Institutionally, attentiveness softens the transfer problem</w:t>
      </w:r>
      <w:r w:rsidR="00E465A4">
        <w:rPr>
          <w:lang w:val="en-US"/>
        </w:rPr>
        <w:t xml:space="preserve">, since </w:t>
      </w:r>
      <w:r w:rsidR="006F3312" w:rsidRPr="006F3312">
        <w:rPr>
          <w:lang w:val="en-US"/>
        </w:rPr>
        <w:t>what has been carefully attended to tends to travel</w:t>
      </w:r>
      <w:r w:rsidR="00E465A4">
        <w:rPr>
          <w:lang w:val="en-US"/>
        </w:rPr>
        <w:t>:</w:t>
      </w:r>
      <w:r w:rsidR="0076352D">
        <w:rPr>
          <w:lang w:val="en-US"/>
        </w:rPr>
        <w:t xml:space="preserve"> </w:t>
      </w:r>
      <w:r w:rsidR="006F3312" w:rsidRPr="006F3312">
        <w:rPr>
          <w:lang w:val="en-US"/>
        </w:rPr>
        <w:t>dialogical moves become memorable and portable, even under time and performance pressures.</w:t>
      </w:r>
      <w:r w:rsidR="001011FB">
        <w:rPr>
          <w:lang w:val="en-US"/>
        </w:rPr>
        <w:t xml:space="preserve"> </w:t>
      </w:r>
      <w:r w:rsidR="00410B55" w:rsidRPr="00410B55">
        <w:rPr>
          <w:lang w:val="en-US"/>
        </w:rPr>
        <w:t>Attentiveness stretches the space between encounter and reaction: by holding others’ meanings long enough to unsettle fixed framings – and by making that unsettling livable – it renders the self available to transformation.</w:t>
      </w:r>
    </w:p>
    <w:p w14:paraId="4796B79A" w14:textId="77777777" w:rsidR="00606EE8" w:rsidRPr="00606EE8" w:rsidRDefault="00606EE8" w:rsidP="00E00FD9">
      <w:pPr>
        <w:jc w:val="both"/>
        <w:rPr>
          <w:lang w:val="en-US"/>
        </w:rPr>
      </w:pPr>
      <w:r w:rsidRPr="00606EE8">
        <w:rPr>
          <w:lang w:val="en-US"/>
        </w:rPr>
        <w:t>These three qualities are deeply intertwined and mutually support one another.</w:t>
      </w:r>
    </w:p>
    <w:p w14:paraId="7C0E73DF" w14:textId="69165F6F" w:rsidR="00606EE8" w:rsidRPr="00A942EF" w:rsidRDefault="003A578B" w:rsidP="00E00FD9">
      <w:pPr>
        <w:jc w:val="both"/>
        <w:rPr>
          <w:lang w:val="en-US"/>
        </w:rPr>
      </w:pPr>
      <w:r w:rsidRPr="003A578B">
        <w:rPr>
          <w:lang w:val="en-US"/>
        </w:rPr>
        <w:t>Affection enables attentiveness by fostering a sense of belonging, freeing attention from self-protection and allowing curiosity to take root</w:t>
      </w:r>
      <w:r w:rsidR="00606EE8" w:rsidRPr="00606EE8">
        <w:rPr>
          <w:lang w:val="en-US"/>
        </w:rPr>
        <w:t xml:space="preserve">. It also reduces the pressure to perform a fixed identity; when people feel safe, they are more open to viewing the self as transformable. Affection likewise strengthens the legitimacy of norm-guidance: people who appreciate one another are more likely to accept rules that limit certain individual freedoms for the greater good. </w:t>
      </w:r>
      <w:r w:rsidR="00A942EF" w:rsidRPr="00A942EF">
        <w:rPr>
          <w:lang w:val="en-US"/>
        </w:rPr>
        <w:t>When people feel they belong, boundary-setting is perceived as protecting the group rather than policing it, which softens pushback and invites shared ownership of the normative space.</w:t>
      </w:r>
    </w:p>
    <w:p w14:paraId="5180258D" w14:textId="48E6ECEF" w:rsidR="00606EE8" w:rsidRDefault="00606EE8" w:rsidP="00E00FD9">
      <w:pPr>
        <w:jc w:val="both"/>
        <w:rPr>
          <w:lang w:val="en-US"/>
        </w:rPr>
      </w:pPr>
      <w:r w:rsidRPr="00606EE8">
        <w:rPr>
          <w:lang w:val="en-US"/>
        </w:rPr>
        <w:t xml:space="preserve">Authority </w:t>
      </w:r>
      <w:r w:rsidR="00963559">
        <w:rPr>
          <w:lang w:val="en-US"/>
        </w:rPr>
        <w:t xml:space="preserve">also </w:t>
      </w:r>
      <w:r w:rsidRPr="00606EE8">
        <w:rPr>
          <w:lang w:val="en-US"/>
        </w:rPr>
        <w:t xml:space="preserve">facilitates affection. </w:t>
      </w:r>
      <w:r w:rsidR="00F857F1" w:rsidRPr="00F857F1">
        <w:rPr>
          <w:lang w:val="en-US"/>
        </w:rPr>
        <w:t>Predictable, fair, and legitimate norms reduce uncertainty and create a climate of safety; when people feel protected from humiliation, warmth and goodwill can emerge</w:t>
      </w:r>
      <w:r w:rsidRPr="00606EE8">
        <w:rPr>
          <w:lang w:val="en-US"/>
        </w:rPr>
        <w:t xml:space="preserve">. </w:t>
      </w:r>
      <w:r w:rsidR="002C6560">
        <w:rPr>
          <w:lang w:val="en-US"/>
        </w:rPr>
        <w:t>Concerning attentiveness, c</w:t>
      </w:r>
      <w:r w:rsidRPr="00606EE8">
        <w:rPr>
          <w:lang w:val="en-US"/>
        </w:rPr>
        <w:t>lear</w:t>
      </w:r>
      <w:r w:rsidR="002C6560">
        <w:rPr>
          <w:lang w:val="en-US"/>
        </w:rPr>
        <w:t xml:space="preserve"> and</w:t>
      </w:r>
      <w:r w:rsidRPr="00606EE8">
        <w:rPr>
          <w:lang w:val="en-US"/>
        </w:rPr>
        <w:t xml:space="preserve"> stable normative structures reduce cognitive load and status vigilance. When turn-taking, revisability, and basic respectful behavior are assured, attention can shift from self-management to meaning. Norms of patience</w:t>
      </w:r>
      <w:r>
        <w:rPr>
          <w:lang w:val="en-US"/>
        </w:rPr>
        <w:t xml:space="preserve"> – </w:t>
      </w:r>
      <w:r w:rsidRPr="00606EE8">
        <w:rPr>
          <w:lang w:val="en-US"/>
        </w:rPr>
        <w:t>by protecting unhurried dialogical turns from the social-media-fed impulse to immediately leap to the next stimulus</w:t>
      </w:r>
      <w:r>
        <w:rPr>
          <w:lang w:val="en-US"/>
        </w:rPr>
        <w:t xml:space="preserve"> – </w:t>
      </w:r>
      <w:r w:rsidRPr="00606EE8">
        <w:rPr>
          <w:lang w:val="en-US"/>
        </w:rPr>
        <w:t>give affection and attentiveness the temporal space they need to take hold.</w:t>
      </w:r>
    </w:p>
    <w:p w14:paraId="0B6E2476" w14:textId="0BAA61AB" w:rsidR="00876439" w:rsidRPr="00C01409" w:rsidRDefault="00876439" w:rsidP="00876439">
      <w:pPr>
        <w:jc w:val="both"/>
        <w:rPr>
          <w:lang w:val="en-US"/>
        </w:rPr>
      </w:pPr>
      <w:r w:rsidRPr="00876439">
        <w:rPr>
          <w:lang w:val="en-US"/>
        </w:rPr>
        <w:lastRenderedPageBreak/>
        <w:t>Finally, attentiveness supports the other qualities in several ways. The recognition it provides (</w:t>
      </w:r>
      <w:r w:rsidR="00E247CD">
        <w:rPr>
          <w:lang w:val="en-US"/>
        </w:rPr>
        <w:t>“</w:t>
      </w:r>
      <w:r w:rsidRPr="00876439">
        <w:rPr>
          <w:lang w:val="en-US"/>
        </w:rPr>
        <w:t>you got me right</w:t>
      </w:r>
      <w:r w:rsidR="00E247CD">
        <w:rPr>
          <w:lang w:val="en-US"/>
        </w:rPr>
        <w:t>”</w:t>
      </w:r>
      <w:r w:rsidRPr="00876439">
        <w:rPr>
          <w:lang w:val="en-US"/>
        </w:rPr>
        <w:t>) is at the heart of feeling appreciated</w:t>
      </w:r>
      <w:r>
        <w:rPr>
          <w:lang w:val="en-US"/>
        </w:rPr>
        <w:t xml:space="preserve"> – </w:t>
      </w:r>
      <w:r w:rsidRPr="00876439">
        <w:rPr>
          <w:lang w:val="en-US"/>
        </w:rPr>
        <w:t xml:space="preserve">even when it leads to disagreement. When people experience interpretive accuracy, they tend to reciprocate with trust and warmth. In relation to authority, being heard accurately also signals fairness; and perceived fairness strengthens legitimacy, making shared norms easier to accept rather than resist. Attentive listening demonstrates that everyone’s voice matters, while also creating space to untangle the contextual genesis of different perspectives. </w:t>
      </w:r>
      <w:r w:rsidR="00C01409" w:rsidRPr="00C01409">
        <w:rPr>
          <w:lang w:val="en-US"/>
        </w:rPr>
        <w:t>It becomes easier to both like and respect someone you disagree with when you understand how their views were shaped by contingent experience.</w:t>
      </w:r>
    </w:p>
    <w:p w14:paraId="5D23CE0D" w14:textId="310D4B7A" w:rsidR="00011C62" w:rsidRDefault="00B86EC5" w:rsidP="00D91ECD">
      <w:pPr>
        <w:jc w:val="both"/>
        <w:rPr>
          <w:lang w:val="en-US"/>
        </w:rPr>
      </w:pPr>
      <w:r w:rsidRPr="00B86EC5">
        <w:rPr>
          <w:lang w:val="en-US"/>
        </w:rPr>
        <w:t>In sum, dialogical success hinges not only on pedagogical technique, but on a relational climate that fosters openness, trust, and mutual responsiveness.</w:t>
      </w:r>
      <w:r>
        <w:rPr>
          <w:lang w:val="en-US"/>
        </w:rPr>
        <w:t xml:space="preserve"> </w:t>
      </w:r>
      <w:r w:rsidR="003900E6" w:rsidRPr="003900E6">
        <w:rPr>
          <w:lang w:val="en-US"/>
        </w:rPr>
        <w:t>From the standpoint of democratic education, this climate cultivates the habits we need: dispositional tendencies to seek out, remain open to, and be transformed by contact with otherness.</w:t>
      </w:r>
      <w:r w:rsidR="003900E6">
        <w:rPr>
          <w:lang w:val="en-US"/>
        </w:rPr>
        <w:t xml:space="preserve"> </w:t>
      </w:r>
      <w:r w:rsidR="003900E6" w:rsidRPr="003900E6">
        <w:rPr>
          <w:lang w:val="en-US"/>
        </w:rPr>
        <w:t>Democratic life requires not only openness to otherness, but tolerance of the moral difference it reveals</w:t>
      </w:r>
      <w:r w:rsidR="00A22548">
        <w:rPr>
          <w:lang w:val="en-US"/>
        </w:rPr>
        <w:t>. The habits of tolerance</w:t>
      </w:r>
      <w:r w:rsidR="00E07432">
        <w:rPr>
          <w:lang w:val="en-US"/>
        </w:rPr>
        <w:t xml:space="preserve"> are</w:t>
      </w:r>
      <w:r w:rsidR="004E18E1">
        <w:rPr>
          <w:lang w:val="en-US"/>
        </w:rPr>
        <w:t xml:space="preserve"> forged</w:t>
      </w:r>
      <w:r w:rsidR="00E07432">
        <w:rPr>
          <w:lang w:val="en-US"/>
        </w:rPr>
        <w:t xml:space="preserve"> </w:t>
      </w:r>
      <w:r w:rsidR="004E18E1">
        <w:rPr>
          <w:lang w:val="en-US"/>
        </w:rPr>
        <w:t xml:space="preserve">in discussions that are “emotionally gratifying to all students” </w:t>
      </w:r>
      <w:r w:rsidR="00FE181A">
        <w:rPr>
          <w:lang w:val="en-US"/>
        </w:rPr>
        <w:t>(Holma &amp; Huhtala, 2025</w:t>
      </w:r>
      <w:r w:rsidR="00A541E3">
        <w:rPr>
          <w:lang w:val="en-US"/>
        </w:rPr>
        <w:t>, p.</w:t>
      </w:r>
      <w:r w:rsidR="00FE181A">
        <w:rPr>
          <w:lang w:val="en-US"/>
        </w:rPr>
        <w:t xml:space="preserve"> 475)</w:t>
      </w:r>
      <w:r w:rsidR="00606F98">
        <w:rPr>
          <w:lang w:val="en-US"/>
        </w:rPr>
        <w:t>, anchoring</w:t>
      </w:r>
      <w:r w:rsidR="003A4C36">
        <w:rPr>
          <w:lang w:val="en-US"/>
        </w:rPr>
        <w:t xml:space="preserve"> </w:t>
      </w:r>
      <w:r w:rsidR="00641A42">
        <w:rPr>
          <w:lang w:val="en-US"/>
        </w:rPr>
        <w:t>communicative</w:t>
      </w:r>
      <w:r w:rsidR="009D547F">
        <w:rPr>
          <w:lang w:val="en-US"/>
        </w:rPr>
        <w:t xml:space="preserve"> tendencies in experiences of inclusion colored by</w:t>
      </w:r>
      <w:r w:rsidR="00FE181A">
        <w:rPr>
          <w:lang w:val="en-US"/>
        </w:rPr>
        <w:t xml:space="preserve"> positive emotions</w:t>
      </w:r>
      <w:r w:rsidR="009D547F">
        <w:rPr>
          <w:lang w:val="en-US"/>
        </w:rPr>
        <w:t>.</w:t>
      </w:r>
      <w:r w:rsidR="00641A42">
        <w:rPr>
          <w:lang w:val="en-US"/>
        </w:rPr>
        <w:t xml:space="preserve"> </w:t>
      </w:r>
      <w:r w:rsidR="00D91ECD" w:rsidRPr="00D91ECD">
        <w:rPr>
          <w:lang w:val="en-US"/>
        </w:rPr>
        <w:t>In an era of escalating political polarization, such dialogical habits may also serve as a bulwark not only for democracy, but for our collective survival (Huttunen, 2025)</w:t>
      </w:r>
      <w:r w:rsidR="005C76ED">
        <w:rPr>
          <w:lang w:val="en-US"/>
        </w:rPr>
        <w:t xml:space="preserve">, by sustaining the social glue needed to navigate long-term issues </w:t>
      </w:r>
      <w:r w:rsidR="009E07D1">
        <w:rPr>
          <w:lang w:val="en-US"/>
        </w:rPr>
        <w:t>beyond the temporality of election cycles.</w:t>
      </w:r>
    </w:p>
    <w:p w14:paraId="0CC04649" w14:textId="43041198" w:rsidR="00D91ECD" w:rsidRPr="00B94D6C" w:rsidRDefault="001F125F" w:rsidP="00D91ECD">
      <w:pPr>
        <w:jc w:val="both"/>
        <w:rPr>
          <w:lang w:val="en-US"/>
        </w:rPr>
      </w:pPr>
      <w:r w:rsidRPr="001F125F">
        <w:rPr>
          <w:lang w:val="en-US"/>
        </w:rPr>
        <w:t>Pedagogically speaking, dialogue cannot be abstracted from the relational ground in which it takes root</w:t>
      </w:r>
      <w:r w:rsidR="00D91ECD" w:rsidRPr="00D91ECD">
        <w:rPr>
          <w:lang w:val="en-US"/>
        </w:rPr>
        <w:t xml:space="preserve">. The three relational qualities </w:t>
      </w:r>
      <w:r>
        <w:rPr>
          <w:lang w:val="en-US"/>
        </w:rPr>
        <w:t>explored</w:t>
      </w:r>
      <w:r w:rsidR="00D91ECD" w:rsidRPr="00D91ECD">
        <w:rPr>
          <w:lang w:val="en-US"/>
        </w:rPr>
        <w:t xml:space="preserve"> above</w:t>
      </w:r>
      <w:r w:rsidR="00011C62">
        <w:rPr>
          <w:lang w:val="en-US"/>
        </w:rPr>
        <w:t xml:space="preserve"> – </w:t>
      </w:r>
      <w:r w:rsidR="00D91ECD" w:rsidRPr="00D91ECD">
        <w:rPr>
          <w:lang w:val="en-US"/>
        </w:rPr>
        <w:t>affection, authority, and attentiveness</w:t>
      </w:r>
      <w:r w:rsidR="00011C62">
        <w:rPr>
          <w:lang w:val="en-US"/>
        </w:rPr>
        <w:t xml:space="preserve"> – </w:t>
      </w:r>
      <w:r w:rsidR="00D91ECD" w:rsidRPr="00D91ECD">
        <w:rPr>
          <w:lang w:val="en-US"/>
        </w:rPr>
        <w:t>enable dialogue to educate</w:t>
      </w:r>
      <w:r w:rsidR="00A8096D">
        <w:rPr>
          <w:lang w:val="en-US"/>
        </w:rPr>
        <w:t xml:space="preserve"> </w:t>
      </w:r>
      <w:r w:rsidR="00A8096D" w:rsidRPr="00A8096D">
        <w:rPr>
          <w:lang w:val="en-US"/>
        </w:rPr>
        <w:t>rather than merely communicate.</w:t>
      </w:r>
      <w:r w:rsidR="00D91ECD" w:rsidRPr="00D91ECD">
        <w:rPr>
          <w:lang w:val="en-US"/>
        </w:rPr>
        <w:t xml:space="preserve"> They foster the shared orientation and mutual regard that make reason-giving possible, reduce the emotional cost of disagreement, and allow students to stay in the room with others</w:t>
      </w:r>
      <w:r w:rsidR="00011C62">
        <w:rPr>
          <w:lang w:val="en-US"/>
        </w:rPr>
        <w:t xml:space="preserve"> – </w:t>
      </w:r>
      <w:r w:rsidR="00D91ECD" w:rsidRPr="00D91ECD">
        <w:rPr>
          <w:lang w:val="en-US"/>
        </w:rPr>
        <w:t xml:space="preserve">and with themselves. Modeled through the teacher’s actions and upheld through the relational field, this climate also supports </w:t>
      </w:r>
      <w:r w:rsidR="00D91ECD" w:rsidRPr="00D91ECD">
        <w:rPr>
          <w:i/>
          <w:iCs/>
          <w:lang w:val="en-US"/>
        </w:rPr>
        <w:t>friendships</w:t>
      </w:r>
      <w:r w:rsidR="00D91ECD" w:rsidRPr="00D91ECD">
        <w:rPr>
          <w:lang w:val="en-US"/>
        </w:rPr>
        <w:t xml:space="preserve"> between students by enabling spaces for meaningful, joyful interaction (Zamotkin &amp; Leiviskä, 202</w:t>
      </w:r>
      <w:r w:rsidR="00CC3953">
        <w:rPr>
          <w:lang w:val="en-US"/>
        </w:rPr>
        <w:t>5</w:t>
      </w:r>
      <w:r w:rsidR="00A541E3">
        <w:rPr>
          <w:lang w:val="en-US"/>
        </w:rPr>
        <w:t xml:space="preserve">, p. </w:t>
      </w:r>
      <w:r w:rsidR="00D91ECD" w:rsidRPr="00D91ECD">
        <w:rPr>
          <w:lang w:val="en-US"/>
        </w:rPr>
        <w:t>27)</w:t>
      </w:r>
      <w:r w:rsidR="00536AD9">
        <w:rPr>
          <w:lang w:val="en-US"/>
        </w:rPr>
        <w:t xml:space="preserve">; </w:t>
      </w:r>
      <w:r w:rsidR="00D7298D" w:rsidRPr="00D7298D">
        <w:rPr>
          <w:lang w:val="en-US"/>
        </w:rPr>
        <w:t>such friendships open durable pathways for dialogue across difference</w:t>
      </w:r>
      <w:r w:rsidR="00D91ECD" w:rsidRPr="00D91ECD">
        <w:rPr>
          <w:lang w:val="en-US"/>
        </w:rPr>
        <w:t xml:space="preserve">. Without </w:t>
      </w:r>
      <w:r w:rsidR="00C44FC2">
        <w:rPr>
          <w:lang w:val="en-US"/>
        </w:rPr>
        <w:t>such an</w:t>
      </w:r>
      <w:r w:rsidR="00D91ECD" w:rsidRPr="00D91ECD">
        <w:rPr>
          <w:lang w:val="en-US"/>
        </w:rPr>
        <w:t xml:space="preserve"> atmosphere, dialogue may remain procedurally intact </w:t>
      </w:r>
      <w:r w:rsidR="005431E5" w:rsidRPr="005431E5">
        <w:rPr>
          <w:lang w:val="en-US"/>
        </w:rPr>
        <w:t xml:space="preserve">yet </w:t>
      </w:r>
      <w:r w:rsidR="00B94D6C" w:rsidRPr="00B94D6C">
        <w:rPr>
          <w:lang w:val="en-US"/>
        </w:rPr>
        <w:t>fail to cultivate the lasting dispositions it aims to inspire or disrupt the identity frames it seeks to unsettle.</w:t>
      </w:r>
    </w:p>
    <w:p w14:paraId="60319198" w14:textId="32B9717D" w:rsidR="008A7AEA" w:rsidRDefault="008A7AEA" w:rsidP="008A7AEA">
      <w:pPr>
        <w:pStyle w:val="Heading2"/>
        <w:rPr>
          <w:lang w:val="en-US"/>
        </w:rPr>
      </w:pPr>
      <w:r>
        <w:rPr>
          <w:lang w:val="en-US"/>
        </w:rPr>
        <w:t>Institutional implications</w:t>
      </w:r>
    </w:p>
    <w:p w14:paraId="2AFE5870" w14:textId="6BAB6A0B" w:rsidR="005129DD" w:rsidRPr="008F68F8" w:rsidRDefault="005129DD" w:rsidP="005129DD">
      <w:pPr>
        <w:jc w:val="both"/>
        <w:rPr>
          <w:lang w:val="en-US"/>
        </w:rPr>
      </w:pPr>
      <w:r w:rsidRPr="00157E58">
        <w:rPr>
          <w:lang w:val="en-US"/>
        </w:rPr>
        <w:t xml:space="preserve">If dialogical success depends on a relational climate animated by affection, authority, and attentiveness, then schools must </w:t>
      </w:r>
      <w:r w:rsidR="00D37B83" w:rsidRPr="00157E58">
        <w:rPr>
          <w:lang w:val="en-US"/>
        </w:rPr>
        <w:t>do more than teach argumentation through structured debate formats</w:t>
      </w:r>
      <w:r w:rsidRPr="00157E58">
        <w:rPr>
          <w:lang w:val="en-US"/>
        </w:rPr>
        <w:t xml:space="preserve">. </w:t>
      </w:r>
      <w:r w:rsidR="005912EC" w:rsidRPr="00157E58">
        <w:rPr>
          <w:lang w:val="en-US"/>
        </w:rPr>
        <w:t>They must also shape the social ecology in which these qualities can emerge</w:t>
      </w:r>
      <w:r w:rsidR="005438E3" w:rsidRPr="00157E58">
        <w:rPr>
          <w:lang w:val="en-US"/>
        </w:rPr>
        <w:t xml:space="preserve">, so that </w:t>
      </w:r>
      <w:r w:rsidRPr="00157E58">
        <w:rPr>
          <w:lang w:val="en-US"/>
        </w:rPr>
        <w:t>genuine dialogue can take hol</w:t>
      </w:r>
      <w:r w:rsidR="005438E3" w:rsidRPr="00157E58">
        <w:rPr>
          <w:lang w:val="en-US"/>
        </w:rPr>
        <w:t>d</w:t>
      </w:r>
      <w:r w:rsidRPr="00157E58">
        <w:rPr>
          <w:lang w:val="en-US"/>
        </w:rPr>
        <w:t xml:space="preserve">. </w:t>
      </w:r>
      <w:r w:rsidR="008F68F8" w:rsidRPr="00157E58">
        <w:rPr>
          <w:lang w:val="en-US"/>
        </w:rPr>
        <w:t>Institutions cannot manufacture dialogical relationships, but they can cultivate the ground where such relationships are most likely to flourish.</w:t>
      </w:r>
    </w:p>
    <w:p w14:paraId="7A939295" w14:textId="0FE7BDDB" w:rsidR="005129DD" w:rsidRPr="000629C0" w:rsidRDefault="008C170B" w:rsidP="005129DD">
      <w:pPr>
        <w:jc w:val="both"/>
        <w:rPr>
          <w:lang w:val="en-US"/>
        </w:rPr>
      </w:pPr>
      <w:r w:rsidRPr="008C170B">
        <w:rPr>
          <w:lang w:val="en-US"/>
        </w:rPr>
        <w:t>Affection is neither perpetual friendliness nor intrusive emotionality</w:t>
      </w:r>
      <w:r w:rsidR="005129DD" w:rsidRPr="00831913">
        <w:rPr>
          <w:lang w:val="en-US"/>
        </w:rPr>
        <w:t>, but a recognitional climate in which participants feel appreciated, welcomed, and seen. Institutions can enable such climates by protecting time for students and teachers to get to know one another beyond task completion (Sidorkin, 2023). Timetabling that favors long-term group cohesion, shared projects, and unhurried pedagogical rhythms supports this slow build</w:t>
      </w:r>
      <w:r w:rsidR="005129DD">
        <w:rPr>
          <w:lang w:val="en-US"/>
        </w:rPr>
        <w:t xml:space="preserve">, </w:t>
      </w:r>
      <w:r w:rsidR="00AA23C4" w:rsidRPr="00AA23C4">
        <w:rPr>
          <w:lang w:val="en-US"/>
        </w:rPr>
        <w:t>increasing the chances that dialogue emerges not as performance, but as encounter</w:t>
      </w:r>
      <w:r w:rsidR="0086559D">
        <w:rPr>
          <w:lang w:val="en-US"/>
        </w:rPr>
        <w:t>.</w:t>
      </w:r>
      <w:r w:rsidR="000A4D19" w:rsidRPr="000A4D19">
        <w:rPr>
          <w:lang w:val="en-US"/>
        </w:rPr>
        <w:t xml:space="preserve"> Institutions also do well to welcome small moments of moral imagination and mutual investment</w:t>
      </w:r>
      <w:r w:rsidR="005129DD">
        <w:rPr>
          <w:lang w:val="en-US"/>
        </w:rPr>
        <w:t xml:space="preserve"> – </w:t>
      </w:r>
      <w:r w:rsidR="005129DD" w:rsidRPr="00831913">
        <w:rPr>
          <w:lang w:val="en-US"/>
        </w:rPr>
        <w:t>storytelling, humor, selective vulnerability</w:t>
      </w:r>
      <w:r w:rsidR="005129DD">
        <w:rPr>
          <w:lang w:val="en-US"/>
        </w:rPr>
        <w:t xml:space="preserve"> </w:t>
      </w:r>
      <w:r w:rsidR="005129DD" w:rsidRPr="00831913">
        <w:rPr>
          <w:lang w:val="en-US"/>
        </w:rPr>
        <w:t>(Hammond, 2015)</w:t>
      </w:r>
      <w:r w:rsidR="005129DD">
        <w:rPr>
          <w:lang w:val="en-US"/>
        </w:rPr>
        <w:t xml:space="preserve"> – </w:t>
      </w:r>
      <w:r w:rsidR="006971BE" w:rsidRPr="006971BE">
        <w:rPr>
          <w:lang w:val="en-US"/>
        </w:rPr>
        <w:t>as legitimate parts of learning, rather than distractions</w:t>
      </w:r>
      <w:r w:rsidR="005129DD" w:rsidRPr="00831913">
        <w:rPr>
          <w:lang w:val="en-US"/>
        </w:rPr>
        <w:t xml:space="preserve">. </w:t>
      </w:r>
      <w:r w:rsidR="000629C0" w:rsidRPr="000629C0">
        <w:rPr>
          <w:lang w:val="en-US"/>
        </w:rPr>
        <w:t>Institutional cultures that value community without moralizing it allow affection to grow without coercing performative harmony. This is part of building the relational architectures that recover solidarity and agency in everyday practice (Edwards-Groves et al., 2010).</w:t>
      </w:r>
    </w:p>
    <w:p w14:paraId="0A6B4C6D" w14:textId="4CF1CCBD" w:rsidR="005129DD" w:rsidRPr="006C54E1" w:rsidRDefault="00C55B37" w:rsidP="005129DD">
      <w:pPr>
        <w:jc w:val="both"/>
        <w:rPr>
          <w:lang w:val="en-US"/>
        </w:rPr>
      </w:pPr>
      <w:r w:rsidRPr="00C55B37">
        <w:rPr>
          <w:lang w:val="en-US"/>
        </w:rPr>
        <w:lastRenderedPageBreak/>
        <w:t>Authority, in its relational form, rests on a stable framework of norms perceived as both legitimate and fairly upheld</w:t>
      </w:r>
      <w:r w:rsidR="005129DD" w:rsidRPr="00831913">
        <w:rPr>
          <w:lang w:val="en-US"/>
        </w:rPr>
        <w:t xml:space="preserve">. </w:t>
      </w:r>
      <w:r w:rsidR="005129DD" w:rsidRPr="006C0F49">
        <w:rPr>
          <w:lang w:val="en-US"/>
        </w:rPr>
        <w:t xml:space="preserve">This requires that teachers </w:t>
      </w:r>
      <w:r w:rsidR="00302947" w:rsidRPr="00302947">
        <w:rPr>
          <w:lang w:val="en-US"/>
        </w:rPr>
        <w:t>have the authority, trust, and institutional support to uphold shared norms fairly and preserve space for reason-giving</w:t>
      </w:r>
      <w:r w:rsidR="005129DD" w:rsidRPr="006C0F49">
        <w:rPr>
          <w:lang w:val="en-US"/>
        </w:rPr>
        <w:t>.</w:t>
      </w:r>
      <w:r w:rsidR="005129DD" w:rsidRPr="009C72D9">
        <w:rPr>
          <w:lang w:val="en-US"/>
        </w:rPr>
        <w:t xml:space="preserve"> When teachers are left to enforce </w:t>
      </w:r>
      <w:r w:rsidR="005129DD">
        <w:rPr>
          <w:lang w:val="en-US"/>
        </w:rPr>
        <w:t>classroom</w:t>
      </w:r>
      <w:r w:rsidR="005129DD" w:rsidRPr="009C72D9">
        <w:rPr>
          <w:lang w:val="en-US"/>
        </w:rPr>
        <w:t xml:space="preserve"> norms in isolation, without </w:t>
      </w:r>
      <w:r w:rsidR="006E434F">
        <w:rPr>
          <w:lang w:val="en-US"/>
        </w:rPr>
        <w:t>administrative support</w:t>
      </w:r>
      <w:r w:rsidR="005129DD" w:rsidRPr="009C72D9">
        <w:rPr>
          <w:lang w:val="en-US"/>
        </w:rPr>
        <w:t xml:space="preserve"> or peer alignment, their authority is at risk of becoming more authoritarian than benevolent</w:t>
      </w:r>
      <w:r w:rsidR="005129DD">
        <w:rPr>
          <w:lang w:val="en-US"/>
        </w:rPr>
        <w:t xml:space="preserve">, </w:t>
      </w:r>
      <w:r w:rsidR="005129DD" w:rsidRPr="009C72D9">
        <w:rPr>
          <w:lang w:val="en-US"/>
        </w:rPr>
        <w:t>eroding the very relational trust that sustains dialogue.</w:t>
      </w:r>
      <w:r w:rsidR="005129DD" w:rsidRPr="00831913">
        <w:rPr>
          <w:lang w:val="en-US"/>
        </w:rPr>
        <w:t xml:space="preserve"> Institutions can </w:t>
      </w:r>
      <w:r w:rsidR="005129DD">
        <w:rPr>
          <w:lang w:val="en-US"/>
        </w:rPr>
        <w:t xml:space="preserve">further </w:t>
      </w:r>
      <w:r w:rsidR="005129DD" w:rsidRPr="00831913">
        <w:rPr>
          <w:lang w:val="en-US"/>
        </w:rPr>
        <w:t xml:space="preserve">support </w:t>
      </w:r>
      <w:r w:rsidR="005129DD">
        <w:rPr>
          <w:lang w:val="en-US"/>
        </w:rPr>
        <w:t>teachers</w:t>
      </w:r>
      <w:r w:rsidR="005129DD" w:rsidRPr="00831913">
        <w:rPr>
          <w:lang w:val="en-US"/>
        </w:rPr>
        <w:t xml:space="preserve"> by training </w:t>
      </w:r>
      <w:r w:rsidR="005129DD">
        <w:rPr>
          <w:lang w:val="en-US"/>
        </w:rPr>
        <w:t>them</w:t>
      </w:r>
      <w:r w:rsidR="005129DD" w:rsidRPr="00831913">
        <w:rPr>
          <w:lang w:val="en-US"/>
        </w:rPr>
        <w:t xml:space="preserve"> in non-dominative boundary-setting and ensuring consistency between pedagogical values and structural signals. </w:t>
      </w:r>
      <w:r w:rsidR="00BC539C" w:rsidRPr="00BC539C">
        <w:rPr>
          <w:lang w:val="en-US"/>
        </w:rPr>
        <w:t>Rules about respectful dialogue lose credibility when grade pressure rewards rhetorical dominance</w:t>
      </w:r>
      <w:r w:rsidR="005129DD">
        <w:rPr>
          <w:lang w:val="en-US"/>
        </w:rPr>
        <w:t xml:space="preserve"> – </w:t>
      </w:r>
      <w:r w:rsidR="005129DD" w:rsidRPr="00831913">
        <w:rPr>
          <w:lang w:val="en-US"/>
        </w:rPr>
        <w:t xml:space="preserve">an instance of performativity that privileges appearance over responsiveness (Ball, 2012). </w:t>
      </w:r>
      <w:r w:rsidR="005129DD" w:rsidRPr="00195458">
        <w:rPr>
          <w:lang w:val="en-US"/>
        </w:rPr>
        <w:t>Beyond the school walls, institutional efforts to strengthen teachers’ social legitimacy</w:t>
      </w:r>
      <w:r w:rsidR="005129DD">
        <w:rPr>
          <w:lang w:val="en-US"/>
        </w:rPr>
        <w:t xml:space="preserve"> – </w:t>
      </w:r>
      <w:r w:rsidR="005129DD" w:rsidRPr="00195458">
        <w:rPr>
          <w:lang w:val="en-US"/>
        </w:rPr>
        <w:t>through community engagement, parent collaboration, and public recognition</w:t>
      </w:r>
      <w:r w:rsidR="005129DD">
        <w:rPr>
          <w:lang w:val="en-US"/>
        </w:rPr>
        <w:t xml:space="preserve"> – </w:t>
      </w:r>
      <w:r w:rsidR="005129DD" w:rsidRPr="00195458">
        <w:rPr>
          <w:lang w:val="en-US"/>
        </w:rPr>
        <w:t xml:space="preserve">can reinforce their role as </w:t>
      </w:r>
      <w:r w:rsidR="009B2022">
        <w:rPr>
          <w:lang w:val="en-US"/>
        </w:rPr>
        <w:t>trusted</w:t>
      </w:r>
      <w:r w:rsidR="005129DD" w:rsidRPr="00195458">
        <w:rPr>
          <w:lang w:val="en-US"/>
        </w:rPr>
        <w:t xml:space="preserve"> facilitators of democratic dialogue. </w:t>
      </w:r>
      <w:r w:rsidR="006C54E1" w:rsidRPr="006C54E1">
        <w:rPr>
          <w:lang w:val="en-US"/>
        </w:rPr>
        <w:t>When authority rests on both expertise and trust, students and families are more likely to embrace its educational role. A climate of procedural fairness, backed by visible institutional commitments, allows healthy authority to function without drifting into autocracy.</w:t>
      </w:r>
    </w:p>
    <w:p w14:paraId="515FB375" w14:textId="39E26F01" w:rsidR="005129DD" w:rsidRPr="00C675B6" w:rsidRDefault="005129DD" w:rsidP="005129DD">
      <w:pPr>
        <w:jc w:val="both"/>
        <w:rPr>
          <w:lang w:val="en-US"/>
        </w:rPr>
      </w:pPr>
      <w:r w:rsidRPr="00831913">
        <w:rPr>
          <w:lang w:val="en-US"/>
        </w:rPr>
        <w:t>Attentiveness, finally, is a relational rhythm of patient</w:t>
      </w:r>
      <w:r w:rsidR="00DF01D8">
        <w:rPr>
          <w:lang w:val="en-US"/>
        </w:rPr>
        <w:t>ly</w:t>
      </w:r>
      <w:r w:rsidRPr="00831913">
        <w:rPr>
          <w:lang w:val="en-US"/>
        </w:rPr>
        <w:t xml:space="preserve"> noticing</w:t>
      </w:r>
      <w:r>
        <w:rPr>
          <w:lang w:val="en-US"/>
        </w:rPr>
        <w:t xml:space="preserve"> </w:t>
      </w:r>
      <w:r w:rsidRPr="00831913">
        <w:rPr>
          <w:lang w:val="en-US"/>
        </w:rPr>
        <w:t xml:space="preserve">meanings, backgrounds, and evolving selves. Its cultivation is easily crowded out by curricular urgency, high-paced transitions, and performative pressures. </w:t>
      </w:r>
      <w:r w:rsidR="006A04E7" w:rsidRPr="006A04E7">
        <w:rPr>
          <w:lang w:val="en-US"/>
        </w:rPr>
        <w:t>Schools can make space for attentiveness by protecting reflective time</w:t>
      </w:r>
      <w:r w:rsidRPr="00831913">
        <w:rPr>
          <w:lang w:val="en-US"/>
        </w:rPr>
        <w:t xml:space="preserve">, minimizing interruption, </w:t>
      </w:r>
      <w:r w:rsidR="008B48B3" w:rsidRPr="008B48B3">
        <w:rPr>
          <w:lang w:val="en-US"/>
        </w:rPr>
        <w:t>and resisting performance metrics that reward fluency over depth</w:t>
      </w:r>
      <w:r w:rsidRPr="00831913">
        <w:rPr>
          <w:lang w:val="en-US"/>
        </w:rPr>
        <w:t xml:space="preserve">. </w:t>
      </w:r>
      <w:r w:rsidR="00E2686F" w:rsidRPr="00E2686F">
        <w:rPr>
          <w:lang w:val="en-US"/>
        </w:rPr>
        <w:t>This doesn’t mean sacrificing rigor, but rather rethinking it: designing for depth over display, especially in dialogical work.</w:t>
      </w:r>
      <w:r w:rsidRPr="00831913">
        <w:rPr>
          <w:lang w:val="en-US"/>
        </w:rPr>
        <w:t xml:space="preserve"> It also entails protecting teachers’ own attentional capacities, </w:t>
      </w:r>
      <w:r w:rsidR="00C23961" w:rsidRPr="00C23961">
        <w:rPr>
          <w:lang w:val="en-US"/>
        </w:rPr>
        <w:t>which are routinely stretched by multitasking, behavioral management, and pacing guides</w:t>
      </w:r>
      <w:r w:rsidR="00FC4BBD">
        <w:rPr>
          <w:lang w:val="en-US"/>
        </w:rPr>
        <w:t xml:space="preserve">. </w:t>
      </w:r>
      <w:r w:rsidR="00C675B6" w:rsidRPr="00C675B6">
        <w:rPr>
          <w:lang w:val="en-US"/>
        </w:rPr>
        <w:t>Professional learning that centers interpretive listening and teacher reflexivity</w:t>
      </w:r>
      <w:r w:rsidR="00C675B6">
        <w:rPr>
          <w:lang w:val="en-US"/>
        </w:rPr>
        <w:t xml:space="preserve"> (e.g.</w:t>
      </w:r>
      <w:r w:rsidR="00C675B6" w:rsidRPr="00C675B6">
        <w:rPr>
          <w:lang w:val="en-US"/>
        </w:rPr>
        <w:t>, collegial dialogue about classroom judgment</w:t>
      </w:r>
      <w:r w:rsidR="00C675B6">
        <w:rPr>
          <w:lang w:val="en-US"/>
        </w:rPr>
        <w:t xml:space="preserve">) </w:t>
      </w:r>
      <w:r w:rsidR="00C675B6" w:rsidRPr="00C675B6">
        <w:rPr>
          <w:lang w:val="en-US"/>
        </w:rPr>
        <w:t>can help restore these capacities. But this, in turn, depends on institutional trust in teacher judgment (Biesta, 2015).</w:t>
      </w:r>
    </w:p>
    <w:p w14:paraId="5F7482BE" w14:textId="0D0EE9BB" w:rsidR="005129DD" w:rsidRPr="00831913" w:rsidRDefault="005129DD" w:rsidP="005129DD">
      <w:pPr>
        <w:jc w:val="both"/>
        <w:rPr>
          <w:lang w:val="en-US"/>
        </w:rPr>
      </w:pPr>
      <w:r w:rsidRPr="00831913">
        <w:rPr>
          <w:lang w:val="en-US"/>
        </w:rPr>
        <w:t xml:space="preserve">At the same time, institutions face tensions. How can teachers uphold strong dialogical norms without slipping into excessive control? How can belonging be cultivated without coercing agreement? How can listening be made meaningful when time is short? </w:t>
      </w:r>
      <w:r w:rsidR="0079330D" w:rsidRPr="0079330D">
        <w:rPr>
          <w:lang w:val="en-US"/>
        </w:rPr>
        <w:t>Though none of these tensions can be fully resolved, recognizing them as part of the landscape allows institutions to support everyday calibration</w:t>
      </w:r>
      <w:r w:rsidRPr="00831913">
        <w:rPr>
          <w:lang w:val="en-US"/>
        </w:rPr>
        <w:t xml:space="preserve">. </w:t>
      </w:r>
      <w:r w:rsidR="00852271" w:rsidRPr="00852271">
        <w:rPr>
          <w:lang w:val="en-US"/>
        </w:rPr>
        <w:t>Rather than relying on external performance metrics</w:t>
      </w:r>
      <w:r w:rsidRPr="00831913">
        <w:rPr>
          <w:lang w:val="en-US"/>
        </w:rPr>
        <w:t>, they can create local conditions for reflective monitoring</w:t>
      </w:r>
      <w:r w:rsidR="009D1A7E">
        <w:rPr>
          <w:lang w:val="en-US"/>
        </w:rPr>
        <w:t xml:space="preserve"> – </w:t>
      </w:r>
      <w:r w:rsidRPr="00831913">
        <w:rPr>
          <w:lang w:val="en-US"/>
        </w:rPr>
        <w:t xml:space="preserve">space for teachers to notice how power, participation, and emotion are playing out in real time. </w:t>
      </w:r>
      <w:r w:rsidR="00852271" w:rsidRPr="00852271">
        <w:rPr>
          <w:lang w:val="en-US"/>
        </w:rPr>
        <w:t>Instead of trying to measure affection</w:t>
      </w:r>
      <w:r w:rsidRPr="00831913">
        <w:rPr>
          <w:lang w:val="en-US"/>
        </w:rPr>
        <w:t xml:space="preserve">, for instance, schools might support structured collegial reflection: </w:t>
      </w:r>
      <w:r w:rsidRPr="00852271">
        <w:rPr>
          <w:i/>
          <w:iCs/>
          <w:lang w:val="en-US"/>
        </w:rPr>
        <w:t>What moral atmosphere are we generating? Who’s speaking, and who’s not? How are boundaries perceived?</w:t>
      </w:r>
      <w:r w:rsidRPr="00831913">
        <w:rPr>
          <w:lang w:val="en-US"/>
        </w:rPr>
        <w:t xml:space="preserve"> Policy can help here</w:t>
      </w:r>
      <w:r>
        <w:rPr>
          <w:lang w:val="en-US"/>
        </w:rPr>
        <w:t xml:space="preserve">, </w:t>
      </w:r>
      <w:r w:rsidRPr="00831913">
        <w:rPr>
          <w:lang w:val="en-US"/>
        </w:rPr>
        <w:t xml:space="preserve">not by prescribing techniques, but by protecting time, continuity, and fairness </w:t>
      </w:r>
      <w:r w:rsidR="008E5518" w:rsidRPr="008E5518">
        <w:rPr>
          <w:lang w:val="en-US"/>
        </w:rPr>
        <w:t>so that trust-building and mutual recognition have room to unfold</w:t>
      </w:r>
      <w:r w:rsidR="008E5518">
        <w:rPr>
          <w:lang w:val="en-US"/>
        </w:rPr>
        <w:t xml:space="preserve"> </w:t>
      </w:r>
      <w:r w:rsidRPr="00831913">
        <w:rPr>
          <w:lang w:val="en-US"/>
        </w:rPr>
        <w:t xml:space="preserve">(Riddle &amp; Hickey, 2022). </w:t>
      </w:r>
    </w:p>
    <w:p w14:paraId="11E773E8" w14:textId="57A4192E" w:rsidR="005129DD" w:rsidRDefault="00AC379B" w:rsidP="005129DD">
      <w:pPr>
        <w:jc w:val="both"/>
        <w:rPr>
          <w:lang w:val="en-US"/>
        </w:rPr>
      </w:pPr>
      <w:r w:rsidRPr="00AC379B">
        <w:rPr>
          <w:lang w:val="en-US"/>
        </w:rPr>
        <w:t>In short, institutions must protect the relational ecology in which these qualities can take root</w:t>
      </w:r>
      <w:r w:rsidR="005129DD" w:rsidRPr="00831913">
        <w:rPr>
          <w:lang w:val="en-US"/>
        </w:rPr>
        <w:t xml:space="preserve">. </w:t>
      </w:r>
      <w:r w:rsidR="005129DD" w:rsidRPr="00BE1E35">
        <w:rPr>
          <w:lang w:val="en-US"/>
        </w:rPr>
        <w:t xml:space="preserve">This doesn’t mean legislating </w:t>
      </w:r>
      <w:r w:rsidR="00C136F8" w:rsidRPr="00BE1E35">
        <w:rPr>
          <w:lang w:val="en-US"/>
        </w:rPr>
        <w:t>liking everyone</w:t>
      </w:r>
      <w:r w:rsidR="005129DD" w:rsidRPr="00BE1E35">
        <w:rPr>
          <w:lang w:val="en-US"/>
        </w:rPr>
        <w:t xml:space="preserve"> or quantifying attentiveness</w:t>
      </w:r>
      <w:r w:rsidR="005129DD" w:rsidRPr="00831913">
        <w:rPr>
          <w:lang w:val="en-US"/>
        </w:rPr>
        <w:t xml:space="preserve">, but building structures that </w:t>
      </w:r>
      <w:r w:rsidR="002B5867">
        <w:rPr>
          <w:lang w:val="en-US"/>
        </w:rPr>
        <w:t>make space</w:t>
      </w:r>
      <w:r w:rsidR="005129DD" w:rsidRPr="00831913">
        <w:rPr>
          <w:lang w:val="en-US"/>
        </w:rPr>
        <w:t xml:space="preserve"> for reciprocity, trust, and revision. </w:t>
      </w:r>
      <w:r w:rsidR="005129DD" w:rsidRPr="00922212">
        <w:rPr>
          <w:lang w:val="en-US"/>
        </w:rPr>
        <w:t>When affection, authority, and attentiveness are institutionally afforded</w:t>
      </w:r>
      <w:r w:rsidR="005129DD">
        <w:rPr>
          <w:lang w:val="en-US"/>
        </w:rPr>
        <w:t xml:space="preserve"> – </w:t>
      </w:r>
      <w:r w:rsidR="002B5867" w:rsidRPr="00157E58">
        <w:rPr>
          <w:lang w:val="en-US"/>
        </w:rPr>
        <w:t>rather than left to individual goodwill</w:t>
      </w:r>
      <w:r w:rsidR="00157E58">
        <w:rPr>
          <w:lang w:val="en-US"/>
        </w:rPr>
        <w:t xml:space="preserve"> </w:t>
      </w:r>
      <w:r w:rsidR="005129DD">
        <w:rPr>
          <w:lang w:val="en-US"/>
        </w:rPr>
        <w:t xml:space="preserve">– </w:t>
      </w:r>
      <w:r w:rsidR="005129DD" w:rsidRPr="006879B4">
        <w:rPr>
          <w:lang w:val="en-US"/>
        </w:rPr>
        <w:t>dialogue becomes not only more likely to occur, but more likely to matter</w:t>
      </w:r>
      <w:r w:rsidR="009D65C7">
        <w:rPr>
          <w:lang w:val="en-US"/>
        </w:rPr>
        <w:t>.</w:t>
      </w:r>
    </w:p>
    <w:p w14:paraId="094A87B8" w14:textId="3126E60B" w:rsidR="009D65C7" w:rsidRDefault="009D65C7" w:rsidP="009D65C7">
      <w:pPr>
        <w:pStyle w:val="Heading2"/>
        <w:rPr>
          <w:lang w:val="en-US"/>
        </w:rPr>
      </w:pPr>
      <w:r>
        <w:rPr>
          <w:lang w:val="en-US"/>
        </w:rPr>
        <w:t>Conclusion</w:t>
      </w:r>
    </w:p>
    <w:p w14:paraId="411512CE" w14:textId="77777777" w:rsidR="00F02890" w:rsidRPr="000A3060" w:rsidRDefault="00F02890" w:rsidP="00F02890">
      <w:pPr>
        <w:jc w:val="both"/>
        <w:rPr>
          <w:lang w:val="en-US"/>
        </w:rPr>
      </w:pPr>
      <w:r w:rsidRPr="000A3060">
        <w:rPr>
          <w:lang w:val="en-US"/>
        </w:rPr>
        <w:t xml:space="preserve">Contact with otherness is not a matter of passive exposure, but of active meaning-building </w:t>
      </w:r>
      <w:r>
        <w:rPr>
          <w:lang w:val="en-US"/>
        </w:rPr>
        <w:t>–</w:t>
      </w:r>
      <w:r w:rsidRPr="000A3060">
        <w:rPr>
          <w:lang w:val="en-US"/>
        </w:rPr>
        <w:t xml:space="preserve"> and this work is difficult, sometimes painfully so. It requires a willingness to revise oneself in view of another’s words, to allow what is unfamiliar to linger before </w:t>
      </w:r>
      <w:r>
        <w:rPr>
          <w:lang w:val="en-US"/>
        </w:rPr>
        <w:t>instinctively</w:t>
      </w:r>
      <w:r w:rsidRPr="000A3060">
        <w:rPr>
          <w:lang w:val="en-US"/>
        </w:rPr>
        <w:t xml:space="preserve"> sorting it into the known. </w:t>
      </w:r>
      <w:r w:rsidRPr="000A3060">
        <w:rPr>
          <w:lang w:val="en-US"/>
        </w:rPr>
        <w:lastRenderedPageBreak/>
        <w:t xml:space="preserve">This task is especially demanding </w:t>
      </w:r>
      <w:r>
        <w:rPr>
          <w:lang w:val="en-US"/>
        </w:rPr>
        <w:t>during</w:t>
      </w:r>
      <w:r w:rsidRPr="000A3060">
        <w:rPr>
          <w:lang w:val="en-US"/>
        </w:rPr>
        <w:t xml:space="preserve"> adolescence, when identities are </w:t>
      </w:r>
      <w:r w:rsidRPr="003C1D2D">
        <w:rPr>
          <w:lang w:val="en-US"/>
        </w:rPr>
        <w:t>undergoing the fragile, intertwined processes of transformation and affirmation</w:t>
      </w:r>
      <w:r w:rsidRPr="000A3060">
        <w:rPr>
          <w:lang w:val="en-US"/>
        </w:rPr>
        <w:t>. In such moments, what determines whether a viewpoint can be truly heard is not just argument, but atmosphere.</w:t>
      </w:r>
    </w:p>
    <w:p w14:paraId="607F3B2E" w14:textId="0EA749F0" w:rsidR="00F02890" w:rsidRPr="000A3060" w:rsidRDefault="00F02890" w:rsidP="00F02890">
      <w:pPr>
        <w:jc w:val="both"/>
        <w:rPr>
          <w:lang w:val="en-US"/>
        </w:rPr>
      </w:pPr>
      <w:r w:rsidRPr="000A3060">
        <w:rPr>
          <w:lang w:val="en-US"/>
        </w:rPr>
        <w:t xml:space="preserve">Relational climates make room for this hearing to happen. </w:t>
      </w:r>
      <w:r>
        <w:rPr>
          <w:lang w:val="en-US"/>
        </w:rPr>
        <w:t xml:space="preserve">Social contact is inevitable, but </w:t>
      </w:r>
      <w:r w:rsidRPr="000A3060">
        <w:rPr>
          <w:lang w:val="en-US"/>
        </w:rPr>
        <w:t xml:space="preserve">the </w:t>
      </w:r>
      <w:r w:rsidRPr="000A3060">
        <w:rPr>
          <w:i/>
          <w:iCs/>
          <w:lang w:val="en-US"/>
        </w:rPr>
        <w:t>mode</w:t>
      </w:r>
      <w:r w:rsidRPr="000A3060">
        <w:rPr>
          <w:lang w:val="en-US"/>
        </w:rPr>
        <w:t xml:space="preserve"> of relating shapes </w:t>
      </w:r>
      <w:r w:rsidR="00282992" w:rsidRPr="00282992">
        <w:rPr>
          <w:lang w:val="en-US"/>
        </w:rPr>
        <w:t xml:space="preserve">what becomes possible </w:t>
      </w:r>
      <w:r w:rsidR="00282992">
        <w:rPr>
          <w:lang w:val="en-US"/>
        </w:rPr>
        <w:t>through contact</w:t>
      </w:r>
      <w:r w:rsidRPr="000A3060">
        <w:rPr>
          <w:lang w:val="en-US"/>
        </w:rPr>
        <w:t>: how safe it feels to speak</w:t>
      </w:r>
      <w:r>
        <w:rPr>
          <w:lang w:val="en-US"/>
        </w:rPr>
        <w:t xml:space="preserve"> and</w:t>
      </w:r>
      <w:r w:rsidRPr="000A3060">
        <w:rPr>
          <w:lang w:val="en-US"/>
        </w:rPr>
        <w:t xml:space="preserve"> </w:t>
      </w:r>
      <w:r>
        <w:rPr>
          <w:lang w:val="en-US"/>
        </w:rPr>
        <w:t>the extent to which we are willing to suspend the force of our prior convictions when listening</w:t>
      </w:r>
      <w:r w:rsidRPr="000A3060">
        <w:rPr>
          <w:lang w:val="en-US"/>
        </w:rPr>
        <w:t>. Yet in many places, schools have lost sight of the role that relationships play in making learning possible</w:t>
      </w:r>
      <w:r>
        <w:rPr>
          <w:lang w:val="en-US"/>
        </w:rPr>
        <w:t>: they are</w:t>
      </w:r>
      <w:r w:rsidRPr="000A3060">
        <w:rPr>
          <w:lang w:val="en-US"/>
        </w:rPr>
        <w:t xml:space="preserve"> the “dark matter” of education (Sidorkin, 2023), invisible and difficult to measure, but holding the whole system together. Some systems have even become hostile to closeness between students and teachers, treating intimacy as a liability and trust as a luxury.</w:t>
      </w:r>
    </w:p>
    <w:p w14:paraId="0C0E4575" w14:textId="77777777" w:rsidR="00F02890" w:rsidRPr="000A3060" w:rsidRDefault="00F02890" w:rsidP="00F02890">
      <w:pPr>
        <w:jc w:val="both"/>
        <w:rPr>
          <w:lang w:val="en-US"/>
        </w:rPr>
      </w:pPr>
      <w:r w:rsidRPr="000A3060">
        <w:rPr>
          <w:lang w:val="en-US"/>
        </w:rPr>
        <w:t xml:space="preserve">This is part of why the conditions that allow for dialogical transformation cannot be legislated directly. Relational quality resists standardization: it emerges, or fails to emerge, from the textures of everyday interaction. Still, institutions can protect its possibility. They can support continuity, reflection, fairness, and time. They can defend the space in which affection, authority, and attentiveness might take root </w:t>
      </w:r>
      <w:r>
        <w:rPr>
          <w:lang w:val="en-US"/>
        </w:rPr>
        <w:t>–</w:t>
      </w:r>
      <w:r w:rsidRPr="000A3060">
        <w:rPr>
          <w:lang w:val="en-US"/>
        </w:rPr>
        <w:t xml:space="preserve"> not by mandating relationships, but by refusing to sabotage them.</w:t>
      </w:r>
      <w:r>
        <w:rPr>
          <w:lang w:val="en-US"/>
        </w:rPr>
        <w:t xml:space="preserve"> At the same time, they can take a more active role by promoting cultures of relational quality </w:t>
      </w:r>
      <w:r w:rsidRPr="003C1D2D">
        <w:rPr>
          <w:lang w:val="en-US"/>
        </w:rPr>
        <w:t>through leadership that models relation-centered talk and builds it into daily practice</w:t>
      </w:r>
      <w:r>
        <w:rPr>
          <w:lang w:val="en-US"/>
        </w:rPr>
        <w:t xml:space="preserve">. </w:t>
      </w:r>
      <w:r w:rsidRPr="003C1D2D">
        <w:rPr>
          <w:lang w:val="en-US"/>
        </w:rPr>
        <w:t xml:space="preserve">This kind of discourse generation – fostering intentional conversations about relational practice – helps convince </w:t>
      </w:r>
      <w:r>
        <w:rPr>
          <w:lang w:val="en-US"/>
        </w:rPr>
        <w:t>teachers that “paying attention to their relations with students is an important part of what they do” (</w:t>
      </w:r>
      <w:r w:rsidRPr="000A3060">
        <w:rPr>
          <w:lang w:val="en-US"/>
        </w:rPr>
        <w:t>Sidorkin, 2023</w:t>
      </w:r>
      <w:r>
        <w:rPr>
          <w:lang w:val="en-US"/>
        </w:rPr>
        <w:t>, p. 122).</w:t>
      </w:r>
    </w:p>
    <w:p w14:paraId="4FA2A401" w14:textId="38FB5517" w:rsidR="00334385" w:rsidRPr="00606EE8" w:rsidRDefault="00F02890" w:rsidP="00E00FD9">
      <w:pPr>
        <w:jc w:val="both"/>
        <w:rPr>
          <w:lang w:val="en-US"/>
        </w:rPr>
      </w:pPr>
      <w:r w:rsidRPr="000A3060">
        <w:rPr>
          <w:lang w:val="en-US"/>
        </w:rPr>
        <w:t xml:space="preserve">In an age of escalating political polarization, the stakes of this work are not only pedagogical but civic. Subjective openness </w:t>
      </w:r>
      <w:r>
        <w:rPr>
          <w:lang w:val="en-US"/>
        </w:rPr>
        <w:t>–</w:t>
      </w:r>
      <w:r w:rsidRPr="000A3060">
        <w:rPr>
          <w:lang w:val="en-US"/>
        </w:rPr>
        <w:t xml:space="preserve"> the willingness to stay in difficult contact with others, and with oneself</w:t>
      </w:r>
      <w:r>
        <w:rPr>
          <w:lang w:val="en-US"/>
        </w:rPr>
        <w:t xml:space="preserve"> as an unfinished being</w:t>
      </w:r>
      <w:r w:rsidRPr="000A3060">
        <w:rPr>
          <w:lang w:val="en-US"/>
        </w:rPr>
        <w:t xml:space="preserve"> </w:t>
      </w:r>
      <w:r>
        <w:rPr>
          <w:lang w:val="en-US"/>
        </w:rPr>
        <w:t xml:space="preserve">– </w:t>
      </w:r>
      <w:r w:rsidRPr="000A3060">
        <w:rPr>
          <w:lang w:val="en-US"/>
        </w:rPr>
        <w:t xml:space="preserve">is no longer a virtue we can afford to romanticize or postpone. It is a precondition for any democracy that hopes to survive its differences. </w:t>
      </w:r>
      <w:r w:rsidR="005D21D4" w:rsidRPr="005D21D4">
        <w:rPr>
          <w:lang w:val="en-US"/>
        </w:rPr>
        <w:t>As Dewey reminds us, democracy is not simply a system of governance, but a mode of associated living forged in the quality of our shared experience.</w:t>
      </w:r>
      <w:r w:rsidR="005D21D4">
        <w:rPr>
          <w:lang w:val="en-US"/>
        </w:rPr>
        <w:t xml:space="preserve"> </w:t>
      </w:r>
      <w:r w:rsidRPr="000A3060">
        <w:rPr>
          <w:lang w:val="en-US"/>
        </w:rPr>
        <w:t>If democratic education is to take dialogue seriously, it must begin here: not with the protocols of discussion, but with the conditions that allow difference to matter.</w:t>
      </w:r>
    </w:p>
    <w:p w14:paraId="7EF914F9" w14:textId="77777777" w:rsidR="001C087A" w:rsidRDefault="001C087A">
      <w:pPr>
        <w:rPr>
          <w:lang w:val="en-US"/>
        </w:rPr>
      </w:pPr>
    </w:p>
    <w:p w14:paraId="0CF25AE3" w14:textId="3CDA5F95" w:rsidR="000A1711" w:rsidRDefault="000A1711" w:rsidP="000A1711">
      <w:pPr>
        <w:pStyle w:val="Heading2"/>
        <w:rPr>
          <w:lang w:val="en-US"/>
        </w:rPr>
      </w:pPr>
      <w:r>
        <w:rPr>
          <w:lang w:val="en-US"/>
        </w:rPr>
        <w:t xml:space="preserve">References </w:t>
      </w:r>
    </w:p>
    <w:p w14:paraId="28B00D7D" w14:textId="77777777" w:rsidR="00EB3E3D" w:rsidRPr="00EB3E3D" w:rsidRDefault="00EB3E3D" w:rsidP="00EB3E3D">
      <w:pPr>
        <w:rPr>
          <w:lang w:val="en-US"/>
        </w:rPr>
      </w:pPr>
      <w:r w:rsidRPr="00EB3E3D">
        <w:rPr>
          <w:lang w:val="en-US"/>
        </w:rPr>
        <w:t xml:space="preserve">Allport, G. W. (1954). </w:t>
      </w:r>
      <w:r w:rsidRPr="00EB3E3D">
        <w:rPr>
          <w:i/>
          <w:iCs/>
          <w:lang w:val="en-US"/>
        </w:rPr>
        <w:t>The nature of prejudice</w:t>
      </w:r>
      <w:r w:rsidRPr="00EB3E3D">
        <w:rPr>
          <w:lang w:val="en-US"/>
        </w:rPr>
        <w:t>. Addison-Wesley.</w:t>
      </w:r>
    </w:p>
    <w:p w14:paraId="05023920" w14:textId="77777777" w:rsidR="00EB3E3D" w:rsidRPr="00EB3E3D" w:rsidRDefault="00EB3E3D" w:rsidP="00EB3E3D">
      <w:pPr>
        <w:rPr>
          <w:lang w:val="en-US"/>
        </w:rPr>
      </w:pPr>
      <w:r w:rsidRPr="00EB3E3D">
        <w:rPr>
          <w:lang w:val="en-US"/>
        </w:rPr>
        <w:t xml:space="preserve">Ball, S. J. (2012). </w:t>
      </w:r>
      <w:r w:rsidRPr="00EB3E3D">
        <w:rPr>
          <w:i/>
          <w:iCs/>
          <w:lang w:val="en-US"/>
        </w:rPr>
        <w:t>Global education inc.: New policy networks and the neoliberal imaginary</w:t>
      </w:r>
      <w:r w:rsidRPr="00EB3E3D">
        <w:rPr>
          <w:lang w:val="en-US"/>
        </w:rPr>
        <w:t>. Routledge.</w:t>
      </w:r>
    </w:p>
    <w:p w14:paraId="41562364" w14:textId="77777777" w:rsidR="00EB3E3D" w:rsidRPr="00EB3E3D" w:rsidRDefault="00EB3E3D" w:rsidP="00EB3E3D">
      <w:pPr>
        <w:rPr>
          <w:lang w:val="en-US"/>
        </w:rPr>
      </w:pPr>
      <w:r w:rsidRPr="00EB3E3D">
        <w:rPr>
          <w:lang w:val="en-US"/>
        </w:rPr>
        <w:t xml:space="preserve">Biesta, G. (2015). What is education for? On good education, teacher judgement, and educational professionalism. </w:t>
      </w:r>
      <w:r w:rsidRPr="00EB3E3D">
        <w:rPr>
          <w:i/>
          <w:iCs/>
          <w:lang w:val="en-US"/>
        </w:rPr>
        <w:t>European Journal of Education, 50</w:t>
      </w:r>
      <w:r w:rsidRPr="00EB3E3D">
        <w:rPr>
          <w:lang w:val="en-US"/>
        </w:rPr>
        <w:t>(1), 75–87.</w:t>
      </w:r>
    </w:p>
    <w:p w14:paraId="209897F6" w14:textId="77777777" w:rsidR="00EB3E3D" w:rsidRPr="00EB3E3D" w:rsidRDefault="00EB3E3D" w:rsidP="00EB3E3D">
      <w:pPr>
        <w:rPr>
          <w:lang w:val="en-US"/>
        </w:rPr>
      </w:pPr>
      <w:r w:rsidRPr="00EB3E3D">
        <w:rPr>
          <w:lang w:val="en-US"/>
        </w:rPr>
        <w:t xml:space="preserve">Bingham, C. (2008). </w:t>
      </w:r>
      <w:r w:rsidRPr="00EB3E3D">
        <w:rPr>
          <w:i/>
          <w:iCs/>
          <w:lang w:val="en-US"/>
        </w:rPr>
        <w:t>Authority is relational: Rethinking educational empowerment</w:t>
      </w:r>
      <w:r w:rsidRPr="00EB3E3D">
        <w:rPr>
          <w:lang w:val="en-US"/>
        </w:rPr>
        <w:t>. SUNY Press.</w:t>
      </w:r>
    </w:p>
    <w:p w14:paraId="190A69AC" w14:textId="77777777" w:rsidR="00EB3E3D" w:rsidRPr="00EB3E3D" w:rsidRDefault="00EB3E3D" w:rsidP="00EB3E3D">
      <w:pPr>
        <w:rPr>
          <w:lang w:val="en-US"/>
        </w:rPr>
      </w:pPr>
      <w:r w:rsidRPr="00EB3E3D">
        <w:rPr>
          <w:lang w:val="en-US"/>
        </w:rPr>
        <w:t xml:space="preserve">Burgh, G., &amp; Yorshansky, M. (2011). Communities of inquiry: Politics, power and group dynamics. </w:t>
      </w:r>
      <w:r w:rsidRPr="00EB3E3D">
        <w:rPr>
          <w:i/>
          <w:iCs/>
          <w:lang w:val="en-US"/>
        </w:rPr>
        <w:t>Educational Philosophy and Theory, 43</w:t>
      </w:r>
      <w:r w:rsidRPr="00EB3E3D">
        <w:rPr>
          <w:lang w:val="en-US"/>
        </w:rPr>
        <w:t>(5), 436–452.</w:t>
      </w:r>
    </w:p>
    <w:p w14:paraId="3F84B2E4" w14:textId="77777777" w:rsidR="00EB3E3D" w:rsidRPr="00EB3E3D" w:rsidRDefault="00EB3E3D" w:rsidP="00EB3E3D">
      <w:pPr>
        <w:rPr>
          <w:lang w:val="en-US"/>
        </w:rPr>
      </w:pPr>
      <w:r w:rsidRPr="00527428">
        <w:rPr>
          <w:lang w:val="en-US"/>
        </w:rPr>
        <w:t xml:space="preserve">Castillo, K., Kukkola, J., &amp; Siljander, P. (2022). </w:t>
      </w:r>
      <w:r w:rsidRPr="00EB3E3D">
        <w:rPr>
          <w:lang w:val="en-US"/>
        </w:rPr>
        <w:t xml:space="preserve">Conserving the dignity of teaching through ethics as ‘mise en question’. </w:t>
      </w:r>
      <w:r w:rsidRPr="00EB3E3D">
        <w:rPr>
          <w:i/>
          <w:iCs/>
          <w:lang w:val="en-US"/>
        </w:rPr>
        <w:t>Journal of Philosophy of Education, 56</w:t>
      </w:r>
      <w:r w:rsidRPr="00EB3E3D">
        <w:rPr>
          <w:lang w:val="en-US"/>
        </w:rPr>
        <w:t xml:space="preserve">, 318–328. </w:t>
      </w:r>
      <w:hyperlink r:id="rId12" w:tgtFrame="_new" w:history="1">
        <w:r w:rsidRPr="00EB3E3D">
          <w:rPr>
            <w:rStyle w:val="Hyperlink"/>
            <w:lang w:val="en-US"/>
          </w:rPr>
          <w:t>https://doi.org/10.1111/1467-9752.12626</w:t>
        </w:r>
      </w:hyperlink>
    </w:p>
    <w:p w14:paraId="0316E727" w14:textId="6B01AE80" w:rsidR="00FD63D4" w:rsidRPr="00FD63D4" w:rsidRDefault="00FD63D4" w:rsidP="00FD63D4">
      <w:pPr>
        <w:rPr>
          <w:lang w:val="en-US"/>
        </w:rPr>
      </w:pPr>
      <w:r w:rsidRPr="00FD63D4">
        <w:rPr>
          <w:lang w:val="en-US"/>
        </w:rPr>
        <w:lastRenderedPageBreak/>
        <w:t xml:space="preserve">Cuneen, N. (2021a). Essentialist beliefs and school governance. </w:t>
      </w:r>
      <w:r w:rsidRPr="00FD63D4">
        <w:rPr>
          <w:i/>
          <w:iCs/>
          <w:lang w:val="en-US"/>
        </w:rPr>
        <w:t>Educational Philosophy and Theory, 53</w:t>
      </w:r>
      <w:r w:rsidRPr="00FD63D4">
        <w:rPr>
          <w:lang w:val="en-US"/>
        </w:rPr>
        <w:t xml:space="preserve">(4), 338–349. https://doi.org/10.1080/00131857.2020.1782733 </w:t>
      </w:r>
    </w:p>
    <w:p w14:paraId="20AE7A64" w14:textId="7385B1C4" w:rsidR="00FD63D4" w:rsidRPr="00FD63D4" w:rsidRDefault="00FD63D4" w:rsidP="00FD63D4">
      <w:pPr>
        <w:rPr>
          <w:lang w:val="en-US"/>
        </w:rPr>
      </w:pPr>
      <w:r w:rsidRPr="008F45EF">
        <w:t xml:space="preserve">Cuneen, N. (2021b). </w:t>
      </w:r>
      <w:r w:rsidRPr="00FD63D4">
        <w:rPr>
          <w:i/>
          <w:iCs/>
        </w:rPr>
        <w:t>Reconnaissance et éducation identitaire: Compétences identitaires et gouvernance scolaire.</w:t>
      </w:r>
      <w:r w:rsidRPr="00FD63D4">
        <w:t xml:space="preserve"> </w:t>
      </w:r>
      <w:r w:rsidRPr="00FD63D4">
        <w:rPr>
          <w:lang w:val="en-US"/>
        </w:rPr>
        <w:t xml:space="preserve">Peter Lang. https://doi.org/10.3726/b18400 </w:t>
      </w:r>
    </w:p>
    <w:p w14:paraId="2A01DC58" w14:textId="77777777" w:rsidR="00EB3E3D" w:rsidRPr="00EB3E3D" w:rsidRDefault="00EB3E3D" w:rsidP="00EB3E3D">
      <w:pPr>
        <w:rPr>
          <w:lang w:val="en-US"/>
        </w:rPr>
      </w:pPr>
      <w:r w:rsidRPr="00EB3E3D">
        <w:rPr>
          <w:lang w:val="en-US"/>
        </w:rPr>
        <w:t xml:space="preserve">Dewey, J. (1916/2004). </w:t>
      </w:r>
      <w:r w:rsidRPr="00EB3E3D">
        <w:rPr>
          <w:i/>
          <w:iCs/>
          <w:lang w:val="en-US"/>
        </w:rPr>
        <w:t>Democracy and education</w:t>
      </w:r>
      <w:r w:rsidRPr="00EB3E3D">
        <w:rPr>
          <w:lang w:val="en-US"/>
        </w:rPr>
        <w:t>. Dover. (Original work published 1916)</w:t>
      </w:r>
    </w:p>
    <w:p w14:paraId="246ED7B0" w14:textId="77777777" w:rsidR="00EB3E3D" w:rsidRPr="00EB3E3D" w:rsidRDefault="00EB3E3D" w:rsidP="00EB3E3D">
      <w:pPr>
        <w:rPr>
          <w:lang w:val="en-US"/>
        </w:rPr>
      </w:pPr>
      <w:r w:rsidRPr="00EB3E3D">
        <w:rPr>
          <w:lang w:val="en-US"/>
        </w:rPr>
        <w:t xml:space="preserve">D’Olimpio, L. (2024). The limits to dialogue. </w:t>
      </w:r>
      <w:r w:rsidRPr="00EB3E3D">
        <w:rPr>
          <w:i/>
          <w:iCs/>
          <w:lang w:val="en-US"/>
        </w:rPr>
        <w:t>Oxford Review of Education, 50</w:t>
      </w:r>
      <w:r w:rsidRPr="00EB3E3D">
        <w:rPr>
          <w:lang w:val="en-US"/>
        </w:rPr>
        <w:t>(5), 626–640.</w:t>
      </w:r>
    </w:p>
    <w:p w14:paraId="4B554BDC" w14:textId="77777777" w:rsidR="00EB3E3D" w:rsidRPr="00EB3E3D" w:rsidRDefault="00EB3E3D" w:rsidP="00EB3E3D">
      <w:pPr>
        <w:rPr>
          <w:lang w:val="en-US"/>
        </w:rPr>
      </w:pPr>
      <w:r w:rsidRPr="00EB3E3D">
        <w:rPr>
          <w:lang w:val="en-US"/>
        </w:rPr>
        <w:t xml:space="preserve">Edwards-Groves, C., Brennan Kemmis, R., Hardy, I., &amp; Ponte, P. (2010). Relational architectures: Recovering solidarity and agency as living practices in education. </w:t>
      </w:r>
      <w:r w:rsidRPr="00EB3E3D">
        <w:rPr>
          <w:i/>
          <w:iCs/>
          <w:lang w:val="en-US"/>
        </w:rPr>
        <w:t>Pedagogy, Culture &amp; Society, 18</w:t>
      </w:r>
      <w:r w:rsidRPr="00EB3E3D">
        <w:rPr>
          <w:lang w:val="en-US"/>
        </w:rPr>
        <w:t>, 43–54.</w:t>
      </w:r>
    </w:p>
    <w:p w14:paraId="224C175B" w14:textId="7A5198AC" w:rsidR="00EB3E3D" w:rsidRPr="00EB3E3D" w:rsidRDefault="00EB3E3D" w:rsidP="00EB3E3D">
      <w:pPr>
        <w:rPr>
          <w:lang w:val="en-US"/>
        </w:rPr>
      </w:pPr>
      <w:r w:rsidRPr="00EB3E3D">
        <w:rPr>
          <w:lang w:val="en-US"/>
        </w:rPr>
        <w:t xml:space="preserve">Fisher, R. (2007). Dialogic teaching: Developing thinking and metacognition through philosophical discussion. </w:t>
      </w:r>
      <w:r w:rsidRPr="00EB3E3D">
        <w:rPr>
          <w:i/>
          <w:iCs/>
          <w:lang w:val="en-US"/>
        </w:rPr>
        <w:t>Early Child Development and Care, 177</w:t>
      </w:r>
      <w:r w:rsidRPr="00EB3E3D">
        <w:rPr>
          <w:lang w:val="en-US"/>
        </w:rPr>
        <w:t xml:space="preserve">(6–7), 615–631. </w:t>
      </w:r>
      <w:hyperlink r:id="rId13" w:history="1">
        <w:r w:rsidR="00FD63D4" w:rsidRPr="00EB3E3D">
          <w:rPr>
            <w:rStyle w:val="Hyperlink"/>
            <w:lang w:val="en-US"/>
          </w:rPr>
          <w:t>https://doi.org/10.1080/03004430701378985</w:t>
        </w:r>
      </w:hyperlink>
      <w:r w:rsidR="00FD63D4">
        <w:rPr>
          <w:lang w:val="en-US"/>
        </w:rPr>
        <w:t xml:space="preserve"> </w:t>
      </w:r>
    </w:p>
    <w:p w14:paraId="5C28CF21" w14:textId="15425EAE" w:rsidR="00EB3E3D" w:rsidRPr="00EB3E3D" w:rsidRDefault="00EB3E3D" w:rsidP="00EB3E3D">
      <w:pPr>
        <w:rPr>
          <w:lang w:val="en-US"/>
        </w:rPr>
      </w:pPr>
      <w:r w:rsidRPr="00EB3E3D">
        <w:rPr>
          <w:lang w:val="en-US"/>
        </w:rPr>
        <w:t xml:space="preserve">Fricker, M. (2007). </w:t>
      </w:r>
      <w:r w:rsidRPr="00EB3E3D">
        <w:rPr>
          <w:i/>
          <w:iCs/>
          <w:lang w:val="en-US"/>
        </w:rPr>
        <w:t>Epistemic injustice: Power and the ethics of knowing</w:t>
      </w:r>
      <w:r w:rsidRPr="00EB3E3D">
        <w:rPr>
          <w:lang w:val="en-US"/>
        </w:rPr>
        <w:t xml:space="preserve">. Oxford University Press. </w:t>
      </w:r>
    </w:p>
    <w:p w14:paraId="249F135C" w14:textId="77777777" w:rsidR="00EB3E3D" w:rsidRPr="00EB3E3D" w:rsidRDefault="00EB3E3D" w:rsidP="00EB3E3D">
      <w:pPr>
        <w:rPr>
          <w:lang w:val="en-US"/>
        </w:rPr>
      </w:pPr>
      <w:r w:rsidRPr="00EB3E3D">
        <w:rPr>
          <w:lang w:val="en-US"/>
        </w:rPr>
        <w:t xml:space="preserve">Gillespie, A. (2008). Social representations, alternative representations and semantic barriers. </w:t>
      </w:r>
      <w:r w:rsidRPr="00EB3E3D">
        <w:rPr>
          <w:i/>
          <w:iCs/>
          <w:lang w:val="en-US"/>
        </w:rPr>
        <w:t>Journal for the Theory of Social Behaviour, 38</w:t>
      </w:r>
      <w:r w:rsidRPr="00EB3E3D">
        <w:rPr>
          <w:lang w:val="en-US"/>
        </w:rPr>
        <w:t xml:space="preserve">(4), 375–391. </w:t>
      </w:r>
      <w:hyperlink r:id="rId14" w:tgtFrame="_new" w:history="1">
        <w:r w:rsidRPr="00EB3E3D">
          <w:rPr>
            <w:rStyle w:val="Hyperlink"/>
            <w:lang w:val="en-US"/>
          </w:rPr>
          <w:t>https://doi.org/10.1111/j.1468-5914.2008.00376.x</w:t>
        </w:r>
      </w:hyperlink>
    </w:p>
    <w:p w14:paraId="05B67942" w14:textId="77777777" w:rsidR="00EB3E3D" w:rsidRPr="00EB3E3D" w:rsidRDefault="00EB3E3D" w:rsidP="00EB3E3D">
      <w:pPr>
        <w:rPr>
          <w:lang w:val="en-US"/>
        </w:rPr>
      </w:pPr>
      <w:r w:rsidRPr="00EB3E3D">
        <w:t xml:space="preserve">Gillespie, A. (2015). Non-transformative social interaction. </w:t>
      </w:r>
      <w:r w:rsidRPr="00EB3E3D">
        <w:rPr>
          <w:lang w:val="en-US"/>
        </w:rPr>
        <w:t xml:space="preserve">In C. Psaltis, A. Gillespie, &amp; A.-N. Perret-Clermont (Eds.), </w:t>
      </w:r>
      <w:r w:rsidRPr="00EB3E3D">
        <w:rPr>
          <w:i/>
          <w:iCs/>
          <w:lang w:val="en-US"/>
        </w:rPr>
        <w:t>Social relations in human and societal development</w:t>
      </w:r>
      <w:r w:rsidRPr="00EB3E3D">
        <w:rPr>
          <w:lang w:val="en-US"/>
        </w:rPr>
        <w:t xml:space="preserve"> (pp. 97–113). Palgrave Macmillan.</w:t>
      </w:r>
    </w:p>
    <w:p w14:paraId="44567B5E" w14:textId="77777777" w:rsidR="00EB3E3D" w:rsidRPr="00EB3E3D" w:rsidRDefault="00EB3E3D" w:rsidP="00EB3E3D">
      <w:pPr>
        <w:rPr>
          <w:lang w:val="en-US"/>
        </w:rPr>
      </w:pPr>
      <w:r w:rsidRPr="00EB3E3D">
        <w:rPr>
          <w:lang w:val="en-US"/>
        </w:rPr>
        <w:t xml:space="preserve">Gillespie, A. (2020). Semantic contact and semantic barriers: Reactionary responses to disruptive ideas. </w:t>
      </w:r>
      <w:r w:rsidRPr="00EB3E3D">
        <w:rPr>
          <w:i/>
          <w:iCs/>
          <w:lang w:val="en-US"/>
        </w:rPr>
        <w:t>Current Opinion in Psychology, 35</w:t>
      </w:r>
      <w:r w:rsidRPr="00EB3E3D">
        <w:rPr>
          <w:lang w:val="en-US"/>
        </w:rPr>
        <w:t xml:space="preserve">, 21–25. </w:t>
      </w:r>
      <w:hyperlink r:id="rId15" w:tgtFrame="_new" w:history="1">
        <w:r w:rsidRPr="00EB3E3D">
          <w:rPr>
            <w:rStyle w:val="Hyperlink"/>
            <w:lang w:val="en-US"/>
          </w:rPr>
          <w:t>https://doi.org/10.1016/j.copsyc.2020.02.010</w:t>
        </w:r>
      </w:hyperlink>
    </w:p>
    <w:p w14:paraId="44C7AD4C" w14:textId="77777777" w:rsidR="00EB3E3D" w:rsidRPr="00EB3E3D" w:rsidRDefault="00EB3E3D" w:rsidP="00EB3E3D">
      <w:pPr>
        <w:rPr>
          <w:lang w:val="en-US"/>
        </w:rPr>
      </w:pPr>
      <w:r w:rsidRPr="00EB3E3D">
        <w:rPr>
          <w:lang w:val="en-US"/>
        </w:rPr>
        <w:t xml:space="preserve">Hammond, Z. (2015). </w:t>
      </w:r>
      <w:r w:rsidRPr="00EB3E3D">
        <w:rPr>
          <w:i/>
          <w:iCs/>
          <w:lang w:val="en-US"/>
        </w:rPr>
        <w:t>Culturally responsive teaching and the brain</w:t>
      </w:r>
      <w:r w:rsidRPr="00EB3E3D">
        <w:rPr>
          <w:lang w:val="en-US"/>
        </w:rPr>
        <w:t>. Corwin.</w:t>
      </w:r>
    </w:p>
    <w:p w14:paraId="0D3D2BA3" w14:textId="77777777" w:rsidR="00EB3E3D" w:rsidRPr="00EB3E3D" w:rsidRDefault="00EB3E3D" w:rsidP="00EB3E3D">
      <w:pPr>
        <w:rPr>
          <w:lang w:val="en-US"/>
        </w:rPr>
      </w:pPr>
      <w:r w:rsidRPr="00EB3E3D">
        <w:rPr>
          <w:lang w:val="en-US"/>
        </w:rPr>
        <w:t xml:space="preserve">Holma, K. (2012). Fallibilist pluralism and education for shared citizenship. </w:t>
      </w:r>
      <w:r w:rsidRPr="00EB3E3D">
        <w:rPr>
          <w:i/>
          <w:iCs/>
          <w:lang w:val="en-US"/>
        </w:rPr>
        <w:t>Educational Theory, 62</w:t>
      </w:r>
      <w:r w:rsidRPr="00EB3E3D">
        <w:rPr>
          <w:lang w:val="en-US"/>
        </w:rPr>
        <w:t xml:space="preserve">(4), 397–409. </w:t>
      </w:r>
      <w:hyperlink r:id="rId16" w:tgtFrame="_new" w:history="1">
        <w:r w:rsidRPr="00EB3E3D">
          <w:rPr>
            <w:rStyle w:val="Hyperlink"/>
            <w:lang w:val="en-US"/>
          </w:rPr>
          <w:t>https://doi.org/10.1111/j.1741-5446.2012.00453.x</w:t>
        </w:r>
      </w:hyperlink>
    </w:p>
    <w:p w14:paraId="7EBFD544" w14:textId="77777777" w:rsidR="00EB3E3D" w:rsidRPr="00EB3E3D" w:rsidRDefault="00EB3E3D" w:rsidP="00EB3E3D">
      <w:pPr>
        <w:rPr>
          <w:lang w:val="en-US"/>
        </w:rPr>
      </w:pPr>
      <w:r w:rsidRPr="00EB3E3D">
        <w:rPr>
          <w:lang w:val="en-US"/>
        </w:rPr>
        <w:t xml:space="preserve">Holma, K. (2024). Education as initiation into social practices – The case of democracy. </w:t>
      </w:r>
      <w:r w:rsidRPr="00EB3E3D">
        <w:rPr>
          <w:i/>
          <w:iCs/>
          <w:lang w:val="en-US"/>
        </w:rPr>
        <w:t>Ethics and Education, 19</w:t>
      </w:r>
      <w:r w:rsidRPr="00EB3E3D">
        <w:rPr>
          <w:lang w:val="en-US"/>
        </w:rPr>
        <w:t xml:space="preserve">(4), 506–520. </w:t>
      </w:r>
      <w:hyperlink r:id="rId17" w:tgtFrame="_new" w:history="1">
        <w:r w:rsidRPr="00EB3E3D">
          <w:rPr>
            <w:rStyle w:val="Hyperlink"/>
            <w:lang w:val="en-US"/>
          </w:rPr>
          <w:t>https://doi.org/10.1080/17449642.2024.2420558</w:t>
        </w:r>
      </w:hyperlink>
    </w:p>
    <w:p w14:paraId="206595BB" w14:textId="77777777" w:rsidR="00EB3E3D" w:rsidRPr="00EB3E3D" w:rsidRDefault="00EB3E3D" w:rsidP="00EB3E3D">
      <w:pPr>
        <w:rPr>
          <w:lang w:val="en-US"/>
        </w:rPr>
      </w:pPr>
      <w:r w:rsidRPr="00EB3E3D">
        <w:rPr>
          <w:lang w:val="en-US"/>
        </w:rPr>
        <w:t xml:space="preserve">Holma, K., &amp; Huhtala, H.-M. (2025). Habits of tolerance: The reformative power of pragmatism. </w:t>
      </w:r>
      <w:r w:rsidRPr="00EB3E3D">
        <w:rPr>
          <w:i/>
          <w:iCs/>
          <w:lang w:val="en-US"/>
        </w:rPr>
        <w:t>Educational Theory, 75</w:t>
      </w:r>
      <w:r w:rsidRPr="00EB3E3D">
        <w:rPr>
          <w:lang w:val="en-US"/>
        </w:rPr>
        <w:t xml:space="preserve">, 460–477. </w:t>
      </w:r>
      <w:hyperlink r:id="rId18" w:tgtFrame="_new" w:history="1">
        <w:r w:rsidRPr="00EB3E3D">
          <w:rPr>
            <w:rStyle w:val="Hyperlink"/>
            <w:lang w:val="en-US"/>
          </w:rPr>
          <w:t>https://doi.org/10.1111/edth.70024</w:t>
        </w:r>
      </w:hyperlink>
    </w:p>
    <w:p w14:paraId="742DDC81" w14:textId="065EBB77" w:rsidR="00EB3E3D" w:rsidRPr="00EB3E3D" w:rsidRDefault="00EB3E3D" w:rsidP="00EB3E3D">
      <w:pPr>
        <w:rPr>
          <w:lang w:val="en-US"/>
        </w:rPr>
      </w:pPr>
      <w:r w:rsidRPr="00EB3E3D">
        <w:rPr>
          <w:lang w:val="en-US"/>
        </w:rPr>
        <w:t>Huttunen, H. (202</w:t>
      </w:r>
      <w:r w:rsidR="00FD63D4">
        <w:rPr>
          <w:lang w:val="en-US"/>
        </w:rPr>
        <w:t>5</w:t>
      </w:r>
      <w:r w:rsidRPr="00EB3E3D">
        <w:rPr>
          <w:lang w:val="en-US"/>
        </w:rPr>
        <w:t xml:space="preserve">). Education for deliberative democracy through the long-term view. </w:t>
      </w:r>
      <w:r w:rsidRPr="00EB3E3D">
        <w:rPr>
          <w:i/>
          <w:iCs/>
          <w:lang w:val="en-US"/>
        </w:rPr>
        <w:t>Theory and Research in Education, 23</w:t>
      </w:r>
      <w:r w:rsidRPr="00EB3E3D">
        <w:rPr>
          <w:lang w:val="en-US"/>
        </w:rPr>
        <w:t xml:space="preserve">(1), 77–97. </w:t>
      </w:r>
      <w:hyperlink r:id="rId19" w:tgtFrame="_new" w:history="1">
        <w:r w:rsidRPr="00EB3E3D">
          <w:rPr>
            <w:rStyle w:val="Hyperlink"/>
            <w:lang w:val="en-US"/>
          </w:rPr>
          <w:t>https://doi.org/10.1177/14778785241264497</w:t>
        </w:r>
      </w:hyperlink>
    </w:p>
    <w:p w14:paraId="1E713C33" w14:textId="77777777" w:rsidR="00EB3E3D" w:rsidRPr="00EB3E3D" w:rsidRDefault="00EB3E3D" w:rsidP="00EB3E3D">
      <w:pPr>
        <w:rPr>
          <w:lang w:val="en-US"/>
        </w:rPr>
      </w:pPr>
      <w:r w:rsidRPr="00EB3E3D">
        <w:rPr>
          <w:lang w:val="en-US"/>
        </w:rPr>
        <w:t xml:space="preserve">Kauppi, V.-M., &amp; Drerup, J. (2021). Discussion and inquiry: A Deweyan perspective on teaching controversial issues. </w:t>
      </w:r>
      <w:r w:rsidRPr="00EB3E3D">
        <w:rPr>
          <w:i/>
          <w:iCs/>
          <w:lang w:val="en-US"/>
        </w:rPr>
        <w:t>Theory and Research in Education, 19</w:t>
      </w:r>
      <w:r w:rsidRPr="00EB3E3D">
        <w:rPr>
          <w:lang w:val="en-US"/>
        </w:rPr>
        <w:t xml:space="preserve">(3), 213–234. </w:t>
      </w:r>
      <w:hyperlink r:id="rId20" w:tgtFrame="_new" w:history="1">
        <w:r w:rsidRPr="00EB3E3D">
          <w:rPr>
            <w:rStyle w:val="Hyperlink"/>
            <w:lang w:val="en-US"/>
          </w:rPr>
          <w:t>https://doi.org/10.1177/14778785211052199</w:t>
        </w:r>
      </w:hyperlink>
    </w:p>
    <w:p w14:paraId="5F747E8F" w14:textId="3D122B76" w:rsidR="00FD63D4" w:rsidRPr="00EB3E3D" w:rsidRDefault="00EB3E3D" w:rsidP="00EB3E3D">
      <w:pPr>
        <w:rPr>
          <w:lang w:val="en-US"/>
        </w:rPr>
      </w:pPr>
      <w:r w:rsidRPr="00EB3E3D">
        <w:rPr>
          <w:lang w:val="en-US"/>
        </w:rPr>
        <w:t xml:space="preserve">Kindlinger, M., &amp; Hahn-Laudenberg, K. (2023). German preservice teachers’ stances on criteria for discussing controversial issues in the classroom. </w:t>
      </w:r>
      <w:r w:rsidRPr="00EB3E3D">
        <w:rPr>
          <w:i/>
          <w:iCs/>
          <w:lang w:val="en-US"/>
        </w:rPr>
        <w:t>Education, Citizenship and Social Justice</w:t>
      </w:r>
      <w:r w:rsidRPr="00EB3E3D">
        <w:rPr>
          <w:lang w:val="en-US"/>
        </w:rPr>
        <w:t xml:space="preserve">. Advance online publication. </w:t>
      </w:r>
      <w:hyperlink r:id="rId21" w:history="1">
        <w:r w:rsidR="00FD63D4" w:rsidRPr="00EB3E3D">
          <w:rPr>
            <w:rStyle w:val="Hyperlink"/>
            <w:lang w:val="en-US"/>
          </w:rPr>
          <w:t>https://doi.org/10.1177/17461979251356895</w:t>
        </w:r>
      </w:hyperlink>
      <w:r w:rsidR="00FD63D4">
        <w:rPr>
          <w:lang w:val="en-US"/>
        </w:rPr>
        <w:t xml:space="preserve"> </w:t>
      </w:r>
    </w:p>
    <w:p w14:paraId="3A9E0D12" w14:textId="1791CA03" w:rsidR="00EB3E3D" w:rsidRPr="008F45EF" w:rsidRDefault="00EB3E3D" w:rsidP="00EB3E3D">
      <w:pPr>
        <w:rPr>
          <w:lang w:val="en-US"/>
        </w:rPr>
      </w:pPr>
      <w:r w:rsidRPr="00EB3E3D">
        <w:rPr>
          <w:lang w:val="en-US"/>
        </w:rPr>
        <w:t xml:space="preserve">Lakoff, G. (2014). </w:t>
      </w:r>
      <w:r w:rsidRPr="00EB3E3D">
        <w:rPr>
          <w:i/>
          <w:iCs/>
          <w:lang w:val="en-US"/>
        </w:rPr>
        <w:t>The all new Don’t think of an elephant!: Know your values and frame the debate</w:t>
      </w:r>
      <w:r w:rsidRPr="00EB3E3D">
        <w:rPr>
          <w:lang w:val="en-US"/>
        </w:rPr>
        <w:t xml:space="preserve">. </w:t>
      </w:r>
      <w:r w:rsidRPr="008F45EF">
        <w:rPr>
          <w:lang w:val="en-US"/>
        </w:rPr>
        <w:t>Chelsea Green.</w:t>
      </w:r>
      <w:r w:rsidR="00FD63D4" w:rsidRPr="008F45EF">
        <w:rPr>
          <w:lang w:val="en-US"/>
        </w:rPr>
        <w:t xml:space="preserve"> </w:t>
      </w:r>
    </w:p>
    <w:p w14:paraId="5C683FAF" w14:textId="77777777" w:rsidR="00EB3E3D" w:rsidRPr="00EB3E3D" w:rsidRDefault="00EB3E3D" w:rsidP="00EB3E3D">
      <w:pPr>
        <w:rPr>
          <w:lang w:val="en-US"/>
        </w:rPr>
      </w:pPr>
      <w:r w:rsidRPr="00EB3E3D">
        <w:rPr>
          <w:lang w:val="en-US"/>
        </w:rPr>
        <w:lastRenderedPageBreak/>
        <w:t xml:space="preserve">Leiviskä, A. (2019). The issue of ‘radical otherness’ in contemporary theories of democracy and citizenship education. </w:t>
      </w:r>
      <w:r w:rsidRPr="00EB3E3D">
        <w:rPr>
          <w:i/>
          <w:iCs/>
          <w:lang w:val="en-US"/>
        </w:rPr>
        <w:t>Journal of Philosophy of Education</w:t>
      </w:r>
      <w:r w:rsidRPr="00EB3E3D">
        <w:rPr>
          <w:lang w:val="en-US"/>
        </w:rPr>
        <w:t xml:space="preserve">. </w:t>
      </w:r>
      <w:hyperlink r:id="rId22" w:tgtFrame="_new" w:history="1">
        <w:r w:rsidRPr="00EB3E3D">
          <w:rPr>
            <w:rStyle w:val="Hyperlink"/>
            <w:lang w:val="en-US"/>
          </w:rPr>
          <w:t>https://doi.org/10.1111/1467-9752.12338</w:t>
        </w:r>
      </w:hyperlink>
    </w:p>
    <w:p w14:paraId="265FF5BE" w14:textId="77777777" w:rsidR="00EB3E3D" w:rsidRPr="00EB3E3D" w:rsidRDefault="00EB3E3D" w:rsidP="00EB3E3D">
      <w:pPr>
        <w:rPr>
          <w:lang w:val="en-US"/>
        </w:rPr>
      </w:pPr>
      <w:r w:rsidRPr="00EB3E3D">
        <w:rPr>
          <w:lang w:val="en-US"/>
        </w:rPr>
        <w:t xml:space="preserve">Leiviskä, A. (2023). Democratic education and the epistemic quality of democratic deliberation. </w:t>
      </w:r>
      <w:r w:rsidRPr="00EB3E3D">
        <w:rPr>
          <w:i/>
          <w:iCs/>
          <w:lang w:val="en-US"/>
        </w:rPr>
        <w:t>Theory and Research in Education, 21</w:t>
      </w:r>
      <w:r w:rsidRPr="00EB3E3D">
        <w:rPr>
          <w:lang w:val="en-US"/>
        </w:rPr>
        <w:t xml:space="preserve">(2), 113–134. </w:t>
      </w:r>
      <w:hyperlink r:id="rId23" w:tgtFrame="_new" w:history="1">
        <w:r w:rsidRPr="00EB3E3D">
          <w:rPr>
            <w:rStyle w:val="Hyperlink"/>
            <w:lang w:val="en-US"/>
          </w:rPr>
          <w:t>https://doi.org/10.1177/14778785231187304</w:t>
        </w:r>
      </w:hyperlink>
    </w:p>
    <w:p w14:paraId="4A633358" w14:textId="77777777" w:rsidR="00EB3E3D" w:rsidRPr="00EB3E3D" w:rsidRDefault="00EB3E3D" w:rsidP="00EB3E3D">
      <w:pPr>
        <w:rPr>
          <w:lang w:val="en-US"/>
        </w:rPr>
      </w:pPr>
      <w:r w:rsidRPr="00EB3E3D">
        <w:rPr>
          <w:lang w:val="en-US"/>
        </w:rPr>
        <w:t xml:space="preserve">Lipman, M. (2003). </w:t>
      </w:r>
      <w:r w:rsidRPr="00EB3E3D">
        <w:rPr>
          <w:i/>
          <w:iCs/>
          <w:lang w:val="en-US"/>
        </w:rPr>
        <w:t>Thinking in education</w:t>
      </w:r>
      <w:r w:rsidRPr="00EB3E3D">
        <w:rPr>
          <w:lang w:val="en-US"/>
        </w:rPr>
        <w:t xml:space="preserve"> (2nd ed.). Cambridge University Press.</w:t>
      </w:r>
    </w:p>
    <w:p w14:paraId="5AB58F15" w14:textId="77777777" w:rsidR="00EB3E3D" w:rsidRPr="00EB3E3D" w:rsidRDefault="00EB3E3D" w:rsidP="00EB3E3D">
      <w:pPr>
        <w:rPr>
          <w:lang w:val="en-US"/>
        </w:rPr>
      </w:pPr>
      <w:r w:rsidRPr="00EB3E3D">
        <w:rPr>
          <w:lang w:val="en-US"/>
        </w:rPr>
        <w:t xml:space="preserve">Mercer, N., Wegerif, R., &amp; Major, L. (Eds.). (2020). </w:t>
      </w:r>
      <w:r w:rsidRPr="00EB3E3D">
        <w:rPr>
          <w:i/>
          <w:iCs/>
          <w:lang w:val="en-US"/>
        </w:rPr>
        <w:t>The Routledge international handbook of research on dialogic education</w:t>
      </w:r>
      <w:r w:rsidRPr="00EB3E3D">
        <w:rPr>
          <w:lang w:val="en-US"/>
        </w:rPr>
        <w:t>. Routledge.</w:t>
      </w:r>
    </w:p>
    <w:p w14:paraId="023F09DA" w14:textId="77777777" w:rsidR="00EB3E3D" w:rsidRPr="00EB3E3D" w:rsidRDefault="00EB3E3D" w:rsidP="00EB3E3D">
      <w:pPr>
        <w:rPr>
          <w:lang w:val="en-US"/>
        </w:rPr>
      </w:pPr>
      <w:r w:rsidRPr="00EB3E3D">
        <w:rPr>
          <w:lang w:val="en-US"/>
        </w:rPr>
        <w:t xml:space="preserve">Mouffe, C. (2000). </w:t>
      </w:r>
      <w:r w:rsidRPr="00EB3E3D">
        <w:rPr>
          <w:i/>
          <w:iCs/>
          <w:lang w:val="en-US"/>
        </w:rPr>
        <w:t>The democratic paradox</w:t>
      </w:r>
      <w:r w:rsidRPr="00EB3E3D">
        <w:rPr>
          <w:lang w:val="en-US"/>
        </w:rPr>
        <w:t>. Verso.</w:t>
      </w:r>
    </w:p>
    <w:p w14:paraId="47698EEA" w14:textId="77777777" w:rsidR="00EB3E3D" w:rsidRPr="00EB3E3D" w:rsidRDefault="00EB3E3D" w:rsidP="00EB3E3D">
      <w:pPr>
        <w:rPr>
          <w:lang w:val="en-US"/>
        </w:rPr>
      </w:pPr>
      <w:r w:rsidRPr="00EB3E3D">
        <w:rPr>
          <w:lang w:val="en-US"/>
        </w:rPr>
        <w:t xml:space="preserve">Noddings, N. (2002). </w:t>
      </w:r>
      <w:r w:rsidRPr="00EB3E3D">
        <w:rPr>
          <w:i/>
          <w:iCs/>
          <w:lang w:val="en-US"/>
        </w:rPr>
        <w:t>Educating moral people: A caring alternative to character education</w:t>
      </w:r>
      <w:r w:rsidRPr="00EB3E3D">
        <w:rPr>
          <w:lang w:val="en-US"/>
        </w:rPr>
        <w:t>. Teachers College Press.</w:t>
      </w:r>
    </w:p>
    <w:p w14:paraId="379C92FC" w14:textId="77777777" w:rsidR="00EB3E3D" w:rsidRPr="00EB3E3D" w:rsidRDefault="00EB3E3D" w:rsidP="00EB3E3D">
      <w:pPr>
        <w:rPr>
          <w:lang w:val="en-US"/>
        </w:rPr>
      </w:pPr>
      <w:r w:rsidRPr="00EB3E3D">
        <w:rPr>
          <w:lang w:val="en-US"/>
        </w:rPr>
        <w:t xml:space="preserve">Noddings, N. (2013). </w:t>
      </w:r>
      <w:r w:rsidRPr="00EB3E3D">
        <w:rPr>
          <w:i/>
          <w:iCs/>
          <w:lang w:val="en-US"/>
        </w:rPr>
        <w:t>Caring: A relational approach to ethics and moral education</w:t>
      </w:r>
      <w:r w:rsidRPr="00EB3E3D">
        <w:rPr>
          <w:lang w:val="en-US"/>
        </w:rPr>
        <w:t xml:space="preserve"> (Updated ed.). University of California Press.</w:t>
      </w:r>
    </w:p>
    <w:p w14:paraId="0CBF8E37" w14:textId="3CF30B2A" w:rsidR="00EB3E3D" w:rsidRPr="00EB3E3D" w:rsidRDefault="00EB3E3D" w:rsidP="00EB3E3D">
      <w:pPr>
        <w:rPr>
          <w:lang w:val="en-US"/>
        </w:rPr>
      </w:pPr>
      <w:r w:rsidRPr="00EB3E3D">
        <w:rPr>
          <w:lang w:val="en-US"/>
        </w:rPr>
        <w:t xml:space="preserve">Nussbaum, M. C. (2013). </w:t>
      </w:r>
      <w:r w:rsidRPr="00EB3E3D">
        <w:rPr>
          <w:i/>
          <w:iCs/>
          <w:lang w:val="en-US"/>
        </w:rPr>
        <w:t>Political emotions: Why love matters for justice</w:t>
      </w:r>
      <w:r w:rsidRPr="00EB3E3D">
        <w:rPr>
          <w:lang w:val="en-US"/>
        </w:rPr>
        <w:t>. Harvard University Press.</w:t>
      </w:r>
    </w:p>
    <w:p w14:paraId="2BBF7E17" w14:textId="75D7D320" w:rsidR="00EB3E3D" w:rsidRPr="00EB3E3D" w:rsidRDefault="00EB3E3D" w:rsidP="00EB3E3D">
      <w:pPr>
        <w:rPr>
          <w:lang w:val="en-US"/>
        </w:rPr>
      </w:pPr>
      <w:r w:rsidRPr="00EB3E3D">
        <w:rPr>
          <w:lang w:val="en-US"/>
        </w:rPr>
        <w:t xml:space="preserve">Papastephanou, M. (2023). Democratic education and curiosity. </w:t>
      </w:r>
      <w:r w:rsidRPr="00EB3E3D">
        <w:rPr>
          <w:i/>
          <w:iCs/>
          <w:lang w:val="en-US"/>
        </w:rPr>
        <w:t>Ethics and Education, 18</w:t>
      </w:r>
      <w:r w:rsidRPr="00EB3E3D">
        <w:rPr>
          <w:lang w:val="en-US"/>
        </w:rPr>
        <w:t xml:space="preserve">(3–4), 331–353. </w:t>
      </w:r>
      <w:hyperlink r:id="rId24" w:history="1">
        <w:r w:rsidR="002A5588" w:rsidRPr="00841127">
          <w:rPr>
            <w:rStyle w:val="Hyperlink"/>
            <w:lang w:val="en-US"/>
          </w:rPr>
          <w:t>https://doi.org/10.1080/17449642.2023.2266978</w:t>
        </w:r>
      </w:hyperlink>
      <w:r w:rsidR="002A5588">
        <w:rPr>
          <w:lang w:val="en-US"/>
        </w:rPr>
        <w:t xml:space="preserve"> </w:t>
      </w:r>
    </w:p>
    <w:p w14:paraId="6C551557" w14:textId="565407DA" w:rsidR="00EB3E3D" w:rsidRPr="00EB3E3D" w:rsidRDefault="00EB3E3D" w:rsidP="00EB3E3D">
      <w:pPr>
        <w:rPr>
          <w:lang w:val="en-US"/>
        </w:rPr>
      </w:pPr>
      <w:r w:rsidRPr="00EB3E3D">
        <w:rPr>
          <w:lang w:val="en-US"/>
        </w:rPr>
        <w:t xml:space="preserve">Riddle, S., &amp; Hickey, A. (2022). Reclaiming relationality in education policy: Towards a more authentic relational pedagogy. </w:t>
      </w:r>
      <w:r w:rsidRPr="00EB3E3D">
        <w:rPr>
          <w:i/>
          <w:iCs/>
          <w:lang w:val="en-US"/>
        </w:rPr>
        <w:t>Critical Studies in Education, 64</w:t>
      </w:r>
      <w:r w:rsidR="00CA76F8" w:rsidRPr="00CA76F8">
        <w:rPr>
          <w:lang w:val="en-US"/>
        </w:rPr>
        <w:t>(2)</w:t>
      </w:r>
      <w:r w:rsidRPr="00EB3E3D">
        <w:rPr>
          <w:lang w:val="en-US"/>
        </w:rPr>
        <w:t>, 267–282.</w:t>
      </w:r>
    </w:p>
    <w:p w14:paraId="17209468" w14:textId="1B996470" w:rsidR="00EB3E3D" w:rsidRPr="00EB3E3D" w:rsidRDefault="00EB3E3D" w:rsidP="00EB3E3D">
      <w:pPr>
        <w:rPr>
          <w:lang w:val="en-US"/>
        </w:rPr>
      </w:pPr>
      <w:r w:rsidRPr="00EB3E3D">
        <w:rPr>
          <w:lang w:val="en-US"/>
        </w:rPr>
        <w:t xml:space="preserve">Rosa, H. (2019). </w:t>
      </w:r>
      <w:r w:rsidRPr="00EB3E3D">
        <w:rPr>
          <w:i/>
          <w:iCs/>
          <w:lang w:val="en-US"/>
        </w:rPr>
        <w:t>Resonance: A sociology of our relationship to the world</w:t>
      </w:r>
      <w:r w:rsidRPr="00EB3E3D">
        <w:rPr>
          <w:lang w:val="en-US"/>
        </w:rPr>
        <w:t>. Polity.</w:t>
      </w:r>
    </w:p>
    <w:p w14:paraId="57EA1F8A" w14:textId="77777777" w:rsidR="00EB3E3D" w:rsidRPr="00EB3E3D" w:rsidRDefault="00EB3E3D" w:rsidP="00EB3E3D">
      <w:pPr>
        <w:rPr>
          <w:lang w:val="en-US"/>
        </w:rPr>
      </w:pPr>
      <w:r w:rsidRPr="00EB3E3D">
        <w:rPr>
          <w:lang w:val="en-US"/>
        </w:rPr>
        <w:t xml:space="preserve">Saavedra, D. R. M. (2021). Leveraging affection: Embedded tensions in a teacher’s relationships with students. </w:t>
      </w:r>
      <w:r w:rsidRPr="00EB3E3D">
        <w:rPr>
          <w:i/>
          <w:iCs/>
          <w:lang w:val="en-US"/>
        </w:rPr>
        <w:t>Curriculum and Teaching Dialogue, 23</w:t>
      </w:r>
      <w:r w:rsidRPr="00EB3E3D">
        <w:rPr>
          <w:lang w:val="en-US"/>
        </w:rPr>
        <w:t>(1), 129–143.</w:t>
      </w:r>
    </w:p>
    <w:p w14:paraId="4BC8CF18" w14:textId="77777777" w:rsidR="00EB3E3D" w:rsidRPr="00EB3E3D" w:rsidRDefault="00EB3E3D" w:rsidP="00EB3E3D">
      <w:pPr>
        <w:rPr>
          <w:lang w:val="en-US"/>
        </w:rPr>
      </w:pPr>
      <w:r w:rsidRPr="00EB3E3D">
        <w:rPr>
          <w:lang w:val="en-US"/>
        </w:rPr>
        <w:t xml:space="preserve">Sidorkin, A. (2023). </w:t>
      </w:r>
      <w:r w:rsidRPr="00EB3E3D">
        <w:rPr>
          <w:i/>
          <w:iCs/>
          <w:lang w:val="en-US"/>
        </w:rPr>
        <w:t>Pedagogy of relation: Education after reform</w:t>
      </w:r>
      <w:r w:rsidRPr="00EB3E3D">
        <w:rPr>
          <w:lang w:val="en-US"/>
        </w:rPr>
        <w:t>. Routledge.</w:t>
      </w:r>
    </w:p>
    <w:p w14:paraId="71BD9D03" w14:textId="77777777" w:rsidR="00EB3E3D" w:rsidRPr="00EB3E3D" w:rsidRDefault="00EB3E3D" w:rsidP="00EB3E3D">
      <w:pPr>
        <w:rPr>
          <w:lang w:val="en-US"/>
        </w:rPr>
      </w:pPr>
      <w:r w:rsidRPr="00EB3E3D">
        <w:rPr>
          <w:lang w:val="en-US"/>
        </w:rPr>
        <w:t xml:space="preserve">Sprod, T. (2001). </w:t>
      </w:r>
      <w:r w:rsidRPr="00EB3E3D">
        <w:rPr>
          <w:i/>
          <w:iCs/>
          <w:lang w:val="en-US"/>
        </w:rPr>
        <w:t>Philosophical discussion in moral education: The community of ethical inquiry</w:t>
      </w:r>
      <w:r w:rsidRPr="00EB3E3D">
        <w:rPr>
          <w:lang w:val="en-US"/>
        </w:rPr>
        <w:t>. Routledge.</w:t>
      </w:r>
    </w:p>
    <w:p w14:paraId="123D7F5E" w14:textId="49896CD4" w:rsidR="00EB3E3D" w:rsidRPr="00EB3E3D" w:rsidRDefault="00EB3E3D" w:rsidP="00EB3E3D">
      <w:pPr>
        <w:rPr>
          <w:lang w:val="en-US"/>
        </w:rPr>
      </w:pPr>
      <w:r w:rsidRPr="00EB3E3D">
        <w:rPr>
          <w:lang w:val="en-US"/>
        </w:rPr>
        <w:t xml:space="preserve">Westheimer, J., &amp; Kahne, J. (2004). What kind of citizen? The politics of educating for democracy. </w:t>
      </w:r>
      <w:r w:rsidRPr="00EB3E3D">
        <w:rPr>
          <w:i/>
          <w:iCs/>
          <w:lang w:val="en-US"/>
        </w:rPr>
        <w:t>American Educational Research Journal, 41</w:t>
      </w:r>
      <w:r w:rsidRPr="00EB3E3D">
        <w:rPr>
          <w:lang w:val="en-US"/>
        </w:rPr>
        <w:t xml:space="preserve">(2), 237–269. https://doi.org/10.3102/00028312041002237 </w:t>
      </w:r>
    </w:p>
    <w:p w14:paraId="5C4BF59D" w14:textId="35F66699" w:rsidR="00EB3E3D" w:rsidRPr="00EB3E3D" w:rsidRDefault="00EB3E3D" w:rsidP="00EB3E3D">
      <w:pPr>
        <w:rPr>
          <w:lang w:val="en-US"/>
        </w:rPr>
      </w:pPr>
      <w:r w:rsidRPr="00EB3E3D">
        <w:rPr>
          <w:lang w:val="en-US"/>
        </w:rPr>
        <w:t xml:space="preserve">Wodak, R. (2021). </w:t>
      </w:r>
      <w:r w:rsidRPr="00EB3E3D">
        <w:rPr>
          <w:i/>
          <w:iCs/>
          <w:lang w:val="en-US"/>
        </w:rPr>
        <w:t>The politics of fear: The shameless normalization of far-right discourse</w:t>
      </w:r>
      <w:r w:rsidRPr="00EB3E3D">
        <w:rPr>
          <w:lang w:val="en-US"/>
        </w:rPr>
        <w:t xml:space="preserve"> (2nd ed.). S</w:t>
      </w:r>
      <w:r w:rsidR="00C05280">
        <w:rPr>
          <w:lang w:val="en-US"/>
        </w:rPr>
        <w:t>age</w:t>
      </w:r>
      <w:r w:rsidRPr="00EB3E3D">
        <w:rPr>
          <w:lang w:val="en-US"/>
        </w:rPr>
        <w:t>.</w:t>
      </w:r>
      <w:r w:rsidR="00FD63D4" w:rsidRPr="00EB3E3D">
        <w:rPr>
          <w:lang w:val="en-US"/>
        </w:rPr>
        <w:t xml:space="preserve"> </w:t>
      </w:r>
    </w:p>
    <w:p w14:paraId="691A7847" w14:textId="77777777" w:rsidR="00EB3E3D" w:rsidRPr="00EB3E3D" w:rsidRDefault="00EB3E3D" w:rsidP="00EB3E3D">
      <w:r w:rsidRPr="00EB3E3D">
        <w:rPr>
          <w:lang w:val="en-US"/>
        </w:rPr>
        <w:t xml:space="preserve">Zamotkin, M., &amp; Leiviskä, A. (2025). Is there a place for friendship in education? Thinking with Arendt on friendship, politics, and education. </w:t>
      </w:r>
      <w:r w:rsidRPr="00EB3E3D">
        <w:rPr>
          <w:i/>
          <w:iCs/>
          <w:lang w:val="en-US"/>
        </w:rPr>
        <w:t>Journal of Philosophy of Education, 59</w:t>
      </w:r>
      <w:r w:rsidRPr="00EB3E3D">
        <w:rPr>
          <w:lang w:val="en-US"/>
        </w:rPr>
        <w:t xml:space="preserve">(1), 14–30. </w:t>
      </w:r>
      <w:hyperlink r:id="rId25" w:tgtFrame="_new" w:history="1">
        <w:r w:rsidRPr="00EB3E3D">
          <w:rPr>
            <w:rStyle w:val="Hyperlink"/>
          </w:rPr>
          <w:t>https://doi.org/10.1093/jopedu/qhae033</w:t>
        </w:r>
      </w:hyperlink>
    </w:p>
    <w:p w14:paraId="237F425D" w14:textId="6454EA5E" w:rsidR="008642D9" w:rsidRPr="00134D8F" w:rsidRDefault="008642D9" w:rsidP="00EB3E3D">
      <w:pPr>
        <w:rPr>
          <w:lang w:val="en-US"/>
        </w:rPr>
      </w:pPr>
    </w:p>
    <w:sectPr w:rsidR="008642D9" w:rsidRPr="00134D8F">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icolas Cuneen" w:date="2026-05-28T10:23:00Z" w:initials="NC">
    <w:p w14:paraId="0CB1F14A" w14:textId="77777777" w:rsidR="00D05C0C" w:rsidRDefault="00D05C0C" w:rsidP="00D05C0C">
      <w:pPr>
        <w:pStyle w:val="CommentText"/>
      </w:pPr>
      <w:r>
        <w:rPr>
          <w:rStyle w:val="CommentReference"/>
        </w:rPr>
        <w:annotationRef/>
      </w:r>
      <w:r>
        <w:t>Add something like: “</w:t>
      </w:r>
      <w:r>
        <w:rPr>
          <w:color w:val="000000"/>
        </w:rPr>
        <w:t xml:space="preserve">Basically, this is the relational quality that gives pedagogical technique its teeth. Any technique that you have requires adherence from participants to a certain mode of functioning. If you cannot reliably secure that adherence, even your best techniques won’t get you anywhere”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B1F1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8DCF72" w16cex:dateUtc="2026-05-28T08: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B1F14A" w16cid:durableId="278DCF7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24ACB" w14:textId="77777777" w:rsidR="007506C5" w:rsidRDefault="007506C5" w:rsidP="00030AF5">
      <w:pPr>
        <w:spacing w:after="0" w:line="240" w:lineRule="auto"/>
      </w:pPr>
      <w:r>
        <w:separator/>
      </w:r>
    </w:p>
  </w:endnote>
  <w:endnote w:type="continuationSeparator" w:id="0">
    <w:p w14:paraId="30C3D033" w14:textId="77777777" w:rsidR="007506C5" w:rsidRDefault="007506C5" w:rsidP="00030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70C5C" w14:textId="77777777" w:rsidR="007506C5" w:rsidRDefault="007506C5" w:rsidP="00030AF5">
      <w:pPr>
        <w:spacing w:after="0" w:line="240" w:lineRule="auto"/>
      </w:pPr>
      <w:r>
        <w:separator/>
      </w:r>
    </w:p>
  </w:footnote>
  <w:footnote w:type="continuationSeparator" w:id="0">
    <w:p w14:paraId="7C357C1C" w14:textId="77777777" w:rsidR="007506C5" w:rsidRDefault="007506C5" w:rsidP="00030A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C233F2"/>
    <w:multiLevelType w:val="hybridMultilevel"/>
    <w:tmpl w:val="C7603D04"/>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11440084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as Cuneen">
    <w15:presenceInfo w15:providerId="Windows Live" w15:userId="d4856d095daee2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711"/>
    <w:rsid w:val="000077F2"/>
    <w:rsid w:val="00010815"/>
    <w:rsid w:val="00011C62"/>
    <w:rsid w:val="00013B52"/>
    <w:rsid w:val="000146F0"/>
    <w:rsid w:val="00015056"/>
    <w:rsid w:val="00017BF0"/>
    <w:rsid w:val="00024D72"/>
    <w:rsid w:val="00030AF5"/>
    <w:rsid w:val="000317A6"/>
    <w:rsid w:val="00032D87"/>
    <w:rsid w:val="00033D1E"/>
    <w:rsid w:val="00036758"/>
    <w:rsid w:val="0003787E"/>
    <w:rsid w:val="00041869"/>
    <w:rsid w:val="00042CD7"/>
    <w:rsid w:val="000448B2"/>
    <w:rsid w:val="00047886"/>
    <w:rsid w:val="000503E1"/>
    <w:rsid w:val="00050BB4"/>
    <w:rsid w:val="00053076"/>
    <w:rsid w:val="0005348B"/>
    <w:rsid w:val="00053ABE"/>
    <w:rsid w:val="00060EFA"/>
    <w:rsid w:val="000613BC"/>
    <w:rsid w:val="000629C0"/>
    <w:rsid w:val="00063ED8"/>
    <w:rsid w:val="000664E9"/>
    <w:rsid w:val="00066ABA"/>
    <w:rsid w:val="00067200"/>
    <w:rsid w:val="00071175"/>
    <w:rsid w:val="00071994"/>
    <w:rsid w:val="00071DE2"/>
    <w:rsid w:val="0007262B"/>
    <w:rsid w:val="0007340E"/>
    <w:rsid w:val="0007484A"/>
    <w:rsid w:val="00076071"/>
    <w:rsid w:val="0007764D"/>
    <w:rsid w:val="0008005F"/>
    <w:rsid w:val="00083D30"/>
    <w:rsid w:val="00084B00"/>
    <w:rsid w:val="00086A64"/>
    <w:rsid w:val="000904D9"/>
    <w:rsid w:val="00094186"/>
    <w:rsid w:val="000A0065"/>
    <w:rsid w:val="000A1711"/>
    <w:rsid w:val="000A3CBD"/>
    <w:rsid w:val="000A4D19"/>
    <w:rsid w:val="000A4DDA"/>
    <w:rsid w:val="000B1FB5"/>
    <w:rsid w:val="000B557A"/>
    <w:rsid w:val="000C2908"/>
    <w:rsid w:val="000C485D"/>
    <w:rsid w:val="000C686B"/>
    <w:rsid w:val="000D0204"/>
    <w:rsid w:val="000D71ED"/>
    <w:rsid w:val="000D7EC0"/>
    <w:rsid w:val="000E123D"/>
    <w:rsid w:val="000E1F92"/>
    <w:rsid w:val="000E2E21"/>
    <w:rsid w:val="000E437E"/>
    <w:rsid w:val="000E5012"/>
    <w:rsid w:val="001011FB"/>
    <w:rsid w:val="0010197E"/>
    <w:rsid w:val="001019BC"/>
    <w:rsid w:val="00110318"/>
    <w:rsid w:val="001112D6"/>
    <w:rsid w:val="001117E1"/>
    <w:rsid w:val="0011648A"/>
    <w:rsid w:val="00124712"/>
    <w:rsid w:val="00130754"/>
    <w:rsid w:val="00131850"/>
    <w:rsid w:val="00134D8F"/>
    <w:rsid w:val="00143B2E"/>
    <w:rsid w:val="00144262"/>
    <w:rsid w:val="0015127C"/>
    <w:rsid w:val="0015160E"/>
    <w:rsid w:val="0015607E"/>
    <w:rsid w:val="001566A2"/>
    <w:rsid w:val="00157E58"/>
    <w:rsid w:val="0016000B"/>
    <w:rsid w:val="001641AB"/>
    <w:rsid w:val="00164221"/>
    <w:rsid w:val="00164978"/>
    <w:rsid w:val="001744BD"/>
    <w:rsid w:val="00175F6F"/>
    <w:rsid w:val="0017759E"/>
    <w:rsid w:val="0018274F"/>
    <w:rsid w:val="00184717"/>
    <w:rsid w:val="00187A18"/>
    <w:rsid w:val="001900B7"/>
    <w:rsid w:val="00190838"/>
    <w:rsid w:val="00191B32"/>
    <w:rsid w:val="00194127"/>
    <w:rsid w:val="00194464"/>
    <w:rsid w:val="0019537E"/>
    <w:rsid w:val="001A141E"/>
    <w:rsid w:val="001A16CA"/>
    <w:rsid w:val="001A1816"/>
    <w:rsid w:val="001A3BF5"/>
    <w:rsid w:val="001B0ABC"/>
    <w:rsid w:val="001B38FC"/>
    <w:rsid w:val="001B3A7E"/>
    <w:rsid w:val="001B7D6A"/>
    <w:rsid w:val="001C087A"/>
    <w:rsid w:val="001C1B0C"/>
    <w:rsid w:val="001D0A8D"/>
    <w:rsid w:val="001D1BE1"/>
    <w:rsid w:val="001D20EA"/>
    <w:rsid w:val="001E2740"/>
    <w:rsid w:val="001E6966"/>
    <w:rsid w:val="001E76B7"/>
    <w:rsid w:val="001E7E57"/>
    <w:rsid w:val="001F125F"/>
    <w:rsid w:val="001F79E5"/>
    <w:rsid w:val="002000D2"/>
    <w:rsid w:val="0020262D"/>
    <w:rsid w:val="002046EC"/>
    <w:rsid w:val="00204D4A"/>
    <w:rsid w:val="00206F0F"/>
    <w:rsid w:val="002126CC"/>
    <w:rsid w:val="00212A96"/>
    <w:rsid w:val="00212C20"/>
    <w:rsid w:val="002158F4"/>
    <w:rsid w:val="00216158"/>
    <w:rsid w:val="0021630C"/>
    <w:rsid w:val="00222705"/>
    <w:rsid w:val="0022739D"/>
    <w:rsid w:val="0022757B"/>
    <w:rsid w:val="0022771B"/>
    <w:rsid w:val="00227CC0"/>
    <w:rsid w:val="00231DC2"/>
    <w:rsid w:val="0023326D"/>
    <w:rsid w:val="00233407"/>
    <w:rsid w:val="002572EF"/>
    <w:rsid w:val="0026797F"/>
    <w:rsid w:val="00273CE4"/>
    <w:rsid w:val="002768C8"/>
    <w:rsid w:val="00280446"/>
    <w:rsid w:val="00282992"/>
    <w:rsid w:val="0028675C"/>
    <w:rsid w:val="002902FC"/>
    <w:rsid w:val="002905DB"/>
    <w:rsid w:val="00291211"/>
    <w:rsid w:val="002917D3"/>
    <w:rsid w:val="002950DC"/>
    <w:rsid w:val="002955CC"/>
    <w:rsid w:val="002A0496"/>
    <w:rsid w:val="002A1B4C"/>
    <w:rsid w:val="002A1D14"/>
    <w:rsid w:val="002A43D0"/>
    <w:rsid w:val="002A5588"/>
    <w:rsid w:val="002B2C92"/>
    <w:rsid w:val="002B5867"/>
    <w:rsid w:val="002B651E"/>
    <w:rsid w:val="002C04E8"/>
    <w:rsid w:val="002C0B37"/>
    <w:rsid w:val="002C2CD3"/>
    <w:rsid w:val="002C54F7"/>
    <w:rsid w:val="002C562D"/>
    <w:rsid w:val="002C5A65"/>
    <w:rsid w:val="002C6560"/>
    <w:rsid w:val="002C7366"/>
    <w:rsid w:val="002D48A3"/>
    <w:rsid w:val="002D6C90"/>
    <w:rsid w:val="002E1795"/>
    <w:rsid w:val="002E1CA7"/>
    <w:rsid w:val="002F141D"/>
    <w:rsid w:val="002F3D8E"/>
    <w:rsid w:val="002F4FB0"/>
    <w:rsid w:val="002F56E7"/>
    <w:rsid w:val="002F684E"/>
    <w:rsid w:val="0030002A"/>
    <w:rsid w:val="00300BFB"/>
    <w:rsid w:val="00301F49"/>
    <w:rsid w:val="00302947"/>
    <w:rsid w:val="003033AF"/>
    <w:rsid w:val="0030379B"/>
    <w:rsid w:val="003040D3"/>
    <w:rsid w:val="00305405"/>
    <w:rsid w:val="00305DC4"/>
    <w:rsid w:val="00306048"/>
    <w:rsid w:val="003060EE"/>
    <w:rsid w:val="00310F85"/>
    <w:rsid w:val="003114C4"/>
    <w:rsid w:val="00314F01"/>
    <w:rsid w:val="00320836"/>
    <w:rsid w:val="003240A0"/>
    <w:rsid w:val="0032478A"/>
    <w:rsid w:val="003254AA"/>
    <w:rsid w:val="00330C83"/>
    <w:rsid w:val="003332E6"/>
    <w:rsid w:val="00334385"/>
    <w:rsid w:val="00335E08"/>
    <w:rsid w:val="00341FD0"/>
    <w:rsid w:val="00343C33"/>
    <w:rsid w:val="00345690"/>
    <w:rsid w:val="0034613B"/>
    <w:rsid w:val="00347384"/>
    <w:rsid w:val="003500D4"/>
    <w:rsid w:val="00350562"/>
    <w:rsid w:val="003523EE"/>
    <w:rsid w:val="0035345C"/>
    <w:rsid w:val="00353727"/>
    <w:rsid w:val="00354466"/>
    <w:rsid w:val="00356001"/>
    <w:rsid w:val="003564FF"/>
    <w:rsid w:val="0036032D"/>
    <w:rsid w:val="00360616"/>
    <w:rsid w:val="00361D61"/>
    <w:rsid w:val="003736C7"/>
    <w:rsid w:val="00373A5E"/>
    <w:rsid w:val="00373FED"/>
    <w:rsid w:val="00377445"/>
    <w:rsid w:val="00380952"/>
    <w:rsid w:val="00380CF5"/>
    <w:rsid w:val="00383324"/>
    <w:rsid w:val="003835BE"/>
    <w:rsid w:val="0038438F"/>
    <w:rsid w:val="00386B74"/>
    <w:rsid w:val="003900E6"/>
    <w:rsid w:val="00391394"/>
    <w:rsid w:val="003941A2"/>
    <w:rsid w:val="003973BE"/>
    <w:rsid w:val="003A3B51"/>
    <w:rsid w:val="003A4C36"/>
    <w:rsid w:val="003A578B"/>
    <w:rsid w:val="003A6A73"/>
    <w:rsid w:val="003B0626"/>
    <w:rsid w:val="003B12D1"/>
    <w:rsid w:val="003B2617"/>
    <w:rsid w:val="003B3BDB"/>
    <w:rsid w:val="003C62A6"/>
    <w:rsid w:val="003D1C3F"/>
    <w:rsid w:val="003D44BF"/>
    <w:rsid w:val="003E0162"/>
    <w:rsid w:val="003F27F2"/>
    <w:rsid w:val="003F2A42"/>
    <w:rsid w:val="003F41D4"/>
    <w:rsid w:val="003F5C35"/>
    <w:rsid w:val="004039AE"/>
    <w:rsid w:val="0040686D"/>
    <w:rsid w:val="00406F28"/>
    <w:rsid w:val="004101EE"/>
    <w:rsid w:val="00410B55"/>
    <w:rsid w:val="00410FFC"/>
    <w:rsid w:val="004152AF"/>
    <w:rsid w:val="004207C6"/>
    <w:rsid w:val="0042212A"/>
    <w:rsid w:val="00423931"/>
    <w:rsid w:val="00424CBC"/>
    <w:rsid w:val="00427573"/>
    <w:rsid w:val="00430197"/>
    <w:rsid w:val="004301E1"/>
    <w:rsid w:val="004333CD"/>
    <w:rsid w:val="00434F18"/>
    <w:rsid w:val="0044029A"/>
    <w:rsid w:val="00442FAF"/>
    <w:rsid w:val="00444458"/>
    <w:rsid w:val="004545FD"/>
    <w:rsid w:val="00454AED"/>
    <w:rsid w:val="00456B92"/>
    <w:rsid w:val="004579DB"/>
    <w:rsid w:val="004602D8"/>
    <w:rsid w:val="00461976"/>
    <w:rsid w:val="0046553C"/>
    <w:rsid w:val="00474316"/>
    <w:rsid w:val="00476A4B"/>
    <w:rsid w:val="00481B81"/>
    <w:rsid w:val="00490440"/>
    <w:rsid w:val="004938C6"/>
    <w:rsid w:val="00493D4C"/>
    <w:rsid w:val="00494967"/>
    <w:rsid w:val="00495546"/>
    <w:rsid w:val="004A0641"/>
    <w:rsid w:val="004A0C82"/>
    <w:rsid w:val="004A5213"/>
    <w:rsid w:val="004A6E55"/>
    <w:rsid w:val="004A78B9"/>
    <w:rsid w:val="004B1687"/>
    <w:rsid w:val="004C2932"/>
    <w:rsid w:val="004C329E"/>
    <w:rsid w:val="004D48D3"/>
    <w:rsid w:val="004D73EF"/>
    <w:rsid w:val="004E18E1"/>
    <w:rsid w:val="004E22F8"/>
    <w:rsid w:val="004E2915"/>
    <w:rsid w:val="004E34B4"/>
    <w:rsid w:val="004E35AD"/>
    <w:rsid w:val="004E6582"/>
    <w:rsid w:val="004E7075"/>
    <w:rsid w:val="004F7CC6"/>
    <w:rsid w:val="00501196"/>
    <w:rsid w:val="005024C1"/>
    <w:rsid w:val="00502ADA"/>
    <w:rsid w:val="00505FD2"/>
    <w:rsid w:val="00507CD2"/>
    <w:rsid w:val="00510C2F"/>
    <w:rsid w:val="005129DD"/>
    <w:rsid w:val="00516802"/>
    <w:rsid w:val="00526F57"/>
    <w:rsid w:val="00527428"/>
    <w:rsid w:val="00533791"/>
    <w:rsid w:val="00534102"/>
    <w:rsid w:val="00535513"/>
    <w:rsid w:val="0053677F"/>
    <w:rsid w:val="00536AD9"/>
    <w:rsid w:val="005423A0"/>
    <w:rsid w:val="005431E5"/>
    <w:rsid w:val="005438E3"/>
    <w:rsid w:val="00543FDD"/>
    <w:rsid w:val="00544C9F"/>
    <w:rsid w:val="00550398"/>
    <w:rsid w:val="005558FC"/>
    <w:rsid w:val="0055766B"/>
    <w:rsid w:val="00561819"/>
    <w:rsid w:val="0057774C"/>
    <w:rsid w:val="005821F4"/>
    <w:rsid w:val="00582952"/>
    <w:rsid w:val="00586CBB"/>
    <w:rsid w:val="005912EC"/>
    <w:rsid w:val="00596380"/>
    <w:rsid w:val="005A39AF"/>
    <w:rsid w:val="005A3A8B"/>
    <w:rsid w:val="005A3C3B"/>
    <w:rsid w:val="005A7EDC"/>
    <w:rsid w:val="005B357D"/>
    <w:rsid w:val="005B4581"/>
    <w:rsid w:val="005B4805"/>
    <w:rsid w:val="005B544B"/>
    <w:rsid w:val="005B7901"/>
    <w:rsid w:val="005C1849"/>
    <w:rsid w:val="005C3144"/>
    <w:rsid w:val="005C39F9"/>
    <w:rsid w:val="005C76ED"/>
    <w:rsid w:val="005D21D4"/>
    <w:rsid w:val="005D590C"/>
    <w:rsid w:val="005E39DF"/>
    <w:rsid w:val="005E574D"/>
    <w:rsid w:val="005E7BBE"/>
    <w:rsid w:val="005F0E9A"/>
    <w:rsid w:val="005F4018"/>
    <w:rsid w:val="005F4785"/>
    <w:rsid w:val="00600EAE"/>
    <w:rsid w:val="006030EB"/>
    <w:rsid w:val="00606EE8"/>
    <w:rsid w:val="00606F98"/>
    <w:rsid w:val="00611F56"/>
    <w:rsid w:val="00614BF6"/>
    <w:rsid w:val="00620692"/>
    <w:rsid w:val="00620D87"/>
    <w:rsid w:val="00621A8A"/>
    <w:rsid w:val="006261D5"/>
    <w:rsid w:val="0062760F"/>
    <w:rsid w:val="006326C0"/>
    <w:rsid w:val="006370FC"/>
    <w:rsid w:val="00637E21"/>
    <w:rsid w:val="00640BC4"/>
    <w:rsid w:val="00641A42"/>
    <w:rsid w:val="0064390F"/>
    <w:rsid w:val="00645968"/>
    <w:rsid w:val="00647405"/>
    <w:rsid w:val="00647E86"/>
    <w:rsid w:val="006537F4"/>
    <w:rsid w:val="00653C49"/>
    <w:rsid w:val="0065489C"/>
    <w:rsid w:val="00655591"/>
    <w:rsid w:val="00655ACC"/>
    <w:rsid w:val="006576D3"/>
    <w:rsid w:val="00657CC0"/>
    <w:rsid w:val="006636E8"/>
    <w:rsid w:val="00664982"/>
    <w:rsid w:val="0066514A"/>
    <w:rsid w:val="00670EF8"/>
    <w:rsid w:val="00673691"/>
    <w:rsid w:val="00674683"/>
    <w:rsid w:val="00680F2C"/>
    <w:rsid w:val="00683E11"/>
    <w:rsid w:val="006843B6"/>
    <w:rsid w:val="006854DD"/>
    <w:rsid w:val="006879B4"/>
    <w:rsid w:val="0069230E"/>
    <w:rsid w:val="00692654"/>
    <w:rsid w:val="00693607"/>
    <w:rsid w:val="00693FA8"/>
    <w:rsid w:val="006971BE"/>
    <w:rsid w:val="006A0364"/>
    <w:rsid w:val="006A04E7"/>
    <w:rsid w:val="006A157B"/>
    <w:rsid w:val="006A3255"/>
    <w:rsid w:val="006B0E2F"/>
    <w:rsid w:val="006C0F49"/>
    <w:rsid w:val="006C32C7"/>
    <w:rsid w:val="006C33D4"/>
    <w:rsid w:val="006C372B"/>
    <w:rsid w:val="006C54E1"/>
    <w:rsid w:val="006D1859"/>
    <w:rsid w:val="006D577E"/>
    <w:rsid w:val="006D6145"/>
    <w:rsid w:val="006D69F3"/>
    <w:rsid w:val="006D7441"/>
    <w:rsid w:val="006E434F"/>
    <w:rsid w:val="006E7245"/>
    <w:rsid w:val="006F3312"/>
    <w:rsid w:val="006F5000"/>
    <w:rsid w:val="006F5927"/>
    <w:rsid w:val="00701082"/>
    <w:rsid w:val="0070562D"/>
    <w:rsid w:val="0070597A"/>
    <w:rsid w:val="00720043"/>
    <w:rsid w:val="00720112"/>
    <w:rsid w:val="007213B6"/>
    <w:rsid w:val="0072368A"/>
    <w:rsid w:val="00730EA5"/>
    <w:rsid w:val="007407FD"/>
    <w:rsid w:val="007423DB"/>
    <w:rsid w:val="0075036E"/>
    <w:rsid w:val="007506C5"/>
    <w:rsid w:val="00750FEC"/>
    <w:rsid w:val="00753674"/>
    <w:rsid w:val="0075375E"/>
    <w:rsid w:val="00760A91"/>
    <w:rsid w:val="00762FAB"/>
    <w:rsid w:val="0076352D"/>
    <w:rsid w:val="0076576B"/>
    <w:rsid w:val="00767006"/>
    <w:rsid w:val="007754B2"/>
    <w:rsid w:val="00775C41"/>
    <w:rsid w:val="007775B1"/>
    <w:rsid w:val="00782EB6"/>
    <w:rsid w:val="007859E1"/>
    <w:rsid w:val="007876FD"/>
    <w:rsid w:val="007915B0"/>
    <w:rsid w:val="00791E0D"/>
    <w:rsid w:val="0079330D"/>
    <w:rsid w:val="007A03DD"/>
    <w:rsid w:val="007A14C4"/>
    <w:rsid w:val="007A238F"/>
    <w:rsid w:val="007A2A1A"/>
    <w:rsid w:val="007A3AD4"/>
    <w:rsid w:val="007B1F2F"/>
    <w:rsid w:val="007B75E4"/>
    <w:rsid w:val="007B7694"/>
    <w:rsid w:val="007C1894"/>
    <w:rsid w:val="007C205B"/>
    <w:rsid w:val="007C567D"/>
    <w:rsid w:val="007C5C82"/>
    <w:rsid w:val="007D1767"/>
    <w:rsid w:val="007E5161"/>
    <w:rsid w:val="007E728B"/>
    <w:rsid w:val="00802BAE"/>
    <w:rsid w:val="00811215"/>
    <w:rsid w:val="00814756"/>
    <w:rsid w:val="008156FF"/>
    <w:rsid w:val="00817B0A"/>
    <w:rsid w:val="0082391B"/>
    <w:rsid w:val="008279BB"/>
    <w:rsid w:val="00834D90"/>
    <w:rsid w:val="008412FF"/>
    <w:rsid w:val="00842DBB"/>
    <w:rsid w:val="00843670"/>
    <w:rsid w:val="0084463A"/>
    <w:rsid w:val="008464B8"/>
    <w:rsid w:val="00847E59"/>
    <w:rsid w:val="00852271"/>
    <w:rsid w:val="00855739"/>
    <w:rsid w:val="00856C48"/>
    <w:rsid w:val="008642D9"/>
    <w:rsid w:val="0086559D"/>
    <w:rsid w:val="00867941"/>
    <w:rsid w:val="00871DD6"/>
    <w:rsid w:val="00872716"/>
    <w:rsid w:val="00876439"/>
    <w:rsid w:val="0088447F"/>
    <w:rsid w:val="00887D4A"/>
    <w:rsid w:val="00891880"/>
    <w:rsid w:val="008943C4"/>
    <w:rsid w:val="00894456"/>
    <w:rsid w:val="00897EDD"/>
    <w:rsid w:val="008A05F7"/>
    <w:rsid w:val="008A31A0"/>
    <w:rsid w:val="008A5069"/>
    <w:rsid w:val="008A7AEA"/>
    <w:rsid w:val="008B0BB8"/>
    <w:rsid w:val="008B1FF7"/>
    <w:rsid w:val="008B3C3A"/>
    <w:rsid w:val="008B48B3"/>
    <w:rsid w:val="008B728F"/>
    <w:rsid w:val="008B7F82"/>
    <w:rsid w:val="008C0092"/>
    <w:rsid w:val="008C16FE"/>
    <w:rsid w:val="008C170B"/>
    <w:rsid w:val="008D0C67"/>
    <w:rsid w:val="008D3D5A"/>
    <w:rsid w:val="008D7B8C"/>
    <w:rsid w:val="008E2BB7"/>
    <w:rsid w:val="008E425B"/>
    <w:rsid w:val="008E4AA4"/>
    <w:rsid w:val="008E5518"/>
    <w:rsid w:val="008E5FD3"/>
    <w:rsid w:val="008E6316"/>
    <w:rsid w:val="008F1475"/>
    <w:rsid w:val="008F1933"/>
    <w:rsid w:val="008F3C9C"/>
    <w:rsid w:val="008F45EF"/>
    <w:rsid w:val="008F68F8"/>
    <w:rsid w:val="008F75CA"/>
    <w:rsid w:val="008F7744"/>
    <w:rsid w:val="008F7FFB"/>
    <w:rsid w:val="009019CB"/>
    <w:rsid w:val="00903C66"/>
    <w:rsid w:val="00905BB7"/>
    <w:rsid w:val="00907385"/>
    <w:rsid w:val="00911BA0"/>
    <w:rsid w:val="009132E8"/>
    <w:rsid w:val="00914BC1"/>
    <w:rsid w:val="00916990"/>
    <w:rsid w:val="009169A9"/>
    <w:rsid w:val="00920703"/>
    <w:rsid w:val="00921F76"/>
    <w:rsid w:val="009275EE"/>
    <w:rsid w:val="00927EDA"/>
    <w:rsid w:val="00931335"/>
    <w:rsid w:val="00935012"/>
    <w:rsid w:val="00935C30"/>
    <w:rsid w:val="009410D1"/>
    <w:rsid w:val="009450CE"/>
    <w:rsid w:val="00950183"/>
    <w:rsid w:val="0095159B"/>
    <w:rsid w:val="009515B3"/>
    <w:rsid w:val="00953D1F"/>
    <w:rsid w:val="00957F68"/>
    <w:rsid w:val="00963301"/>
    <w:rsid w:val="00963559"/>
    <w:rsid w:val="00963B7E"/>
    <w:rsid w:val="0096640F"/>
    <w:rsid w:val="0096694A"/>
    <w:rsid w:val="00974914"/>
    <w:rsid w:val="00975F74"/>
    <w:rsid w:val="00984AD2"/>
    <w:rsid w:val="009857A1"/>
    <w:rsid w:val="00987CC2"/>
    <w:rsid w:val="009A2662"/>
    <w:rsid w:val="009A460C"/>
    <w:rsid w:val="009A6261"/>
    <w:rsid w:val="009A7AED"/>
    <w:rsid w:val="009B201A"/>
    <w:rsid w:val="009B2022"/>
    <w:rsid w:val="009B2E1D"/>
    <w:rsid w:val="009B50E1"/>
    <w:rsid w:val="009B54CA"/>
    <w:rsid w:val="009C0518"/>
    <w:rsid w:val="009C2F1B"/>
    <w:rsid w:val="009C49DB"/>
    <w:rsid w:val="009C65CD"/>
    <w:rsid w:val="009D1A7E"/>
    <w:rsid w:val="009D2E72"/>
    <w:rsid w:val="009D547F"/>
    <w:rsid w:val="009D65C7"/>
    <w:rsid w:val="009D6672"/>
    <w:rsid w:val="009D70F7"/>
    <w:rsid w:val="009E07D1"/>
    <w:rsid w:val="009E4EF0"/>
    <w:rsid w:val="009E5F20"/>
    <w:rsid w:val="009E5F28"/>
    <w:rsid w:val="009E6721"/>
    <w:rsid w:val="009F05BB"/>
    <w:rsid w:val="009F6173"/>
    <w:rsid w:val="00A004EB"/>
    <w:rsid w:val="00A00D27"/>
    <w:rsid w:val="00A13806"/>
    <w:rsid w:val="00A16C0E"/>
    <w:rsid w:val="00A1712A"/>
    <w:rsid w:val="00A20C0F"/>
    <w:rsid w:val="00A22548"/>
    <w:rsid w:val="00A263CD"/>
    <w:rsid w:val="00A2645D"/>
    <w:rsid w:val="00A27E18"/>
    <w:rsid w:val="00A3260A"/>
    <w:rsid w:val="00A327B4"/>
    <w:rsid w:val="00A4155D"/>
    <w:rsid w:val="00A42B77"/>
    <w:rsid w:val="00A541E3"/>
    <w:rsid w:val="00A65E42"/>
    <w:rsid w:val="00A7544B"/>
    <w:rsid w:val="00A76A54"/>
    <w:rsid w:val="00A77303"/>
    <w:rsid w:val="00A8096D"/>
    <w:rsid w:val="00A82D46"/>
    <w:rsid w:val="00A82E99"/>
    <w:rsid w:val="00A83B8A"/>
    <w:rsid w:val="00A84E6D"/>
    <w:rsid w:val="00A93FF9"/>
    <w:rsid w:val="00A942EF"/>
    <w:rsid w:val="00AA195A"/>
    <w:rsid w:val="00AA23C4"/>
    <w:rsid w:val="00AA43D0"/>
    <w:rsid w:val="00AA56AC"/>
    <w:rsid w:val="00AB012E"/>
    <w:rsid w:val="00AB199C"/>
    <w:rsid w:val="00AB3FB7"/>
    <w:rsid w:val="00AB527A"/>
    <w:rsid w:val="00AB5C1B"/>
    <w:rsid w:val="00AC0226"/>
    <w:rsid w:val="00AC0950"/>
    <w:rsid w:val="00AC379B"/>
    <w:rsid w:val="00AC760F"/>
    <w:rsid w:val="00AC7ED1"/>
    <w:rsid w:val="00AD3C7F"/>
    <w:rsid w:val="00AD3D50"/>
    <w:rsid w:val="00AD6579"/>
    <w:rsid w:val="00AF2416"/>
    <w:rsid w:val="00AF5EF9"/>
    <w:rsid w:val="00AF772D"/>
    <w:rsid w:val="00B01170"/>
    <w:rsid w:val="00B036B5"/>
    <w:rsid w:val="00B03D46"/>
    <w:rsid w:val="00B04EC2"/>
    <w:rsid w:val="00B13018"/>
    <w:rsid w:val="00B21ADC"/>
    <w:rsid w:val="00B251EA"/>
    <w:rsid w:val="00B253DD"/>
    <w:rsid w:val="00B3046A"/>
    <w:rsid w:val="00B35073"/>
    <w:rsid w:val="00B36314"/>
    <w:rsid w:val="00B40661"/>
    <w:rsid w:val="00B40DF5"/>
    <w:rsid w:val="00B41690"/>
    <w:rsid w:val="00B41B80"/>
    <w:rsid w:val="00B42CF0"/>
    <w:rsid w:val="00B45066"/>
    <w:rsid w:val="00B4704D"/>
    <w:rsid w:val="00B47D81"/>
    <w:rsid w:val="00B50F19"/>
    <w:rsid w:val="00B51173"/>
    <w:rsid w:val="00B53299"/>
    <w:rsid w:val="00B6017D"/>
    <w:rsid w:val="00B6064D"/>
    <w:rsid w:val="00B6299A"/>
    <w:rsid w:val="00B644A8"/>
    <w:rsid w:val="00B65678"/>
    <w:rsid w:val="00B65B63"/>
    <w:rsid w:val="00B6663F"/>
    <w:rsid w:val="00B709CF"/>
    <w:rsid w:val="00B7273A"/>
    <w:rsid w:val="00B8594A"/>
    <w:rsid w:val="00B8621A"/>
    <w:rsid w:val="00B8637B"/>
    <w:rsid w:val="00B86EC5"/>
    <w:rsid w:val="00B91D34"/>
    <w:rsid w:val="00B94D6C"/>
    <w:rsid w:val="00B95624"/>
    <w:rsid w:val="00BA0194"/>
    <w:rsid w:val="00BA0381"/>
    <w:rsid w:val="00BA06CC"/>
    <w:rsid w:val="00BA0A24"/>
    <w:rsid w:val="00BA1CB6"/>
    <w:rsid w:val="00BA23A9"/>
    <w:rsid w:val="00BA7489"/>
    <w:rsid w:val="00BA7CD7"/>
    <w:rsid w:val="00BB07C5"/>
    <w:rsid w:val="00BB19EC"/>
    <w:rsid w:val="00BB3E2B"/>
    <w:rsid w:val="00BB3F14"/>
    <w:rsid w:val="00BB4792"/>
    <w:rsid w:val="00BB4864"/>
    <w:rsid w:val="00BB74BF"/>
    <w:rsid w:val="00BB7FC7"/>
    <w:rsid w:val="00BC0555"/>
    <w:rsid w:val="00BC539C"/>
    <w:rsid w:val="00BC562E"/>
    <w:rsid w:val="00BC718D"/>
    <w:rsid w:val="00BD0449"/>
    <w:rsid w:val="00BD5573"/>
    <w:rsid w:val="00BD78E6"/>
    <w:rsid w:val="00BE0422"/>
    <w:rsid w:val="00BE0B6A"/>
    <w:rsid w:val="00BE10BA"/>
    <w:rsid w:val="00BE1126"/>
    <w:rsid w:val="00BE1E35"/>
    <w:rsid w:val="00BE22EF"/>
    <w:rsid w:val="00BE41D7"/>
    <w:rsid w:val="00BF3334"/>
    <w:rsid w:val="00BF37E3"/>
    <w:rsid w:val="00BF3884"/>
    <w:rsid w:val="00C002C7"/>
    <w:rsid w:val="00C01409"/>
    <w:rsid w:val="00C05280"/>
    <w:rsid w:val="00C05304"/>
    <w:rsid w:val="00C05A10"/>
    <w:rsid w:val="00C136F8"/>
    <w:rsid w:val="00C14CF4"/>
    <w:rsid w:val="00C1699F"/>
    <w:rsid w:val="00C17A5F"/>
    <w:rsid w:val="00C212CE"/>
    <w:rsid w:val="00C216B3"/>
    <w:rsid w:val="00C23515"/>
    <w:rsid w:val="00C23961"/>
    <w:rsid w:val="00C27DD9"/>
    <w:rsid w:val="00C346C8"/>
    <w:rsid w:val="00C34BB9"/>
    <w:rsid w:val="00C37359"/>
    <w:rsid w:val="00C3777E"/>
    <w:rsid w:val="00C402BB"/>
    <w:rsid w:val="00C43AFC"/>
    <w:rsid w:val="00C44FC2"/>
    <w:rsid w:val="00C538A9"/>
    <w:rsid w:val="00C54EE9"/>
    <w:rsid w:val="00C55B37"/>
    <w:rsid w:val="00C61EB0"/>
    <w:rsid w:val="00C6352F"/>
    <w:rsid w:val="00C64536"/>
    <w:rsid w:val="00C66086"/>
    <w:rsid w:val="00C675B6"/>
    <w:rsid w:val="00C70BBC"/>
    <w:rsid w:val="00C74572"/>
    <w:rsid w:val="00C80100"/>
    <w:rsid w:val="00C80AA7"/>
    <w:rsid w:val="00C8265C"/>
    <w:rsid w:val="00C83CFD"/>
    <w:rsid w:val="00C84BDC"/>
    <w:rsid w:val="00C86464"/>
    <w:rsid w:val="00C938D1"/>
    <w:rsid w:val="00C94D27"/>
    <w:rsid w:val="00C94F60"/>
    <w:rsid w:val="00C95C04"/>
    <w:rsid w:val="00C97C96"/>
    <w:rsid w:val="00CA5914"/>
    <w:rsid w:val="00CA76F8"/>
    <w:rsid w:val="00CB00A9"/>
    <w:rsid w:val="00CB07DB"/>
    <w:rsid w:val="00CB0A0B"/>
    <w:rsid w:val="00CB1A5F"/>
    <w:rsid w:val="00CB584C"/>
    <w:rsid w:val="00CC02A4"/>
    <w:rsid w:val="00CC3667"/>
    <w:rsid w:val="00CC3953"/>
    <w:rsid w:val="00CC6731"/>
    <w:rsid w:val="00CD1635"/>
    <w:rsid w:val="00CD3B64"/>
    <w:rsid w:val="00CD511D"/>
    <w:rsid w:val="00CD5138"/>
    <w:rsid w:val="00CD6D98"/>
    <w:rsid w:val="00D016FA"/>
    <w:rsid w:val="00D01C60"/>
    <w:rsid w:val="00D05C0C"/>
    <w:rsid w:val="00D105C6"/>
    <w:rsid w:val="00D12795"/>
    <w:rsid w:val="00D1298C"/>
    <w:rsid w:val="00D14A10"/>
    <w:rsid w:val="00D167A1"/>
    <w:rsid w:val="00D20755"/>
    <w:rsid w:val="00D2141D"/>
    <w:rsid w:val="00D242DA"/>
    <w:rsid w:val="00D30925"/>
    <w:rsid w:val="00D3188F"/>
    <w:rsid w:val="00D32A13"/>
    <w:rsid w:val="00D37B83"/>
    <w:rsid w:val="00D405D7"/>
    <w:rsid w:val="00D463E5"/>
    <w:rsid w:val="00D4718D"/>
    <w:rsid w:val="00D473CA"/>
    <w:rsid w:val="00D47F0C"/>
    <w:rsid w:val="00D5071C"/>
    <w:rsid w:val="00D62582"/>
    <w:rsid w:val="00D64A2F"/>
    <w:rsid w:val="00D703F0"/>
    <w:rsid w:val="00D72553"/>
    <w:rsid w:val="00D72931"/>
    <w:rsid w:val="00D7298D"/>
    <w:rsid w:val="00D735CB"/>
    <w:rsid w:val="00D75790"/>
    <w:rsid w:val="00D75DF0"/>
    <w:rsid w:val="00D839FC"/>
    <w:rsid w:val="00D85429"/>
    <w:rsid w:val="00D854F1"/>
    <w:rsid w:val="00D875BB"/>
    <w:rsid w:val="00D90BF7"/>
    <w:rsid w:val="00D910A3"/>
    <w:rsid w:val="00D91ECD"/>
    <w:rsid w:val="00D93920"/>
    <w:rsid w:val="00D94185"/>
    <w:rsid w:val="00DA060C"/>
    <w:rsid w:val="00DA1251"/>
    <w:rsid w:val="00DA2859"/>
    <w:rsid w:val="00DA4F8C"/>
    <w:rsid w:val="00DB3601"/>
    <w:rsid w:val="00DB49AA"/>
    <w:rsid w:val="00DC2DAA"/>
    <w:rsid w:val="00DC49BF"/>
    <w:rsid w:val="00DC5285"/>
    <w:rsid w:val="00DD0AA0"/>
    <w:rsid w:val="00DD2DE2"/>
    <w:rsid w:val="00DE0408"/>
    <w:rsid w:val="00DE14A9"/>
    <w:rsid w:val="00DE23CB"/>
    <w:rsid w:val="00DE301C"/>
    <w:rsid w:val="00DE52FA"/>
    <w:rsid w:val="00DE5677"/>
    <w:rsid w:val="00DE6730"/>
    <w:rsid w:val="00DE6F2F"/>
    <w:rsid w:val="00DE7ADD"/>
    <w:rsid w:val="00DF01D8"/>
    <w:rsid w:val="00E00FD9"/>
    <w:rsid w:val="00E017BA"/>
    <w:rsid w:val="00E022E1"/>
    <w:rsid w:val="00E05595"/>
    <w:rsid w:val="00E07432"/>
    <w:rsid w:val="00E07D8A"/>
    <w:rsid w:val="00E10611"/>
    <w:rsid w:val="00E1343B"/>
    <w:rsid w:val="00E17AB6"/>
    <w:rsid w:val="00E21DAF"/>
    <w:rsid w:val="00E229B8"/>
    <w:rsid w:val="00E23F90"/>
    <w:rsid w:val="00E24150"/>
    <w:rsid w:val="00E247CD"/>
    <w:rsid w:val="00E25A00"/>
    <w:rsid w:val="00E25E76"/>
    <w:rsid w:val="00E2686F"/>
    <w:rsid w:val="00E3227B"/>
    <w:rsid w:val="00E324A1"/>
    <w:rsid w:val="00E345EC"/>
    <w:rsid w:val="00E465A4"/>
    <w:rsid w:val="00E50279"/>
    <w:rsid w:val="00E50B53"/>
    <w:rsid w:val="00E5177B"/>
    <w:rsid w:val="00E520E7"/>
    <w:rsid w:val="00E52F1B"/>
    <w:rsid w:val="00E61F94"/>
    <w:rsid w:val="00E62D6D"/>
    <w:rsid w:val="00E653A3"/>
    <w:rsid w:val="00E65A00"/>
    <w:rsid w:val="00E703F0"/>
    <w:rsid w:val="00E71DA1"/>
    <w:rsid w:val="00E774E6"/>
    <w:rsid w:val="00E80EC5"/>
    <w:rsid w:val="00E87E54"/>
    <w:rsid w:val="00E91B06"/>
    <w:rsid w:val="00EA1B54"/>
    <w:rsid w:val="00EB3E3D"/>
    <w:rsid w:val="00EB4EE6"/>
    <w:rsid w:val="00EC0C4A"/>
    <w:rsid w:val="00EC2A06"/>
    <w:rsid w:val="00ED2295"/>
    <w:rsid w:val="00ED7277"/>
    <w:rsid w:val="00ED7F61"/>
    <w:rsid w:val="00EE207A"/>
    <w:rsid w:val="00EE2288"/>
    <w:rsid w:val="00EE2AC5"/>
    <w:rsid w:val="00EE54BE"/>
    <w:rsid w:val="00EF0335"/>
    <w:rsid w:val="00EF0AEC"/>
    <w:rsid w:val="00EF16B9"/>
    <w:rsid w:val="00F0003A"/>
    <w:rsid w:val="00F01973"/>
    <w:rsid w:val="00F01C6E"/>
    <w:rsid w:val="00F02890"/>
    <w:rsid w:val="00F125AA"/>
    <w:rsid w:val="00F14D25"/>
    <w:rsid w:val="00F17C3D"/>
    <w:rsid w:val="00F23D6D"/>
    <w:rsid w:val="00F3092A"/>
    <w:rsid w:val="00F3498C"/>
    <w:rsid w:val="00F37F70"/>
    <w:rsid w:val="00F403E1"/>
    <w:rsid w:val="00F4082C"/>
    <w:rsid w:val="00F440A1"/>
    <w:rsid w:val="00F51EA6"/>
    <w:rsid w:val="00F52B42"/>
    <w:rsid w:val="00F555CC"/>
    <w:rsid w:val="00F60A7E"/>
    <w:rsid w:val="00F62EE2"/>
    <w:rsid w:val="00F675EE"/>
    <w:rsid w:val="00F74B0E"/>
    <w:rsid w:val="00F75C23"/>
    <w:rsid w:val="00F774C4"/>
    <w:rsid w:val="00F857F1"/>
    <w:rsid w:val="00F86CAE"/>
    <w:rsid w:val="00F92FA8"/>
    <w:rsid w:val="00F94921"/>
    <w:rsid w:val="00F9567E"/>
    <w:rsid w:val="00F95E85"/>
    <w:rsid w:val="00FA08B0"/>
    <w:rsid w:val="00FA0CC9"/>
    <w:rsid w:val="00FA502D"/>
    <w:rsid w:val="00FB3EC5"/>
    <w:rsid w:val="00FB6DE1"/>
    <w:rsid w:val="00FC0109"/>
    <w:rsid w:val="00FC1686"/>
    <w:rsid w:val="00FC1C16"/>
    <w:rsid w:val="00FC4BBD"/>
    <w:rsid w:val="00FC4E19"/>
    <w:rsid w:val="00FC5A01"/>
    <w:rsid w:val="00FD0FA0"/>
    <w:rsid w:val="00FD1D42"/>
    <w:rsid w:val="00FD3499"/>
    <w:rsid w:val="00FD3B6D"/>
    <w:rsid w:val="00FD63D4"/>
    <w:rsid w:val="00FD6624"/>
    <w:rsid w:val="00FE181A"/>
    <w:rsid w:val="00FF3704"/>
    <w:rsid w:val="00FF3CCD"/>
    <w:rsid w:val="00FF40B0"/>
    <w:rsid w:val="00FF4C0F"/>
    <w:rsid w:val="00FF5899"/>
    <w:rsid w:val="00FF7CA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4AEBC"/>
  <w15:chartTrackingRefBased/>
  <w15:docId w15:val="{48CF43EC-FE41-414B-A891-3C29FDB81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17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A17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17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17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17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17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17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17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17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A1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17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17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17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17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7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7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711"/>
    <w:rPr>
      <w:rFonts w:eastAsiaTheme="majorEastAsia" w:cstheme="majorBidi"/>
      <w:color w:val="272727" w:themeColor="text1" w:themeTint="D8"/>
    </w:rPr>
  </w:style>
  <w:style w:type="paragraph" w:styleId="Title">
    <w:name w:val="Title"/>
    <w:basedOn w:val="Normal"/>
    <w:next w:val="Normal"/>
    <w:link w:val="TitleChar"/>
    <w:uiPriority w:val="10"/>
    <w:qFormat/>
    <w:rsid w:val="000A17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1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7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17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711"/>
    <w:pPr>
      <w:spacing w:before="160"/>
      <w:jc w:val="center"/>
    </w:pPr>
    <w:rPr>
      <w:i/>
      <w:iCs/>
      <w:color w:val="404040" w:themeColor="text1" w:themeTint="BF"/>
    </w:rPr>
  </w:style>
  <w:style w:type="character" w:customStyle="1" w:styleId="QuoteChar">
    <w:name w:val="Quote Char"/>
    <w:basedOn w:val="DefaultParagraphFont"/>
    <w:link w:val="Quote"/>
    <w:uiPriority w:val="29"/>
    <w:rsid w:val="000A1711"/>
    <w:rPr>
      <w:i/>
      <w:iCs/>
      <w:color w:val="404040" w:themeColor="text1" w:themeTint="BF"/>
    </w:rPr>
  </w:style>
  <w:style w:type="paragraph" w:styleId="ListParagraph">
    <w:name w:val="List Paragraph"/>
    <w:basedOn w:val="Normal"/>
    <w:uiPriority w:val="34"/>
    <w:qFormat/>
    <w:rsid w:val="000A1711"/>
    <w:pPr>
      <w:ind w:left="720"/>
      <w:contextualSpacing/>
    </w:pPr>
  </w:style>
  <w:style w:type="character" w:styleId="IntenseEmphasis">
    <w:name w:val="Intense Emphasis"/>
    <w:basedOn w:val="DefaultParagraphFont"/>
    <w:uiPriority w:val="21"/>
    <w:qFormat/>
    <w:rsid w:val="000A1711"/>
    <w:rPr>
      <w:i/>
      <w:iCs/>
      <w:color w:val="0F4761" w:themeColor="accent1" w:themeShade="BF"/>
    </w:rPr>
  </w:style>
  <w:style w:type="paragraph" w:styleId="IntenseQuote">
    <w:name w:val="Intense Quote"/>
    <w:basedOn w:val="Normal"/>
    <w:next w:val="Normal"/>
    <w:link w:val="IntenseQuoteChar"/>
    <w:uiPriority w:val="30"/>
    <w:qFormat/>
    <w:rsid w:val="000A17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1711"/>
    <w:rPr>
      <w:i/>
      <w:iCs/>
      <w:color w:val="0F4761" w:themeColor="accent1" w:themeShade="BF"/>
    </w:rPr>
  </w:style>
  <w:style w:type="character" w:styleId="IntenseReference">
    <w:name w:val="Intense Reference"/>
    <w:basedOn w:val="DefaultParagraphFont"/>
    <w:uiPriority w:val="32"/>
    <w:qFormat/>
    <w:rsid w:val="000A1711"/>
    <w:rPr>
      <w:b/>
      <w:bCs/>
      <w:smallCaps/>
      <w:color w:val="0F4761" w:themeColor="accent1" w:themeShade="BF"/>
      <w:spacing w:val="5"/>
    </w:rPr>
  </w:style>
  <w:style w:type="character" w:styleId="Hyperlink">
    <w:name w:val="Hyperlink"/>
    <w:basedOn w:val="DefaultParagraphFont"/>
    <w:uiPriority w:val="99"/>
    <w:unhideWhenUsed/>
    <w:rsid w:val="00DE5677"/>
    <w:rPr>
      <w:color w:val="467886" w:themeColor="hyperlink"/>
      <w:u w:val="single"/>
    </w:rPr>
  </w:style>
  <w:style w:type="character" w:styleId="UnresolvedMention">
    <w:name w:val="Unresolved Mention"/>
    <w:basedOn w:val="DefaultParagraphFont"/>
    <w:uiPriority w:val="99"/>
    <w:semiHidden/>
    <w:unhideWhenUsed/>
    <w:rsid w:val="00DE5677"/>
    <w:rPr>
      <w:color w:val="605E5C"/>
      <w:shd w:val="clear" w:color="auto" w:fill="E1DFDD"/>
    </w:rPr>
  </w:style>
  <w:style w:type="character" w:styleId="CommentReference">
    <w:name w:val="annotation reference"/>
    <w:basedOn w:val="DefaultParagraphFont"/>
    <w:uiPriority w:val="99"/>
    <w:semiHidden/>
    <w:unhideWhenUsed/>
    <w:rsid w:val="00D12795"/>
    <w:rPr>
      <w:sz w:val="16"/>
      <w:szCs w:val="16"/>
    </w:rPr>
  </w:style>
  <w:style w:type="paragraph" w:styleId="CommentText">
    <w:name w:val="annotation text"/>
    <w:basedOn w:val="Normal"/>
    <w:link w:val="CommentTextChar"/>
    <w:uiPriority w:val="99"/>
    <w:unhideWhenUsed/>
    <w:rsid w:val="00D12795"/>
    <w:pPr>
      <w:spacing w:line="240" w:lineRule="auto"/>
    </w:pPr>
    <w:rPr>
      <w:sz w:val="20"/>
      <w:szCs w:val="20"/>
    </w:rPr>
  </w:style>
  <w:style w:type="character" w:customStyle="1" w:styleId="CommentTextChar">
    <w:name w:val="Comment Text Char"/>
    <w:basedOn w:val="DefaultParagraphFont"/>
    <w:link w:val="CommentText"/>
    <w:uiPriority w:val="99"/>
    <w:rsid w:val="00D12795"/>
    <w:rPr>
      <w:sz w:val="20"/>
      <w:szCs w:val="20"/>
    </w:rPr>
  </w:style>
  <w:style w:type="paragraph" w:styleId="CommentSubject">
    <w:name w:val="annotation subject"/>
    <w:basedOn w:val="CommentText"/>
    <w:next w:val="CommentText"/>
    <w:link w:val="CommentSubjectChar"/>
    <w:uiPriority w:val="99"/>
    <w:semiHidden/>
    <w:unhideWhenUsed/>
    <w:rsid w:val="00D12795"/>
    <w:rPr>
      <w:b/>
      <w:bCs/>
    </w:rPr>
  </w:style>
  <w:style w:type="character" w:customStyle="1" w:styleId="CommentSubjectChar">
    <w:name w:val="Comment Subject Char"/>
    <w:basedOn w:val="CommentTextChar"/>
    <w:link w:val="CommentSubject"/>
    <w:uiPriority w:val="99"/>
    <w:semiHidden/>
    <w:rsid w:val="00D12795"/>
    <w:rPr>
      <w:b/>
      <w:bCs/>
      <w:sz w:val="20"/>
      <w:szCs w:val="20"/>
    </w:rPr>
  </w:style>
  <w:style w:type="paragraph" w:styleId="Header">
    <w:name w:val="header"/>
    <w:basedOn w:val="Normal"/>
    <w:link w:val="HeaderChar"/>
    <w:uiPriority w:val="99"/>
    <w:unhideWhenUsed/>
    <w:rsid w:val="00030AF5"/>
    <w:pPr>
      <w:tabs>
        <w:tab w:val="center" w:pos="4536"/>
        <w:tab w:val="right" w:pos="9072"/>
      </w:tabs>
      <w:spacing w:after="0" w:line="240" w:lineRule="auto"/>
    </w:pPr>
  </w:style>
  <w:style w:type="character" w:customStyle="1" w:styleId="HeaderChar">
    <w:name w:val="Header Char"/>
    <w:basedOn w:val="DefaultParagraphFont"/>
    <w:link w:val="Header"/>
    <w:uiPriority w:val="99"/>
    <w:rsid w:val="00030AF5"/>
  </w:style>
  <w:style w:type="paragraph" w:styleId="Footer">
    <w:name w:val="footer"/>
    <w:basedOn w:val="Normal"/>
    <w:link w:val="FooterChar"/>
    <w:uiPriority w:val="99"/>
    <w:unhideWhenUsed/>
    <w:rsid w:val="00030AF5"/>
    <w:pPr>
      <w:tabs>
        <w:tab w:val="center" w:pos="4536"/>
        <w:tab w:val="right" w:pos="9072"/>
      </w:tabs>
      <w:spacing w:after="0" w:line="240" w:lineRule="auto"/>
    </w:pPr>
  </w:style>
  <w:style w:type="character" w:customStyle="1" w:styleId="FooterChar">
    <w:name w:val="Footer Char"/>
    <w:basedOn w:val="DefaultParagraphFont"/>
    <w:link w:val="Footer"/>
    <w:uiPriority w:val="99"/>
    <w:rsid w:val="00030AF5"/>
  </w:style>
  <w:style w:type="character" w:styleId="FollowedHyperlink">
    <w:name w:val="FollowedHyperlink"/>
    <w:basedOn w:val="DefaultParagraphFont"/>
    <w:uiPriority w:val="99"/>
    <w:semiHidden/>
    <w:unhideWhenUsed/>
    <w:rsid w:val="00927ED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6314">
      <w:bodyDiv w:val="1"/>
      <w:marLeft w:val="0"/>
      <w:marRight w:val="0"/>
      <w:marTop w:val="0"/>
      <w:marBottom w:val="0"/>
      <w:divBdr>
        <w:top w:val="none" w:sz="0" w:space="0" w:color="auto"/>
        <w:left w:val="none" w:sz="0" w:space="0" w:color="auto"/>
        <w:bottom w:val="none" w:sz="0" w:space="0" w:color="auto"/>
        <w:right w:val="none" w:sz="0" w:space="0" w:color="auto"/>
      </w:divBdr>
    </w:div>
    <w:div w:id="154995828">
      <w:bodyDiv w:val="1"/>
      <w:marLeft w:val="0"/>
      <w:marRight w:val="0"/>
      <w:marTop w:val="0"/>
      <w:marBottom w:val="0"/>
      <w:divBdr>
        <w:top w:val="none" w:sz="0" w:space="0" w:color="auto"/>
        <w:left w:val="none" w:sz="0" w:space="0" w:color="auto"/>
        <w:bottom w:val="none" w:sz="0" w:space="0" w:color="auto"/>
        <w:right w:val="none" w:sz="0" w:space="0" w:color="auto"/>
      </w:divBdr>
    </w:div>
    <w:div w:id="159660818">
      <w:bodyDiv w:val="1"/>
      <w:marLeft w:val="0"/>
      <w:marRight w:val="0"/>
      <w:marTop w:val="0"/>
      <w:marBottom w:val="0"/>
      <w:divBdr>
        <w:top w:val="none" w:sz="0" w:space="0" w:color="auto"/>
        <w:left w:val="none" w:sz="0" w:space="0" w:color="auto"/>
        <w:bottom w:val="none" w:sz="0" w:space="0" w:color="auto"/>
        <w:right w:val="none" w:sz="0" w:space="0" w:color="auto"/>
      </w:divBdr>
      <w:divsChild>
        <w:div w:id="856575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670984">
      <w:bodyDiv w:val="1"/>
      <w:marLeft w:val="0"/>
      <w:marRight w:val="0"/>
      <w:marTop w:val="0"/>
      <w:marBottom w:val="0"/>
      <w:divBdr>
        <w:top w:val="none" w:sz="0" w:space="0" w:color="auto"/>
        <w:left w:val="none" w:sz="0" w:space="0" w:color="auto"/>
        <w:bottom w:val="none" w:sz="0" w:space="0" w:color="auto"/>
        <w:right w:val="none" w:sz="0" w:space="0" w:color="auto"/>
      </w:divBdr>
    </w:div>
    <w:div w:id="318267933">
      <w:bodyDiv w:val="1"/>
      <w:marLeft w:val="0"/>
      <w:marRight w:val="0"/>
      <w:marTop w:val="0"/>
      <w:marBottom w:val="0"/>
      <w:divBdr>
        <w:top w:val="none" w:sz="0" w:space="0" w:color="auto"/>
        <w:left w:val="none" w:sz="0" w:space="0" w:color="auto"/>
        <w:bottom w:val="none" w:sz="0" w:space="0" w:color="auto"/>
        <w:right w:val="none" w:sz="0" w:space="0" w:color="auto"/>
      </w:divBdr>
    </w:div>
    <w:div w:id="391009211">
      <w:bodyDiv w:val="1"/>
      <w:marLeft w:val="0"/>
      <w:marRight w:val="0"/>
      <w:marTop w:val="0"/>
      <w:marBottom w:val="0"/>
      <w:divBdr>
        <w:top w:val="none" w:sz="0" w:space="0" w:color="auto"/>
        <w:left w:val="none" w:sz="0" w:space="0" w:color="auto"/>
        <w:bottom w:val="none" w:sz="0" w:space="0" w:color="auto"/>
        <w:right w:val="none" w:sz="0" w:space="0" w:color="auto"/>
      </w:divBdr>
      <w:divsChild>
        <w:div w:id="619847914">
          <w:marLeft w:val="0"/>
          <w:marRight w:val="0"/>
          <w:marTop w:val="0"/>
          <w:marBottom w:val="0"/>
          <w:divBdr>
            <w:top w:val="none" w:sz="0" w:space="0" w:color="auto"/>
            <w:left w:val="none" w:sz="0" w:space="0" w:color="auto"/>
            <w:bottom w:val="none" w:sz="0" w:space="0" w:color="auto"/>
            <w:right w:val="none" w:sz="0" w:space="0" w:color="auto"/>
          </w:divBdr>
          <w:divsChild>
            <w:div w:id="19553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553713">
      <w:bodyDiv w:val="1"/>
      <w:marLeft w:val="0"/>
      <w:marRight w:val="0"/>
      <w:marTop w:val="0"/>
      <w:marBottom w:val="0"/>
      <w:divBdr>
        <w:top w:val="none" w:sz="0" w:space="0" w:color="auto"/>
        <w:left w:val="none" w:sz="0" w:space="0" w:color="auto"/>
        <w:bottom w:val="none" w:sz="0" w:space="0" w:color="auto"/>
        <w:right w:val="none" w:sz="0" w:space="0" w:color="auto"/>
      </w:divBdr>
    </w:div>
    <w:div w:id="480003061">
      <w:bodyDiv w:val="1"/>
      <w:marLeft w:val="0"/>
      <w:marRight w:val="0"/>
      <w:marTop w:val="0"/>
      <w:marBottom w:val="0"/>
      <w:divBdr>
        <w:top w:val="none" w:sz="0" w:space="0" w:color="auto"/>
        <w:left w:val="none" w:sz="0" w:space="0" w:color="auto"/>
        <w:bottom w:val="none" w:sz="0" w:space="0" w:color="auto"/>
        <w:right w:val="none" w:sz="0" w:space="0" w:color="auto"/>
      </w:divBdr>
    </w:div>
    <w:div w:id="539560699">
      <w:bodyDiv w:val="1"/>
      <w:marLeft w:val="0"/>
      <w:marRight w:val="0"/>
      <w:marTop w:val="0"/>
      <w:marBottom w:val="0"/>
      <w:divBdr>
        <w:top w:val="none" w:sz="0" w:space="0" w:color="auto"/>
        <w:left w:val="none" w:sz="0" w:space="0" w:color="auto"/>
        <w:bottom w:val="none" w:sz="0" w:space="0" w:color="auto"/>
        <w:right w:val="none" w:sz="0" w:space="0" w:color="auto"/>
      </w:divBdr>
    </w:div>
    <w:div w:id="559681833">
      <w:bodyDiv w:val="1"/>
      <w:marLeft w:val="0"/>
      <w:marRight w:val="0"/>
      <w:marTop w:val="0"/>
      <w:marBottom w:val="0"/>
      <w:divBdr>
        <w:top w:val="none" w:sz="0" w:space="0" w:color="auto"/>
        <w:left w:val="none" w:sz="0" w:space="0" w:color="auto"/>
        <w:bottom w:val="none" w:sz="0" w:space="0" w:color="auto"/>
        <w:right w:val="none" w:sz="0" w:space="0" w:color="auto"/>
      </w:divBdr>
    </w:div>
    <w:div w:id="584724235">
      <w:bodyDiv w:val="1"/>
      <w:marLeft w:val="0"/>
      <w:marRight w:val="0"/>
      <w:marTop w:val="0"/>
      <w:marBottom w:val="0"/>
      <w:divBdr>
        <w:top w:val="none" w:sz="0" w:space="0" w:color="auto"/>
        <w:left w:val="none" w:sz="0" w:space="0" w:color="auto"/>
        <w:bottom w:val="none" w:sz="0" w:space="0" w:color="auto"/>
        <w:right w:val="none" w:sz="0" w:space="0" w:color="auto"/>
      </w:divBdr>
      <w:divsChild>
        <w:div w:id="373624618">
          <w:marLeft w:val="0"/>
          <w:marRight w:val="0"/>
          <w:marTop w:val="0"/>
          <w:marBottom w:val="0"/>
          <w:divBdr>
            <w:top w:val="none" w:sz="0" w:space="0" w:color="auto"/>
            <w:left w:val="none" w:sz="0" w:space="0" w:color="auto"/>
            <w:bottom w:val="none" w:sz="0" w:space="0" w:color="auto"/>
            <w:right w:val="none" w:sz="0" w:space="0" w:color="auto"/>
          </w:divBdr>
          <w:divsChild>
            <w:div w:id="1492483064">
              <w:marLeft w:val="0"/>
              <w:marRight w:val="0"/>
              <w:marTop w:val="0"/>
              <w:marBottom w:val="0"/>
              <w:divBdr>
                <w:top w:val="none" w:sz="0" w:space="0" w:color="auto"/>
                <w:left w:val="none" w:sz="0" w:space="0" w:color="auto"/>
                <w:bottom w:val="none" w:sz="0" w:space="0" w:color="auto"/>
                <w:right w:val="none" w:sz="0" w:space="0" w:color="auto"/>
              </w:divBdr>
              <w:divsChild>
                <w:div w:id="971010992">
                  <w:marLeft w:val="0"/>
                  <w:marRight w:val="0"/>
                  <w:marTop w:val="0"/>
                  <w:marBottom w:val="0"/>
                  <w:divBdr>
                    <w:top w:val="none" w:sz="0" w:space="0" w:color="auto"/>
                    <w:left w:val="none" w:sz="0" w:space="0" w:color="auto"/>
                    <w:bottom w:val="none" w:sz="0" w:space="0" w:color="auto"/>
                    <w:right w:val="none" w:sz="0" w:space="0" w:color="auto"/>
                  </w:divBdr>
                  <w:divsChild>
                    <w:div w:id="918054987">
                      <w:marLeft w:val="0"/>
                      <w:marRight w:val="0"/>
                      <w:marTop w:val="0"/>
                      <w:marBottom w:val="0"/>
                      <w:divBdr>
                        <w:top w:val="none" w:sz="0" w:space="0" w:color="auto"/>
                        <w:left w:val="none" w:sz="0" w:space="0" w:color="auto"/>
                        <w:bottom w:val="none" w:sz="0" w:space="0" w:color="auto"/>
                        <w:right w:val="none" w:sz="0" w:space="0" w:color="auto"/>
                      </w:divBdr>
                      <w:divsChild>
                        <w:div w:id="126480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266314">
      <w:bodyDiv w:val="1"/>
      <w:marLeft w:val="0"/>
      <w:marRight w:val="0"/>
      <w:marTop w:val="0"/>
      <w:marBottom w:val="0"/>
      <w:divBdr>
        <w:top w:val="none" w:sz="0" w:space="0" w:color="auto"/>
        <w:left w:val="none" w:sz="0" w:space="0" w:color="auto"/>
        <w:bottom w:val="none" w:sz="0" w:space="0" w:color="auto"/>
        <w:right w:val="none" w:sz="0" w:space="0" w:color="auto"/>
      </w:divBdr>
    </w:div>
    <w:div w:id="1044676597">
      <w:bodyDiv w:val="1"/>
      <w:marLeft w:val="0"/>
      <w:marRight w:val="0"/>
      <w:marTop w:val="0"/>
      <w:marBottom w:val="0"/>
      <w:divBdr>
        <w:top w:val="none" w:sz="0" w:space="0" w:color="auto"/>
        <w:left w:val="none" w:sz="0" w:space="0" w:color="auto"/>
        <w:bottom w:val="none" w:sz="0" w:space="0" w:color="auto"/>
        <w:right w:val="none" w:sz="0" w:space="0" w:color="auto"/>
      </w:divBdr>
    </w:div>
    <w:div w:id="1197818313">
      <w:bodyDiv w:val="1"/>
      <w:marLeft w:val="0"/>
      <w:marRight w:val="0"/>
      <w:marTop w:val="0"/>
      <w:marBottom w:val="0"/>
      <w:divBdr>
        <w:top w:val="none" w:sz="0" w:space="0" w:color="auto"/>
        <w:left w:val="none" w:sz="0" w:space="0" w:color="auto"/>
        <w:bottom w:val="none" w:sz="0" w:space="0" w:color="auto"/>
        <w:right w:val="none" w:sz="0" w:space="0" w:color="auto"/>
      </w:divBdr>
    </w:div>
    <w:div w:id="1373115898">
      <w:bodyDiv w:val="1"/>
      <w:marLeft w:val="0"/>
      <w:marRight w:val="0"/>
      <w:marTop w:val="0"/>
      <w:marBottom w:val="0"/>
      <w:divBdr>
        <w:top w:val="none" w:sz="0" w:space="0" w:color="auto"/>
        <w:left w:val="none" w:sz="0" w:space="0" w:color="auto"/>
        <w:bottom w:val="none" w:sz="0" w:space="0" w:color="auto"/>
        <w:right w:val="none" w:sz="0" w:space="0" w:color="auto"/>
      </w:divBdr>
    </w:div>
    <w:div w:id="1438133814">
      <w:bodyDiv w:val="1"/>
      <w:marLeft w:val="0"/>
      <w:marRight w:val="0"/>
      <w:marTop w:val="0"/>
      <w:marBottom w:val="0"/>
      <w:divBdr>
        <w:top w:val="none" w:sz="0" w:space="0" w:color="auto"/>
        <w:left w:val="none" w:sz="0" w:space="0" w:color="auto"/>
        <w:bottom w:val="none" w:sz="0" w:space="0" w:color="auto"/>
        <w:right w:val="none" w:sz="0" w:space="0" w:color="auto"/>
      </w:divBdr>
    </w:div>
    <w:div w:id="1468160736">
      <w:bodyDiv w:val="1"/>
      <w:marLeft w:val="0"/>
      <w:marRight w:val="0"/>
      <w:marTop w:val="0"/>
      <w:marBottom w:val="0"/>
      <w:divBdr>
        <w:top w:val="none" w:sz="0" w:space="0" w:color="auto"/>
        <w:left w:val="none" w:sz="0" w:space="0" w:color="auto"/>
        <w:bottom w:val="none" w:sz="0" w:space="0" w:color="auto"/>
        <w:right w:val="none" w:sz="0" w:space="0" w:color="auto"/>
      </w:divBdr>
    </w:div>
    <w:div w:id="1471626453">
      <w:bodyDiv w:val="1"/>
      <w:marLeft w:val="0"/>
      <w:marRight w:val="0"/>
      <w:marTop w:val="0"/>
      <w:marBottom w:val="0"/>
      <w:divBdr>
        <w:top w:val="none" w:sz="0" w:space="0" w:color="auto"/>
        <w:left w:val="none" w:sz="0" w:space="0" w:color="auto"/>
        <w:bottom w:val="none" w:sz="0" w:space="0" w:color="auto"/>
        <w:right w:val="none" w:sz="0" w:space="0" w:color="auto"/>
      </w:divBdr>
      <w:divsChild>
        <w:div w:id="1893804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1238858">
      <w:bodyDiv w:val="1"/>
      <w:marLeft w:val="0"/>
      <w:marRight w:val="0"/>
      <w:marTop w:val="0"/>
      <w:marBottom w:val="0"/>
      <w:divBdr>
        <w:top w:val="none" w:sz="0" w:space="0" w:color="auto"/>
        <w:left w:val="none" w:sz="0" w:space="0" w:color="auto"/>
        <w:bottom w:val="none" w:sz="0" w:space="0" w:color="auto"/>
        <w:right w:val="none" w:sz="0" w:space="0" w:color="auto"/>
      </w:divBdr>
      <w:divsChild>
        <w:div w:id="1046101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1500985">
      <w:bodyDiv w:val="1"/>
      <w:marLeft w:val="0"/>
      <w:marRight w:val="0"/>
      <w:marTop w:val="0"/>
      <w:marBottom w:val="0"/>
      <w:divBdr>
        <w:top w:val="none" w:sz="0" w:space="0" w:color="auto"/>
        <w:left w:val="none" w:sz="0" w:space="0" w:color="auto"/>
        <w:bottom w:val="none" w:sz="0" w:space="0" w:color="auto"/>
        <w:right w:val="none" w:sz="0" w:space="0" w:color="auto"/>
      </w:divBdr>
    </w:div>
    <w:div w:id="1611469606">
      <w:bodyDiv w:val="1"/>
      <w:marLeft w:val="0"/>
      <w:marRight w:val="0"/>
      <w:marTop w:val="0"/>
      <w:marBottom w:val="0"/>
      <w:divBdr>
        <w:top w:val="none" w:sz="0" w:space="0" w:color="auto"/>
        <w:left w:val="none" w:sz="0" w:space="0" w:color="auto"/>
        <w:bottom w:val="none" w:sz="0" w:space="0" w:color="auto"/>
        <w:right w:val="none" w:sz="0" w:space="0" w:color="auto"/>
      </w:divBdr>
    </w:div>
    <w:div w:id="1775247551">
      <w:bodyDiv w:val="1"/>
      <w:marLeft w:val="0"/>
      <w:marRight w:val="0"/>
      <w:marTop w:val="0"/>
      <w:marBottom w:val="0"/>
      <w:divBdr>
        <w:top w:val="none" w:sz="0" w:space="0" w:color="auto"/>
        <w:left w:val="none" w:sz="0" w:space="0" w:color="auto"/>
        <w:bottom w:val="none" w:sz="0" w:space="0" w:color="auto"/>
        <w:right w:val="none" w:sz="0" w:space="0" w:color="auto"/>
      </w:divBdr>
    </w:div>
    <w:div w:id="1894580845">
      <w:bodyDiv w:val="1"/>
      <w:marLeft w:val="0"/>
      <w:marRight w:val="0"/>
      <w:marTop w:val="0"/>
      <w:marBottom w:val="0"/>
      <w:divBdr>
        <w:top w:val="none" w:sz="0" w:space="0" w:color="auto"/>
        <w:left w:val="none" w:sz="0" w:space="0" w:color="auto"/>
        <w:bottom w:val="none" w:sz="0" w:space="0" w:color="auto"/>
        <w:right w:val="none" w:sz="0" w:space="0" w:color="auto"/>
      </w:divBdr>
      <w:divsChild>
        <w:div w:id="1162282017">
          <w:marLeft w:val="0"/>
          <w:marRight w:val="0"/>
          <w:marTop w:val="0"/>
          <w:marBottom w:val="0"/>
          <w:divBdr>
            <w:top w:val="none" w:sz="0" w:space="0" w:color="auto"/>
            <w:left w:val="none" w:sz="0" w:space="0" w:color="auto"/>
            <w:bottom w:val="none" w:sz="0" w:space="0" w:color="auto"/>
            <w:right w:val="none" w:sz="0" w:space="0" w:color="auto"/>
          </w:divBdr>
          <w:divsChild>
            <w:div w:id="1411543867">
              <w:marLeft w:val="0"/>
              <w:marRight w:val="0"/>
              <w:marTop w:val="0"/>
              <w:marBottom w:val="0"/>
              <w:divBdr>
                <w:top w:val="none" w:sz="0" w:space="0" w:color="auto"/>
                <w:left w:val="none" w:sz="0" w:space="0" w:color="auto"/>
                <w:bottom w:val="none" w:sz="0" w:space="0" w:color="auto"/>
                <w:right w:val="none" w:sz="0" w:space="0" w:color="auto"/>
              </w:divBdr>
              <w:divsChild>
                <w:div w:id="79301835">
                  <w:marLeft w:val="0"/>
                  <w:marRight w:val="0"/>
                  <w:marTop w:val="0"/>
                  <w:marBottom w:val="0"/>
                  <w:divBdr>
                    <w:top w:val="none" w:sz="0" w:space="0" w:color="auto"/>
                    <w:left w:val="none" w:sz="0" w:space="0" w:color="auto"/>
                    <w:bottom w:val="none" w:sz="0" w:space="0" w:color="auto"/>
                    <w:right w:val="none" w:sz="0" w:space="0" w:color="auto"/>
                  </w:divBdr>
                  <w:divsChild>
                    <w:div w:id="1787503672">
                      <w:marLeft w:val="0"/>
                      <w:marRight w:val="0"/>
                      <w:marTop w:val="0"/>
                      <w:marBottom w:val="0"/>
                      <w:divBdr>
                        <w:top w:val="none" w:sz="0" w:space="0" w:color="auto"/>
                        <w:left w:val="none" w:sz="0" w:space="0" w:color="auto"/>
                        <w:bottom w:val="none" w:sz="0" w:space="0" w:color="auto"/>
                        <w:right w:val="none" w:sz="0" w:space="0" w:color="auto"/>
                      </w:divBdr>
                      <w:divsChild>
                        <w:div w:id="202296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217734">
      <w:bodyDiv w:val="1"/>
      <w:marLeft w:val="0"/>
      <w:marRight w:val="0"/>
      <w:marTop w:val="0"/>
      <w:marBottom w:val="0"/>
      <w:divBdr>
        <w:top w:val="none" w:sz="0" w:space="0" w:color="auto"/>
        <w:left w:val="none" w:sz="0" w:space="0" w:color="auto"/>
        <w:bottom w:val="none" w:sz="0" w:space="0" w:color="auto"/>
        <w:right w:val="none" w:sz="0" w:space="0" w:color="auto"/>
      </w:divBdr>
      <w:divsChild>
        <w:div w:id="921570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3276811">
      <w:bodyDiv w:val="1"/>
      <w:marLeft w:val="0"/>
      <w:marRight w:val="0"/>
      <w:marTop w:val="0"/>
      <w:marBottom w:val="0"/>
      <w:divBdr>
        <w:top w:val="none" w:sz="0" w:space="0" w:color="auto"/>
        <w:left w:val="none" w:sz="0" w:space="0" w:color="auto"/>
        <w:bottom w:val="none" w:sz="0" w:space="0" w:color="auto"/>
        <w:right w:val="none" w:sz="0" w:space="0" w:color="auto"/>
      </w:divBdr>
      <w:divsChild>
        <w:div w:id="1544243565">
          <w:marLeft w:val="0"/>
          <w:marRight w:val="0"/>
          <w:marTop w:val="0"/>
          <w:marBottom w:val="0"/>
          <w:divBdr>
            <w:top w:val="none" w:sz="0" w:space="0" w:color="auto"/>
            <w:left w:val="none" w:sz="0" w:space="0" w:color="auto"/>
            <w:bottom w:val="none" w:sz="0" w:space="0" w:color="auto"/>
            <w:right w:val="none" w:sz="0" w:space="0" w:color="auto"/>
          </w:divBdr>
          <w:divsChild>
            <w:div w:id="9340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0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10.1080/03004430701378985" TargetMode="External"/><Relationship Id="rId18" Type="http://schemas.openxmlformats.org/officeDocument/2006/relationships/hyperlink" Target="https://doi.org/10.1111/edth.7002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177/17461979251356895" TargetMode="External"/><Relationship Id="rId7" Type="http://schemas.openxmlformats.org/officeDocument/2006/relationships/endnotes" Target="endnotes.xml"/><Relationship Id="rId12" Type="http://schemas.openxmlformats.org/officeDocument/2006/relationships/hyperlink" Target="https://doi.org/10.1111/1467-9752.12626" TargetMode="External"/><Relationship Id="rId17" Type="http://schemas.openxmlformats.org/officeDocument/2006/relationships/hyperlink" Target="https://doi.org/10.1080/17449642.2024.2420558" TargetMode="External"/><Relationship Id="rId25" Type="http://schemas.openxmlformats.org/officeDocument/2006/relationships/hyperlink" Target="https://doi.org/10.1093/jopedu/qhae033" TargetMode="External"/><Relationship Id="rId2" Type="http://schemas.openxmlformats.org/officeDocument/2006/relationships/numbering" Target="numbering.xml"/><Relationship Id="rId16" Type="http://schemas.openxmlformats.org/officeDocument/2006/relationships/hyperlink" Target="https://doi.org/10.1111/j.1741-5446.2012.00453.x" TargetMode="External"/><Relationship Id="rId20" Type="http://schemas.openxmlformats.org/officeDocument/2006/relationships/hyperlink" Target="https://doi.org/10.1177/147787852110521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doi.org/10.1080/17449642.2023.2266978" TargetMode="External"/><Relationship Id="rId5" Type="http://schemas.openxmlformats.org/officeDocument/2006/relationships/webSettings" Target="webSettings.xml"/><Relationship Id="rId15" Type="http://schemas.openxmlformats.org/officeDocument/2006/relationships/hyperlink" Target="https://doi.org/10.1016/j.copsyc.2020.02.010" TargetMode="External"/><Relationship Id="rId23" Type="http://schemas.openxmlformats.org/officeDocument/2006/relationships/hyperlink" Target="https://doi.org/10.1177/14778785231187304" TargetMode="External"/><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yperlink" Target="https://doi.org/10.1177/14778785241264497"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1111/j.1468-5914.2008.00376.x" TargetMode="External"/><Relationship Id="rId22" Type="http://schemas.openxmlformats.org/officeDocument/2006/relationships/hyperlink" Target="https://doi.org/10.1111/1467-9752.12338" TargetMode="External"/><Relationship Id="rId27"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B4F24-5DE4-47DC-818F-14BA47101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6995</Words>
  <Characters>30782</Characters>
  <Application>Microsoft Office Word</Application>
  <DocSecurity>0</DocSecurity>
  <Lines>699</Lines>
  <Paragraphs>839</Paragraphs>
  <ScaleCrop>false</ScaleCrop>
  <HeadingPairs>
    <vt:vector size="2" baseType="variant">
      <vt:variant>
        <vt:lpstr>Titre</vt:lpstr>
      </vt:variant>
      <vt:variant>
        <vt:i4>1</vt:i4>
      </vt:variant>
    </vt:vector>
  </HeadingPairs>
  <TitlesOfParts>
    <vt:vector size="1" baseType="lpstr">
      <vt:lpstr/>
    </vt:vector>
  </TitlesOfParts>
  <Company>UCLouvain</Company>
  <LinksUpToDate>false</LinksUpToDate>
  <CharactersWithSpaces>36938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Cuneen</dc:creator>
  <cp:keywords/>
  <dc:description/>
  <cp:lastModifiedBy>Nicolas Cuneen</cp:lastModifiedBy>
  <cp:revision>887</cp:revision>
  <dcterms:created xsi:type="dcterms:W3CDTF">2025-10-02T10:24:00Z</dcterms:created>
  <dcterms:modified xsi:type="dcterms:W3CDTF">2026-05-28T08:23:00Z</dcterms:modified>
</cp:coreProperties>
</file>